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5397A79B" w:rsidR="006C21E4" w:rsidRPr="00E4784A" w:rsidRDefault="00DF7522" w:rsidP="00854D39">
      <w:pPr>
        <w:shd w:val="clear" w:color="auto" w:fill="FFFFFF"/>
        <w:tabs>
          <w:tab w:val="center" w:pos="4725"/>
        </w:tabs>
        <w:spacing w:line="235" w:lineRule="atLeast"/>
        <w:ind w:left="-990" w:right="-990"/>
        <w:jc w:val="center"/>
        <w:rPr>
          <w:rFonts w:ascii="Calibri" w:eastAsiaTheme="majorEastAsia" w:hAnsi="Calibri" w:cs="Calibri"/>
          <w:color w:val="0C425E"/>
          <w:kern w:val="28"/>
          <w:sz w:val="76"/>
          <w:szCs w:val="76"/>
          <w:lang w:eastAsia="ja-JP"/>
        </w:rPr>
      </w:pPr>
      <w:r w:rsidRPr="00E4784A">
        <w:rPr>
          <w:rFonts w:ascii="Calibri" w:eastAsiaTheme="majorEastAsia" w:hAnsi="Calibri" w:cs="Calibri"/>
          <w:noProof/>
          <w:color w:val="0C425E"/>
          <w:kern w:val="28"/>
          <w:sz w:val="76"/>
          <w:szCs w:val="76"/>
          <w:lang w:eastAsia="ja-JP"/>
        </w:rPr>
        <w:drawing>
          <wp:anchor distT="0" distB="0" distL="114300" distR="114300" simplePos="0" relativeHeight="251667456" behindDoc="0" locked="0" layoutInCell="1" allowOverlap="1" wp14:anchorId="586623DE" wp14:editId="377AFC5B">
            <wp:simplePos x="0" y="0"/>
            <wp:positionH relativeFrom="column">
              <wp:posOffset>-89157</wp:posOffset>
            </wp:positionH>
            <wp:positionV relativeFrom="paragraph">
              <wp:posOffset>-949960</wp:posOffset>
            </wp:positionV>
            <wp:extent cx="1438275" cy="1049452"/>
            <wp:effectExtent l="0" t="0" r="0" b="0"/>
            <wp:wrapNone/>
            <wp:docPr id="6541652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1049452"/>
                    </a:xfrm>
                    <a:prstGeom prst="rect">
                      <a:avLst/>
                    </a:prstGeom>
                    <a:noFill/>
                    <a:ln>
                      <a:noFill/>
                    </a:ln>
                  </pic:spPr>
                </pic:pic>
              </a:graphicData>
            </a:graphic>
            <wp14:sizeRelH relativeFrom="page">
              <wp14:pctWidth>0</wp14:pctWidth>
            </wp14:sizeRelH>
            <wp14:sizeRelV relativeFrom="page">
              <wp14:pctHeight>0</wp14:pctHeight>
            </wp14:sizeRelV>
          </wp:anchor>
        </w:drawing>
      </w:r>
      <w:r w:rsidR="00E42FB4" w:rsidRPr="00E4784A">
        <w:rPr>
          <w:rFonts w:ascii="Calibri" w:eastAsiaTheme="majorEastAsia" w:hAnsi="Calibri" w:cs="Calibri"/>
          <w:color w:val="0C425E"/>
          <w:kern w:val="28"/>
          <w:sz w:val="76"/>
          <w:szCs w:val="76"/>
          <w:lang w:eastAsia="ja-JP"/>
        </w:rPr>
        <w:t xml:space="preserve">The </w:t>
      </w:r>
      <w:r w:rsidR="008151E2" w:rsidRPr="00E4784A">
        <w:rPr>
          <w:rFonts w:ascii="Calibri" w:eastAsiaTheme="majorEastAsia" w:hAnsi="Calibri" w:cs="Calibri"/>
          <w:color w:val="0C425E"/>
          <w:kern w:val="28"/>
          <w:sz w:val="76"/>
          <w:szCs w:val="76"/>
          <w:lang w:eastAsia="ja-JP"/>
        </w:rPr>
        <w:t xml:space="preserve">HR </w:t>
      </w:r>
      <w:r w:rsidR="00E42FB4" w:rsidRPr="00E4784A">
        <w:rPr>
          <w:rFonts w:ascii="Calibri" w:eastAsiaTheme="majorEastAsia" w:hAnsi="Calibri" w:cs="Calibri"/>
          <w:color w:val="0C425E"/>
          <w:kern w:val="28"/>
          <w:sz w:val="76"/>
          <w:szCs w:val="76"/>
          <w:lang w:eastAsia="ja-JP"/>
        </w:rPr>
        <w:t>WIRE</w:t>
      </w:r>
    </w:p>
    <w:p w14:paraId="17F4AB1C" w14:textId="54DAE794" w:rsidR="00694B93" w:rsidRPr="00685EF8" w:rsidRDefault="0093086F" w:rsidP="00357923">
      <w:pPr>
        <w:shd w:val="clear" w:color="auto" w:fill="FFFFFF"/>
        <w:spacing w:after="0" w:line="480" w:lineRule="auto"/>
        <w:jc w:val="center"/>
        <w:rPr>
          <w:rFonts w:ascii="Calibri" w:eastAsiaTheme="majorEastAsia" w:hAnsi="Calibri" w:cs="Calibri"/>
          <w:b/>
          <w:caps/>
          <w:color w:val="0C425E"/>
          <w:spacing w:val="10"/>
          <w:sz w:val="24"/>
          <w:szCs w:val="24"/>
          <w:lang w:eastAsia="ja-JP"/>
        </w:rPr>
      </w:pPr>
      <w:r w:rsidRPr="00685EF8">
        <w:rPr>
          <w:rFonts w:ascii="Calibri" w:eastAsiaTheme="majorEastAsia" w:hAnsi="Calibri" w:cs="Calibri"/>
          <w:b/>
          <w:caps/>
          <w:color w:val="0C425E"/>
          <w:spacing w:val="10"/>
          <w:sz w:val="24"/>
          <w:szCs w:val="24"/>
          <w:lang w:eastAsia="ja-JP"/>
        </w:rPr>
        <w:t xml:space="preserve"> </w:t>
      </w:r>
      <w:r w:rsidR="006C21E4" w:rsidRPr="00685EF8">
        <w:rPr>
          <w:rFonts w:ascii="Calibri" w:eastAsiaTheme="majorEastAsia" w:hAnsi="Calibri" w:cs="Calibri"/>
          <w:b/>
          <w:caps/>
          <w:color w:val="0C425E"/>
          <w:spacing w:val="10"/>
          <w:sz w:val="24"/>
          <w:szCs w:val="24"/>
          <w:lang w:eastAsia="ja-JP"/>
        </w:rPr>
        <w:t>ETC</w:t>
      </w:r>
      <w:r w:rsidR="00C53E33">
        <w:rPr>
          <w:rFonts w:ascii="Calibri" w:eastAsiaTheme="majorEastAsia" w:hAnsi="Calibri" w:cs="Calibri"/>
          <w:b/>
          <w:caps/>
          <w:color w:val="0C425E"/>
          <w:spacing w:val="10"/>
          <w:sz w:val="24"/>
          <w:szCs w:val="24"/>
          <w:lang w:eastAsia="ja-JP"/>
        </w:rPr>
        <w:t xml:space="preserve">’s </w:t>
      </w:r>
      <w:r w:rsidR="001A7F3F" w:rsidRPr="00685EF8">
        <w:rPr>
          <w:rFonts w:ascii="Calibri" w:eastAsiaTheme="majorEastAsia" w:hAnsi="Calibri" w:cs="Calibri"/>
          <w:b/>
          <w:caps/>
          <w:color w:val="0C425E"/>
          <w:spacing w:val="10"/>
          <w:sz w:val="24"/>
          <w:szCs w:val="24"/>
          <w:lang w:eastAsia="ja-JP"/>
        </w:rPr>
        <w:t>Employer Compliance News</w:t>
      </w:r>
      <w:r w:rsidR="006F197D" w:rsidRPr="00685EF8">
        <w:rPr>
          <w:rFonts w:ascii="Calibri" w:eastAsiaTheme="majorEastAsia" w:hAnsi="Calibri" w:cs="Calibri"/>
          <w:b/>
          <w:caps/>
          <w:color w:val="0C425E"/>
          <w:spacing w:val="10"/>
          <w:sz w:val="24"/>
          <w:szCs w:val="24"/>
          <w:lang w:eastAsia="ja-JP"/>
        </w:rPr>
        <w:t xml:space="preserve">  </w:t>
      </w:r>
      <w:r w:rsidR="00C53E33">
        <w:rPr>
          <w:rFonts w:ascii="Calibri" w:eastAsiaTheme="majorEastAsia" w:hAnsi="Calibri" w:cs="Calibri"/>
          <w:b/>
          <w:caps/>
          <w:color w:val="0C425E"/>
          <w:spacing w:val="10"/>
          <w:sz w:val="24"/>
          <w:szCs w:val="24"/>
          <w:lang w:eastAsia="ja-JP"/>
        </w:rPr>
        <w:t xml:space="preserve"> </w:t>
      </w:r>
      <w:r w:rsidR="006F197D" w:rsidRPr="00685EF8">
        <w:rPr>
          <w:rFonts w:ascii="Calibri" w:eastAsiaTheme="majorEastAsia" w:hAnsi="Calibri" w:cs="Calibri"/>
          <w:b/>
          <w:caps/>
          <w:color w:val="0C425E"/>
          <w:spacing w:val="10"/>
          <w:sz w:val="24"/>
          <w:szCs w:val="24"/>
          <w:lang w:eastAsia="ja-JP"/>
        </w:rPr>
        <w:t xml:space="preserve">II   </w:t>
      </w:r>
      <w:r w:rsidR="00F54971" w:rsidRPr="00685EF8">
        <w:rPr>
          <w:rFonts w:ascii="Calibri" w:eastAsiaTheme="majorEastAsia" w:hAnsi="Calibri" w:cs="Calibri"/>
          <w:b/>
          <w:caps/>
          <w:color w:val="0C425E"/>
          <w:spacing w:val="10"/>
          <w:sz w:val="24"/>
          <w:szCs w:val="24"/>
          <w:lang w:eastAsia="ja-JP"/>
        </w:rPr>
        <w:t>Making Compliance Connections</w:t>
      </w:r>
    </w:p>
    <w:p w14:paraId="45CE0B39" w14:textId="0EF7F2EA" w:rsidR="00F13718" w:rsidRPr="00357923" w:rsidRDefault="00915451" w:rsidP="00357923">
      <w:pPr>
        <w:shd w:val="clear" w:color="auto" w:fill="FFFFFF"/>
        <w:spacing w:after="0" w:line="480" w:lineRule="auto"/>
        <w:jc w:val="center"/>
        <w:rPr>
          <w:rFonts w:asciiTheme="majorHAnsi" w:eastAsia="Times New Roman" w:hAnsiTheme="majorHAnsi" w:cstheme="majorHAnsi"/>
          <w:b/>
          <w:bCs/>
          <w:color w:val="0070C0"/>
          <w:sz w:val="32"/>
          <w:szCs w:val="32"/>
          <w:lang w:val="en"/>
        </w:rPr>
      </w:pPr>
      <w:r w:rsidRPr="00357923">
        <w:rPr>
          <w:rFonts w:asciiTheme="majorHAnsi" w:eastAsia="Times New Roman" w:hAnsiTheme="majorHAnsi" w:cstheme="majorHAnsi"/>
          <w:b/>
          <w:bCs/>
          <w:color w:val="0070C0"/>
          <w:sz w:val="32"/>
          <w:szCs w:val="32"/>
          <w:lang w:val="en"/>
        </w:rPr>
        <w:t xml:space="preserve">May </w:t>
      </w:r>
      <w:r w:rsidR="00527B4D" w:rsidRPr="00357923">
        <w:rPr>
          <w:rFonts w:asciiTheme="majorHAnsi" w:eastAsia="Times New Roman" w:hAnsiTheme="majorHAnsi" w:cstheme="majorHAnsi"/>
          <w:b/>
          <w:bCs/>
          <w:color w:val="0070C0"/>
          <w:sz w:val="32"/>
          <w:szCs w:val="32"/>
          <w:lang w:val="en"/>
        </w:rPr>
        <w:t>202</w:t>
      </w:r>
      <w:bookmarkStart w:id="0" w:name="_Hlk165893264"/>
      <w:r w:rsidR="00322C14" w:rsidRPr="00357923">
        <w:rPr>
          <w:rFonts w:asciiTheme="majorHAnsi" w:eastAsia="Times New Roman" w:hAnsiTheme="majorHAnsi" w:cstheme="majorHAnsi"/>
          <w:b/>
          <w:bCs/>
          <w:color w:val="0070C0"/>
          <w:sz w:val="32"/>
          <w:szCs w:val="32"/>
          <w:lang w:val="en"/>
        </w:rPr>
        <w:t>6</w:t>
      </w:r>
    </w:p>
    <w:p w14:paraId="0AEB52E4" w14:textId="6C5DA726" w:rsidR="00D730DD" w:rsidRPr="00FB465A" w:rsidRDefault="00F41A39">
      <w:pPr>
        <w:pStyle w:val="ListParagraph"/>
        <w:numPr>
          <w:ilvl w:val="0"/>
          <w:numId w:val="326"/>
        </w:numPr>
        <w:spacing w:after="0" w:line="240" w:lineRule="auto"/>
        <w:ind w:right="-360"/>
        <w:jc w:val="center"/>
        <w:rPr>
          <w:rFonts w:ascii="Roboto" w:eastAsia="Times New Roman" w:hAnsi="Roboto" w:cs="Times New Roman"/>
          <w:b/>
          <w:color w:val="0070C0"/>
          <w:sz w:val="32"/>
          <w:szCs w:val="32"/>
          <w:lang w:val="en"/>
        </w:rPr>
      </w:pPr>
      <w:bookmarkStart w:id="1" w:name="_Hlk139469203"/>
      <w:bookmarkStart w:id="2" w:name="_Hlk183165799"/>
      <w:r w:rsidRPr="00FB465A">
        <w:rPr>
          <w:rFonts w:ascii="Calibri" w:eastAsiaTheme="majorEastAsia" w:hAnsi="Calibri" w:cs="Calibri"/>
          <w:b/>
          <w:caps/>
          <w:color w:val="0C425E"/>
          <w:spacing w:val="10"/>
          <w:sz w:val="32"/>
          <w:szCs w:val="32"/>
          <w:lang w:eastAsia="ja-JP"/>
        </w:rPr>
        <w:t>Previously Reported</w:t>
      </w:r>
      <w:r w:rsidR="008B1A18" w:rsidRPr="00FB465A">
        <w:rPr>
          <w:rFonts w:ascii="Calibri" w:eastAsiaTheme="majorEastAsia" w:hAnsi="Calibri" w:cs="Calibri"/>
          <w:b/>
          <w:caps/>
          <w:color w:val="0C425E"/>
          <w:spacing w:val="10"/>
          <w:sz w:val="32"/>
          <w:szCs w:val="32"/>
          <w:lang w:eastAsia="ja-JP"/>
        </w:rPr>
        <w:t xml:space="preserve"> Regulatory Matters</w:t>
      </w:r>
      <w:bookmarkEnd w:id="1"/>
      <w:r w:rsidR="00FB465A">
        <w:rPr>
          <w:rFonts w:ascii="Calibri" w:eastAsiaTheme="majorEastAsia" w:hAnsi="Calibri" w:cs="Calibri"/>
          <w:b/>
          <w:caps/>
          <w:color w:val="0C425E"/>
          <w:spacing w:val="10"/>
          <w:sz w:val="32"/>
          <w:szCs w:val="32"/>
          <w:lang w:eastAsia="ja-JP"/>
        </w:rPr>
        <w:t xml:space="preserve">   -</w:t>
      </w:r>
    </w:p>
    <w:bookmarkEnd w:id="2"/>
    <w:p w14:paraId="5190DC5C" w14:textId="0AEC2F5E" w:rsidR="00022BF0" w:rsidRPr="00D66B68" w:rsidRDefault="00022BF0" w:rsidP="00D730DD">
      <w:pPr>
        <w:spacing w:after="0" w:line="240" w:lineRule="auto"/>
        <w:ind w:right="-360"/>
        <w:rPr>
          <w:rStyle w:val="Hyperlink"/>
          <w:rFonts w:ascii="Roboto" w:eastAsia="Times New Roman" w:hAnsi="Roboto" w:cs="Times New Roman"/>
          <w:b/>
          <w:bCs/>
          <w:color w:val="0070C0"/>
          <w:sz w:val="32"/>
          <w:szCs w:val="32"/>
          <w:u w:val="none"/>
          <w:lang w:val="en"/>
        </w:rPr>
      </w:pP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1BB16A32" w:rsidR="009040C5" w:rsidRPr="00DD7BD1" w:rsidRDefault="009040C5" w:rsidP="00F26D01">
      <w:pPr>
        <w:pStyle w:val="Heading1"/>
        <w:shd w:val="clear" w:color="auto" w:fill="FFFFFF"/>
        <w:tabs>
          <w:tab w:val="left" w:pos="1080"/>
          <w:tab w:val="right" w:pos="11520"/>
        </w:tabs>
        <w:spacing w:before="0" w:beforeAutospacing="0" w:after="0" w:afterAutospacing="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Workplace Notices Updates</w:t>
      </w:r>
      <w:r w:rsidR="00F26D01" w:rsidRPr="00DD7BD1">
        <w:rPr>
          <w:rStyle w:val="Hyperlink"/>
          <w:rFonts w:ascii="Calibri" w:eastAsiaTheme="minorHAnsi" w:hAnsi="Calibri" w:cs="Calibri"/>
          <w:color w:val="auto"/>
          <w:sz w:val="28"/>
          <w:szCs w:val="28"/>
          <w:u w:val="none"/>
        </w:rPr>
        <w:tab/>
      </w:r>
    </w:p>
    <w:p w14:paraId="7A60B56C" w14:textId="77777777" w:rsidR="007D0B93" w:rsidRPr="00DD7BD1" w:rsidRDefault="007D0B93" w:rsidP="007D0B93">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w:t>
      </w:r>
    </w:p>
    <w:p w14:paraId="77B6C5B0" w14:textId="77777777" w:rsidR="00576BA4" w:rsidRPr="00576BA4" w:rsidRDefault="00576BA4" w:rsidP="00576BA4">
      <w:pPr>
        <w:pStyle w:val="Heading2"/>
        <w:ind w:left="450"/>
        <w:rPr>
          <w:b/>
          <w:bCs/>
        </w:rPr>
      </w:pPr>
      <w:r w:rsidRPr="00576BA4">
        <w:rPr>
          <w:b/>
          <w:bCs/>
        </w:rPr>
        <w:t xml:space="preserve">UPDATED Federal OSHA “Job Safety &amp; Health” Notice </w:t>
      </w:r>
    </w:p>
    <w:p w14:paraId="68C9A7BE" w14:textId="16002638" w:rsidR="009A58E9" w:rsidRPr="00FF2E8E" w:rsidRDefault="00576BA4" w:rsidP="00FF2E8E">
      <w:pPr>
        <w:ind w:left="450"/>
        <w:rPr>
          <w:rStyle w:val="Hyperlink"/>
          <w:color w:val="auto"/>
          <w:u w:val="none"/>
        </w:rPr>
      </w:pPr>
      <w:r>
        <w:t xml:space="preserve">An </w:t>
      </w:r>
      <w:hyperlink r:id="rId9" w:history="1">
        <w:r w:rsidRPr="003E4B58">
          <w:rPr>
            <w:rStyle w:val="Hyperlink"/>
          </w:rPr>
          <w:t xml:space="preserve">Updated OSHA Job Safety and Health </w:t>
        </w:r>
        <w:r>
          <w:rPr>
            <w:rStyle w:val="Hyperlink"/>
          </w:rPr>
          <w:t xml:space="preserve">“It’s the Law” </w:t>
        </w:r>
        <w:r w:rsidRPr="003E4B58">
          <w:rPr>
            <w:rStyle w:val="Hyperlink"/>
          </w:rPr>
          <w:t xml:space="preserve">Notice </w:t>
        </w:r>
      </w:hyperlink>
      <w:r w:rsidRPr="00B9457F">
        <w:t xml:space="preserve">has been released </w:t>
      </w:r>
      <w:r>
        <w:t xml:space="preserve">by the </w:t>
      </w:r>
      <w:r w:rsidRPr="00F7513E">
        <w:t xml:space="preserve">U.S. Department of Labor (DOL); however, the DOL has clarified that this update is </w:t>
      </w:r>
      <w:r w:rsidRPr="00F7513E">
        <w:rPr>
          <w:u w:val="single"/>
        </w:rPr>
        <w:t>not</w:t>
      </w:r>
      <w:r w:rsidRPr="00F7513E">
        <w:t xml:space="preserve"> mandatory.  The newly revised OSHA version is more concise and streamlined than previous edition, with simplified language intended to improve readability for employees. Employers can replace or keep posted older 2019 versions of the OSHA poster currently displayed in their workplace.</w:t>
      </w:r>
    </w:p>
    <w:p w14:paraId="14CCBE93" w14:textId="77777777" w:rsidR="008631FB" w:rsidRPr="00DD7BD1" w:rsidRDefault="008631FB" w:rsidP="008631FB">
      <w:pPr>
        <w:pStyle w:val="Heading1"/>
        <w:shd w:val="clear" w:color="auto" w:fill="FFFFFF"/>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Form I-9 Updated. </w:t>
      </w:r>
      <w:r w:rsidRPr="00DD7BD1">
        <w:rPr>
          <w:rFonts w:ascii="Calibri" w:eastAsiaTheme="minorHAnsi" w:hAnsi="Calibri" w:cs="Calibri"/>
          <w:b w:val="0"/>
          <w:bCs w:val="0"/>
          <w:sz w:val="22"/>
          <w:szCs w:val="22"/>
        </w:rPr>
        <w:t xml:space="preserve">The </w:t>
      </w:r>
      <w:hyperlink r:id="rId10"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D3D5402" w14:textId="77777777" w:rsidR="008631FB" w:rsidRPr="00DD7BD1" w:rsidRDefault="007D0B93" w:rsidP="007D0B93">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16"/>
          <w:szCs w:val="16"/>
          <w:u w:val="none"/>
        </w:rPr>
      </w:pPr>
      <w:r w:rsidRPr="00DD7BD1">
        <w:rPr>
          <w:rStyle w:val="Hyperlink"/>
          <w:rFonts w:ascii="Calibri" w:eastAsiaTheme="minorHAnsi" w:hAnsi="Calibri" w:cs="Calibri"/>
          <w:color w:val="auto"/>
          <w:sz w:val="26"/>
          <w:szCs w:val="26"/>
          <w:u w:val="none"/>
        </w:rPr>
        <w:tab/>
      </w:r>
    </w:p>
    <w:p w14:paraId="5CFCD432" w14:textId="77777777" w:rsidR="00FB491E" w:rsidRPr="00DD7BD1" w:rsidRDefault="00FB491E" w:rsidP="00FB491E">
      <w:pPr>
        <w:pStyle w:val="bodytext0"/>
        <w:spacing w:after="0" w:line="240" w:lineRule="auto"/>
        <w:ind w:left="360"/>
        <w:rPr>
          <w:rStyle w:val="Hyperlink"/>
          <w:rFonts w:ascii="Calibri" w:eastAsiaTheme="minorHAnsi" w:hAnsi="Calibri" w:cs="Calibri"/>
          <w:b/>
          <w:bCs/>
          <w:color w:val="auto"/>
          <w:sz w:val="26"/>
          <w:szCs w:val="26"/>
          <w:u w:val="none"/>
        </w:rPr>
      </w:pPr>
      <w:r w:rsidRPr="00DD7BD1">
        <w:rPr>
          <w:rStyle w:val="Hyperlink"/>
          <w:rFonts w:ascii="Calibri" w:eastAsiaTheme="minorHAnsi" w:hAnsi="Calibri" w:cs="Calibri"/>
          <w:b/>
          <w:bCs/>
          <w:color w:val="auto"/>
          <w:sz w:val="26"/>
          <w:szCs w:val="26"/>
          <w:u w:val="none"/>
        </w:rPr>
        <w:t xml:space="preserve">DOL Issued </w:t>
      </w:r>
      <w:hyperlink r:id="rId11" w:history="1">
        <w:r w:rsidRPr="00DD7BD1">
          <w:rPr>
            <w:rStyle w:val="Hyperlink"/>
            <w:rFonts w:ascii="Calibri" w:hAnsi="Calibri" w:cs="Calibri"/>
            <w:b/>
            <w:bCs/>
            <w:sz w:val="26"/>
            <w:szCs w:val="26"/>
          </w:rPr>
          <w:t>new model Employer CHIP Notice</w:t>
        </w:r>
      </w:hyperlink>
      <w:r w:rsidRPr="00DD7BD1">
        <w:rPr>
          <w:rStyle w:val="Hyperlink"/>
          <w:rFonts w:ascii="Calibri" w:eastAsiaTheme="minorHAnsi" w:hAnsi="Calibri" w:cs="Calibri"/>
          <w:b/>
          <w:bCs/>
          <w:color w:val="auto"/>
          <w:sz w:val="26"/>
          <w:szCs w:val="26"/>
          <w:u w:val="none"/>
        </w:rPr>
        <w:t xml:space="preserve"> </w:t>
      </w:r>
    </w:p>
    <w:p w14:paraId="6A65622F" w14:textId="77777777" w:rsidR="00FB491E" w:rsidRPr="00DD7BD1" w:rsidRDefault="00FB491E" w:rsidP="00FB491E">
      <w:pPr>
        <w:pStyle w:val="bodytext0"/>
        <w:spacing w:after="0" w:line="240" w:lineRule="auto"/>
        <w:ind w:left="810"/>
        <w:rPr>
          <w:rFonts w:ascii="Calibri" w:hAnsi="Calibri" w:cs="Calibri"/>
          <w:sz w:val="22"/>
        </w:rPr>
      </w:pPr>
      <w:r w:rsidRPr="00DD7BD1">
        <w:rPr>
          <w:rFonts w:ascii="Calibri" w:hAnsi="Calibri" w:cs="Calibri"/>
          <w:sz w:val="22"/>
        </w:rPr>
        <w:t xml:space="preserve">An employer is subject to this annual notice requirement if its group health plan covers participants who reside in a state that provides a premium assistance subsidy, regardless of the employer’s location. </w:t>
      </w:r>
    </w:p>
    <w:p w14:paraId="4E748954" w14:textId="77777777" w:rsidR="00FB491E" w:rsidRPr="00DD7BD1" w:rsidRDefault="00FB491E" w:rsidP="00FB491E">
      <w:pPr>
        <w:pStyle w:val="bodytext0"/>
        <w:ind w:left="810"/>
        <w:rPr>
          <w:rFonts w:ascii="Calibri" w:hAnsi="Calibri" w:cs="Calibri"/>
          <w:sz w:val="22"/>
        </w:rPr>
      </w:pPr>
      <w:r w:rsidRPr="00DD7BD1">
        <w:rPr>
          <w:rFonts w:ascii="Calibri" w:hAnsi="Calibri" w:cs="Calibri"/>
          <w:sz w:val="22"/>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p>
    <w:p w14:paraId="67C536B4" w14:textId="77777777" w:rsidR="00FB491E" w:rsidRPr="00DD7BD1" w:rsidRDefault="00FB491E" w:rsidP="00FB491E">
      <w:pPr>
        <w:pStyle w:val="bodytext0"/>
        <w:spacing w:after="0"/>
        <w:ind w:left="810"/>
        <w:rPr>
          <w:rFonts w:ascii="Calibri" w:hAnsi="Calibri" w:cs="Calibri"/>
          <w:sz w:val="22"/>
        </w:rPr>
      </w:pPr>
      <w:r w:rsidRPr="00DD7BD1">
        <w:rPr>
          <w:rFonts w:ascii="Calibri" w:hAnsi="Calibri" w:cs="Calibri"/>
          <w:sz w:val="22"/>
        </w:rPr>
        <w:t xml:space="preserve">An employer can choose to provide the notice on its own or concurrent with the furnishing of: </w:t>
      </w:r>
    </w:p>
    <w:p w14:paraId="13D07368"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notifying the employee of health plan eligibility;</w:t>
      </w:r>
    </w:p>
    <w:p w14:paraId="3EE8125B"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provided to the employee in connection with an open season or election process conducted under the plan; or</w:t>
      </w:r>
    </w:p>
    <w:p w14:paraId="517E9930" w14:textId="2078746A" w:rsidR="00FB491E" w:rsidRPr="00DD7BD1" w:rsidRDefault="00FB491E" w:rsidP="00FB491E">
      <w:pPr>
        <w:pStyle w:val="bodytext0"/>
        <w:numPr>
          <w:ilvl w:val="1"/>
          <w:numId w:val="313"/>
        </w:numPr>
        <w:spacing w:after="0"/>
        <w:rPr>
          <w:rStyle w:val="Hyperlink"/>
          <w:rFonts w:ascii="Calibri" w:hAnsi="Calibri" w:cs="Calibri"/>
          <w:color w:val="auto"/>
          <w:spacing w:val="5"/>
          <w:sz w:val="22"/>
          <w:u w:val="none"/>
        </w:rPr>
      </w:pPr>
      <w:r w:rsidRPr="00DD7BD1">
        <w:rPr>
          <w:rStyle w:val="BookTitle"/>
          <w:rFonts w:ascii="Calibri" w:hAnsi="Calibri" w:cs="Calibri"/>
          <w:sz w:val="22"/>
        </w:rPr>
        <w:t>The summary plan description (SPD).</w:t>
      </w:r>
      <w:r w:rsidR="002C1B32" w:rsidRPr="00DD7BD1">
        <w:rPr>
          <w:rStyle w:val="Hyperlink"/>
          <w:rFonts w:ascii="Calibri" w:eastAsiaTheme="minorHAnsi" w:hAnsi="Calibri" w:cs="Calibri"/>
          <w:color w:val="auto"/>
          <w:sz w:val="26"/>
          <w:szCs w:val="26"/>
          <w:u w:val="none"/>
        </w:rPr>
        <w:tab/>
      </w:r>
    </w:p>
    <w:p w14:paraId="08FFEB91" w14:textId="77777777" w:rsidR="00FB491E" w:rsidRPr="00DD7BD1" w:rsidRDefault="00FB491E" w:rsidP="002C1B32">
      <w:pPr>
        <w:pStyle w:val="Heading1"/>
        <w:shd w:val="clear" w:color="auto" w:fill="FFFFFF"/>
        <w:tabs>
          <w:tab w:val="left" w:pos="810"/>
        </w:tabs>
        <w:spacing w:before="0" w:beforeAutospacing="0" w:after="0" w:afterAutospacing="0"/>
        <w:ind w:left="360"/>
        <w:rPr>
          <w:rStyle w:val="Hyperlink"/>
          <w:rFonts w:ascii="Calibri" w:eastAsiaTheme="minorHAnsi" w:hAnsi="Calibri" w:cs="Calibri"/>
          <w:color w:val="auto"/>
          <w:sz w:val="26"/>
          <w:szCs w:val="26"/>
          <w:u w:val="none"/>
        </w:rPr>
      </w:pPr>
    </w:p>
    <w:p w14:paraId="0D7F7BA3" w14:textId="00C7B88F" w:rsidR="002C1B32" w:rsidRPr="00DD7BD1" w:rsidRDefault="002C1B32" w:rsidP="002C1B32">
      <w:pPr>
        <w:pStyle w:val="Heading1"/>
        <w:shd w:val="clear" w:color="auto" w:fill="FFFFFF"/>
        <w:tabs>
          <w:tab w:val="left" w:pos="810"/>
        </w:tabs>
        <w:spacing w:before="0" w:beforeAutospacing="0" w:after="0" w:afterAutospacing="0"/>
        <w:ind w:left="360"/>
        <w:rPr>
          <w:rFonts w:ascii="Calibri" w:eastAsiaTheme="minorHAnsi" w:hAnsi="Calibri" w:cs="Calibri"/>
          <w:sz w:val="26"/>
          <w:szCs w:val="26"/>
        </w:rPr>
      </w:pPr>
      <w:r w:rsidRPr="00DD7BD1">
        <w:rPr>
          <w:rStyle w:val="Hyperlink"/>
          <w:rFonts w:ascii="Calibri" w:eastAsiaTheme="minorHAnsi" w:hAnsi="Calibri" w:cs="Calibri"/>
          <w:color w:val="auto"/>
          <w:sz w:val="26"/>
          <w:szCs w:val="26"/>
          <w:u w:val="none"/>
        </w:rPr>
        <w:t xml:space="preserve">Updated </w:t>
      </w:r>
      <w:hyperlink r:id="rId12" w:history="1">
        <w:r w:rsidRPr="00DD7BD1">
          <w:rPr>
            <w:rStyle w:val="Hyperlink"/>
            <w:rFonts w:ascii="Calibri" w:eastAsiaTheme="minorHAnsi" w:hAnsi="Calibri" w:cs="Calibri"/>
            <w:sz w:val="26"/>
            <w:szCs w:val="26"/>
          </w:rPr>
          <w:t>Model CHIP Notice</w:t>
        </w:r>
      </w:hyperlink>
      <w:r w:rsidRPr="00DD7BD1">
        <w:rPr>
          <w:rStyle w:val="Hyperlink"/>
          <w:rFonts w:ascii="Calibri" w:eastAsiaTheme="minorHAnsi" w:hAnsi="Calibri" w:cs="Calibri"/>
          <w:color w:val="auto"/>
          <w:sz w:val="26"/>
          <w:szCs w:val="26"/>
          <w:u w:val="none"/>
        </w:rPr>
        <w:t xml:space="preserve"> released with a new effective date </w:t>
      </w:r>
      <w:r w:rsidRPr="00DD7BD1">
        <w:rPr>
          <w:rStyle w:val="Hyperlink"/>
          <w:rFonts w:ascii="Calibri" w:eastAsiaTheme="minorHAnsi" w:hAnsi="Calibri" w:cs="Calibri"/>
          <w:color w:val="C00000"/>
          <w:sz w:val="26"/>
          <w:szCs w:val="26"/>
          <w:u w:val="none"/>
        </w:rPr>
        <w:t>of July 31, 2025</w:t>
      </w:r>
    </w:p>
    <w:p w14:paraId="6B1CE199" w14:textId="6EB6CA71" w:rsidR="007D0B93" w:rsidRPr="00DD7BD1" w:rsidRDefault="002C1B32" w:rsidP="007D0B93">
      <w:pPr>
        <w:pStyle w:val="Heading1"/>
        <w:shd w:val="clear" w:color="auto" w:fill="FFFFFF"/>
        <w:tabs>
          <w:tab w:val="left" w:pos="1080"/>
        </w:tabs>
        <w:spacing w:before="0" w:beforeAutospacing="0" w:after="0" w:afterAutospacing="0"/>
        <w:ind w:left="810" w:hanging="450"/>
        <w:rPr>
          <w:rFonts w:ascii="Calibri" w:eastAsiaTheme="minorHAnsi" w:hAnsi="Calibri" w:cs="Calibri"/>
          <w:sz w:val="26"/>
          <w:szCs w:val="26"/>
        </w:rPr>
      </w:pPr>
      <w:r w:rsidRPr="00DD7BD1">
        <w:rPr>
          <w:rFonts w:ascii="Calibri" w:hAnsi="Calibri" w:cs="Calibri"/>
        </w:rPr>
        <w:tab/>
      </w:r>
      <w:hyperlink r:id="rId13" w:history="1">
        <w:r w:rsidR="007D0B93" w:rsidRPr="00DD7BD1">
          <w:rPr>
            <w:rStyle w:val="Hyperlink"/>
            <w:rFonts w:ascii="Calibri" w:eastAsiaTheme="minorHAnsi" w:hAnsi="Calibri" w:cs="Calibri"/>
            <w:sz w:val="26"/>
            <w:szCs w:val="26"/>
          </w:rPr>
          <w:t>New model Employer CHIP Notice</w:t>
        </w:r>
      </w:hyperlink>
      <w:r w:rsidR="007D0B93" w:rsidRPr="00DD7BD1">
        <w:rPr>
          <w:rFonts w:ascii="Calibri" w:eastAsiaTheme="minorHAnsi" w:hAnsi="Calibri" w:cs="Calibri"/>
          <w:sz w:val="26"/>
          <w:szCs w:val="26"/>
        </w:rPr>
        <w:t xml:space="preserve"> </w:t>
      </w:r>
      <w:r w:rsidR="007D0B93" w:rsidRPr="00DD7BD1">
        <w:rPr>
          <w:rStyle w:val="Hyperlink"/>
          <w:rFonts w:ascii="Calibri" w:eastAsiaTheme="minorHAnsi" w:hAnsi="Calibri" w:cs="Calibri"/>
          <w:b w:val="0"/>
          <w:bCs w:val="0"/>
          <w:color w:val="auto"/>
          <w:sz w:val="22"/>
          <w:szCs w:val="22"/>
          <w:u w:val="none"/>
        </w:rPr>
        <w:t>has been released and now reflects information as of March 17, 2025. 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DD7BD1">
        <w:rPr>
          <w:rFonts w:ascii="Calibri" w:hAnsi="Calibri" w:cs="Calibri"/>
        </w:rPr>
        <w:t xml:space="preserve"> </w:t>
      </w:r>
    </w:p>
    <w:p w14:paraId="4E07A40A" w14:textId="77777777" w:rsidR="007D0B93" w:rsidRPr="00DD7BD1" w:rsidRDefault="007D0B93" w:rsidP="007D0B93">
      <w:pPr>
        <w:pStyle w:val="Heading1"/>
        <w:shd w:val="clear" w:color="auto" w:fill="FFFFFF"/>
        <w:tabs>
          <w:tab w:val="left" w:pos="1080"/>
        </w:tabs>
        <w:spacing w:before="0" w:beforeAutospacing="0" w:after="0" w:afterAutospacing="0"/>
        <w:rPr>
          <w:rStyle w:val="Hyperlink"/>
          <w:rFonts w:ascii="Calibri" w:eastAsiaTheme="minorHAnsi" w:hAnsi="Calibri" w:cs="Calibri"/>
          <w:color w:val="auto"/>
          <w:sz w:val="16"/>
          <w:szCs w:val="16"/>
          <w:u w:val="none"/>
        </w:rPr>
      </w:pPr>
    </w:p>
    <w:p w14:paraId="162CFE69" w14:textId="77777777" w:rsidR="007D0B93" w:rsidRPr="00DD7BD1" w:rsidRDefault="007D0B93" w:rsidP="007D0B93">
      <w:pPr>
        <w:pStyle w:val="Heading1"/>
        <w:shd w:val="clear" w:color="auto" w:fill="FFFFFF"/>
        <w:spacing w:before="0" w:beforeAutospacing="0" w:after="0" w:afterAutospacing="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ab/>
        <w:t xml:space="preserve"> Form I-9 Updated. </w:t>
      </w:r>
      <w:r w:rsidRPr="00DD7BD1">
        <w:rPr>
          <w:rFonts w:ascii="Calibri" w:eastAsiaTheme="minorHAnsi" w:hAnsi="Calibri" w:cs="Calibri"/>
          <w:b w:val="0"/>
          <w:bCs w:val="0"/>
          <w:sz w:val="22"/>
          <w:szCs w:val="22"/>
        </w:rPr>
        <w:t xml:space="preserve">The </w:t>
      </w:r>
      <w:hyperlink r:id="rId14"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728AF66"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5" w:history="1">
        <w:r w:rsidRPr="00DD7BD1">
          <w:rPr>
            <w:rStyle w:val="Hyperlink"/>
            <w:rFonts w:ascii="Calibri" w:eastAsiaTheme="minorHAnsi" w:hAnsi="Calibri" w:cs="Calibri"/>
            <w:b w:val="0"/>
            <w:bCs w:val="0"/>
            <w:sz w:val="22"/>
            <w:szCs w:val="22"/>
          </w:rPr>
          <w:t>instructions</w:t>
        </w:r>
      </w:hyperlink>
      <w:r w:rsidRPr="00DD7BD1">
        <w:rPr>
          <w:rFonts w:ascii="Calibri" w:eastAsiaTheme="minorHAnsi" w:hAnsi="Calibri" w:cs="Calibri"/>
          <w:b w:val="0"/>
          <w:bCs w:val="0"/>
          <w:sz w:val="22"/>
          <w:szCs w:val="22"/>
        </w:rPr>
        <w:t xml:space="preserve"> to align with statutory language.</w:t>
      </w:r>
    </w:p>
    <w:p w14:paraId="4EDDD12B"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16"/>
          <w:szCs w:val="16"/>
        </w:rPr>
      </w:pPr>
    </w:p>
    <w:p w14:paraId="2EAE34CA" w14:textId="77777777" w:rsidR="007D0B93" w:rsidRPr="00DD7BD1" w:rsidRDefault="007D0B93" w:rsidP="007D0B93">
      <w:pPr>
        <w:pStyle w:val="Heading1"/>
        <w:spacing w:before="0" w:beforeAutospacing="0" w:after="0" w:afterAutospacing="0"/>
        <w:ind w:left="810"/>
        <w:rPr>
          <w:rFonts w:ascii="Calibri" w:hAnsi="Calibri" w:cs="Calibri"/>
          <w:b w:val="0"/>
          <w:bCs w:val="0"/>
          <w:sz w:val="22"/>
          <w:szCs w:val="22"/>
        </w:rPr>
      </w:pPr>
      <w:r w:rsidRPr="00DD7BD1">
        <w:rPr>
          <w:rFonts w:ascii="Calibri" w:hAnsi="Calibri" w:cs="Calibri"/>
          <w:b w:val="0"/>
          <w:bCs w:val="0"/>
          <w:sz w:val="22"/>
          <w:szCs w:val="22"/>
        </w:rPr>
        <w:t>The new Form I-9 has the following changes:</w:t>
      </w:r>
    </w:p>
    <w:p w14:paraId="6C2BFEE0"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The term “noncitizen” was replaced with “alien”</w:t>
      </w:r>
    </w:p>
    <w:p w14:paraId="6EDDBAE1"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lastRenderedPageBreak/>
        <w:t>The term “gender” was replaced with “sex”</w:t>
      </w:r>
    </w:p>
    <w:p w14:paraId="4B572BF8"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A new edition date of 1/20/25</w:t>
      </w:r>
    </w:p>
    <w:p w14:paraId="6A3EA807" w14:textId="77777777" w:rsidR="007D0B93" w:rsidRPr="00DD7BD1" w:rsidRDefault="007D0B93" w:rsidP="007D0B93">
      <w:pPr>
        <w:pStyle w:val="Heading1"/>
        <w:shd w:val="clear" w:color="auto" w:fill="FFFFFF"/>
        <w:spacing w:before="0" w:beforeAutospacing="0" w:after="0" w:afterAutospacing="0"/>
        <w:rPr>
          <w:rFonts w:ascii="Calibri" w:eastAsiaTheme="minorHAnsi" w:hAnsi="Calibri" w:cs="Calibri"/>
          <w:b w:val="0"/>
          <w:bCs w:val="0"/>
          <w:sz w:val="16"/>
          <w:szCs w:val="16"/>
        </w:rPr>
      </w:pPr>
    </w:p>
    <w:p w14:paraId="00C0F3B5"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Form I-9 (08/01/23 edition) is valid until May 31, 2027; and</w:t>
      </w:r>
    </w:p>
    <w:p w14:paraId="0712E17A" w14:textId="7DBD8974" w:rsidR="007D0B93" w:rsidRPr="00DD7BD1" w:rsidRDefault="007D0B93" w:rsidP="007D0B93">
      <w:pPr>
        <w:pStyle w:val="Heading1"/>
        <w:shd w:val="clear" w:color="auto" w:fill="FFFFFF"/>
        <w:spacing w:before="0" w:beforeAutospacing="0" w:after="0" w:afterAutospacing="0"/>
        <w:ind w:left="806"/>
        <w:rPr>
          <w:rStyle w:val="Hyperlink"/>
          <w:rFonts w:ascii="Calibri" w:hAnsi="Calibri" w:cs="Calibri"/>
          <w:b w:val="0"/>
          <w:bCs w:val="0"/>
          <w:color w:val="auto"/>
          <w:sz w:val="22"/>
          <w:szCs w:val="22"/>
          <w:u w:val="none"/>
        </w:rPr>
      </w:pPr>
      <w:r w:rsidRPr="00DD7BD1">
        <w:rPr>
          <w:rFonts w:ascii="Calibri" w:hAnsi="Calibri" w:cs="Calibri"/>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DD7BD1" w:rsidRDefault="009040C5" w:rsidP="009040C5">
      <w:pPr>
        <w:pStyle w:val="ParagraphBasic"/>
        <w:spacing w:after="0" w:line="240" w:lineRule="auto"/>
        <w:rPr>
          <w:rFonts w:ascii="Calibri" w:hAnsi="Calibri" w:cs="Calibri"/>
          <w:sz w:val="16"/>
          <w:szCs w:val="16"/>
        </w:rPr>
      </w:pPr>
    </w:p>
    <w:p w14:paraId="45F42301" w14:textId="77777777" w:rsidR="009D1F57" w:rsidRPr="00DD7BD1" w:rsidRDefault="009D1F57" w:rsidP="009D1F57">
      <w:pPr>
        <w:pStyle w:val="Heading1"/>
        <w:shd w:val="clear" w:color="auto" w:fill="FFFFFF"/>
        <w:tabs>
          <w:tab w:val="left" w:pos="1080"/>
        </w:tabs>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Contractor Notice Update </w:t>
      </w:r>
      <w:r w:rsidRPr="00DD7BD1">
        <w:rPr>
          <w:rStyle w:val="Hyperlink"/>
          <w:rFonts w:ascii="Calibri" w:eastAsiaTheme="minorHAnsi" w:hAnsi="Calibri" w:cs="Calibri"/>
          <w:color w:val="C00000"/>
          <w:sz w:val="26"/>
          <w:szCs w:val="26"/>
          <w:u w:val="none"/>
        </w:rPr>
        <w:t>Reminder</w:t>
      </w:r>
    </w:p>
    <w:p w14:paraId="41EFCA89" w14:textId="77777777" w:rsidR="009D1F57" w:rsidRPr="00DD7BD1" w:rsidRDefault="009D1F57" w:rsidP="009D1F57">
      <w:pPr>
        <w:pStyle w:val="Heading1"/>
        <w:shd w:val="clear" w:color="auto" w:fill="FFFFFF"/>
        <w:spacing w:before="0" w:beforeAutospacing="0" w:after="0" w:afterAutospacing="0"/>
        <w:ind w:left="81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As a result of Executive Orders 14236 and 14173, employers can remove the </w:t>
      </w:r>
      <w:r w:rsidRPr="00DD7BD1">
        <w:rPr>
          <w:rFonts w:ascii="Calibri" w:eastAsiaTheme="minorHAnsi" w:hAnsi="Calibri" w:cs="Calibri"/>
          <w:sz w:val="22"/>
          <w:szCs w:val="22"/>
        </w:rPr>
        <w:t>Pay Transparency Non-Discrimination Notice</w:t>
      </w:r>
      <w:r w:rsidRPr="00DD7BD1">
        <w:rPr>
          <w:rFonts w:ascii="Calibri" w:eastAsiaTheme="minorHAnsi" w:hAnsi="Calibri" w:cs="Calibri"/>
          <w:b w:val="0"/>
          <w:bCs w:val="0"/>
          <w:sz w:val="22"/>
          <w:szCs w:val="22"/>
        </w:rPr>
        <w:t> and the </w:t>
      </w:r>
      <w:r w:rsidRPr="00DD7BD1">
        <w:rPr>
          <w:rFonts w:ascii="Calibri" w:eastAsiaTheme="minorHAnsi" w:hAnsi="Calibri" w:cs="Calibri"/>
          <w:sz w:val="22"/>
          <w:szCs w:val="22"/>
        </w:rPr>
        <w:t>EO 14026 Federal Contractor Minimum Wage Notice ($17.75)</w:t>
      </w:r>
      <w:r w:rsidRPr="00DD7BD1">
        <w:rPr>
          <w:rFonts w:ascii="Calibri" w:eastAsiaTheme="minorHAnsi" w:hAnsi="Calibri" w:cs="Calibri"/>
          <w:b w:val="0"/>
          <w:bCs w:val="0"/>
          <w:sz w:val="22"/>
          <w:szCs w:val="22"/>
        </w:rPr>
        <w:t xml:space="preserve">. With these changes, the contractor minimum wage now reverts to $13.30 under EO 13658, and the Pay Transparency notice is no longer required to be posted. </w:t>
      </w:r>
    </w:p>
    <w:p w14:paraId="4397DEC5" w14:textId="77777777" w:rsidR="00F17B01" w:rsidRPr="00DD7BD1" w:rsidRDefault="00F17B01" w:rsidP="003D31A5">
      <w:pPr>
        <w:pStyle w:val="ParagraphBasic"/>
        <w:spacing w:after="0" w:line="240" w:lineRule="auto"/>
        <w:rPr>
          <w:rStyle w:val="Hyperlink"/>
          <w:rFonts w:ascii="Calibri" w:hAnsi="Calibri" w:cs="Calibri"/>
          <w:b/>
          <w:bCs/>
          <w:color w:val="auto"/>
          <w:kern w:val="36"/>
          <w:sz w:val="28"/>
          <w:szCs w:val="28"/>
          <w:u w:val="none"/>
        </w:rPr>
      </w:pPr>
    </w:p>
    <w:p w14:paraId="14B0301F" w14:textId="77777777" w:rsidR="00F17B01" w:rsidRPr="00DD7BD1" w:rsidRDefault="00F17B01" w:rsidP="007D0B93">
      <w:pPr>
        <w:pStyle w:val="ParagraphBasic"/>
        <w:spacing w:after="0" w:line="240" w:lineRule="auto"/>
        <w:ind w:left="360"/>
        <w:rPr>
          <w:rStyle w:val="Hyperlink"/>
          <w:rFonts w:ascii="Calibri" w:hAnsi="Calibri" w:cs="Calibri"/>
          <w:b/>
          <w:bCs/>
          <w:color w:val="auto"/>
          <w:kern w:val="36"/>
          <w:sz w:val="28"/>
          <w:szCs w:val="28"/>
          <w:u w:val="none"/>
        </w:rPr>
      </w:pPr>
    </w:p>
    <w:p w14:paraId="45D76E52" w14:textId="63893ADF" w:rsidR="00ED58D7" w:rsidRDefault="009040C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State Workplace Notices</w:t>
      </w:r>
      <w:r w:rsidR="00ED00E2" w:rsidRPr="00DD7BD1">
        <w:rPr>
          <w:rStyle w:val="Hyperlink"/>
          <w:rFonts w:ascii="Calibri" w:hAnsi="Calibri" w:cs="Calibri"/>
          <w:b/>
          <w:bCs/>
          <w:color w:val="auto"/>
          <w:kern w:val="36"/>
          <w:sz w:val="28"/>
          <w:szCs w:val="28"/>
          <w:u w:val="none"/>
        </w:rPr>
        <w:t xml:space="preserve"> (YTD in Alphabetical order</w:t>
      </w:r>
      <w:r w:rsidR="001C5F42" w:rsidRPr="00DD7BD1">
        <w:rPr>
          <w:rStyle w:val="Hyperlink"/>
          <w:rFonts w:ascii="Calibri" w:hAnsi="Calibri" w:cs="Calibri"/>
          <w:b/>
          <w:bCs/>
          <w:color w:val="auto"/>
          <w:kern w:val="36"/>
          <w:sz w:val="28"/>
          <w:szCs w:val="28"/>
          <w:u w:val="none"/>
        </w:rPr>
        <w:t>)</w:t>
      </w:r>
    </w:p>
    <w:p w14:paraId="18031D3F" w14:textId="281AD59F" w:rsidR="00363B4D" w:rsidRDefault="00363B4D" w:rsidP="007D0B93">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April</w:t>
      </w:r>
    </w:p>
    <w:p w14:paraId="07B69006" w14:textId="77777777" w:rsidR="004C35C0" w:rsidRPr="0059210A" w:rsidRDefault="004C35C0">
      <w:pPr>
        <w:pStyle w:val="MainSectionHead"/>
        <w:numPr>
          <w:ilvl w:val="0"/>
          <w:numId w:val="334"/>
        </w:numPr>
        <w:tabs>
          <w:tab w:val="num" w:pos="360"/>
        </w:tabs>
        <w:spacing w:line="240" w:lineRule="auto"/>
        <w:ind w:left="540" w:hanging="180"/>
        <w:rPr>
          <w:caps/>
          <w:color w:val="0070C0"/>
          <w:sz w:val="22"/>
          <w:szCs w:val="22"/>
        </w:rPr>
      </w:pPr>
      <w:r w:rsidRPr="0059210A">
        <w:rPr>
          <w:caps/>
          <w:color w:val="0070C0"/>
          <w:sz w:val="22"/>
          <w:szCs w:val="22"/>
        </w:rPr>
        <w:t xml:space="preserve">Alaska – </w:t>
      </w:r>
      <w:r w:rsidRPr="0059210A">
        <w:rPr>
          <w:b w:val="0"/>
          <w:bCs w:val="0"/>
          <w:color w:val="auto"/>
          <w:sz w:val="22"/>
          <w:szCs w:val="22"/>
        </w:rPr>
        <w:t>The state has released several labor law posting updates</w:t>
      </w:r>
    </w:p>
    <w:p w14:paraId="01BFF2BA" w14:textId="77777777" w:rsidR="004C35C0" w:rsidRPr="0059210A" w:rsidRDefault="004C35C0">
      <w:pPr>
        <w:pStyle w:val="ListParagraph"/>
        <w:numPr>
          <w:ilvl w:val="2"/>
          <w:numId w:val="334"/>
        </w:numPr>
        <w:spacing w:after="0" w:line="240" w:lineRule="auto"/>
        <w:ind w:left="1350"/>
        <w:rPr>
          <w:noProof/>
          <w:color w:val="0E425C"/>
        </w:rPr>
      </w:pPr>
      <w:hyperlink r:id="rId16" w:history="1">
        <w:r w:rsidRPr="0059210A">
          <w:rPr>
            <w:b/>
            <w:bCs/>
            <w:caps/>
            <w:noProof/>
            <w:color w:val="0070C0"/>
            <w:u w:val="single"/>
          </w:rPr>
          <w:t>Alaska Minimum Wage Notice</w:t>
        </w:r>
      </w:hyperlink>
      <w:r w:rsidRPr="0059210A">
        <w:rPr>
          <w:b/>
          <w:bCs/>
          <w:caps/>
          <w:noProof/>
          <w:color w:val="0070C0"/>
          <w:u w:val="single"/>
        </w:rPr>
        <w:t xml:space="preserve"> </w:t>
      </w:r>
      <w:r w:rsidRPr="0059210A">
        <w:rPr>
          <w:noProof/>
        </w:rPr>
        <w:t>7/1/2026</w:t>
      </w:r>
    </w:p>
    <w:p w14:paraId="7AC8DF4E" w14:textId="77777777" w:rsidR="0059210A" w:rsidRPr="0059210A" w:rsidRDefault="004C35C0">
      <w:pPr>
        <w:pStyle w:val="ListParagraph"/>
        <w:numPr>
          <w:ilvl w:val="2"/>
          <w:numId w:val="334"/>
        </w:numPr>
        <w:spacing w:after="100" w:line="240" w:lineRule="auto"/>
        <w:ind w:left="1350"/>
        <w:rPr>
          <w:noProof/>
          <w:color w:val="0E425C"/>
        </w:rPr>
      </w:pPr>
      <w:hyperlink r:id="rId17" w:history="1">
        <w:r w:rsidRPr="0059210A">
          <w:rPr>
            <w:rStyle w:val="Hyperlink"/>
            <w:bCs/>
            <w:caps/>
            <w:noProof/>
            <w:color w:val="0070C0"/>
          </w:rPr>
          <w:t>Workers’ Compensation Notice</w:t>
        </w:r>
        <w:r w:rsidRPr="0059210A">
          <w:rPr>
            <w:rStyle w:val="Hyperlink"/>
            <w:noProof/>
            <w:color w:val="0070C0"/>
          </w:rPr>
          <w:t xml:space="preserve"> </w:t>
        </w:r>
      </w:hyperlink>
      <w:r w:rsidRPr="0059210A">
        <w:rPr>
          <w:noProof/>
        </w:rPr>
        <w:t>updated to address shortening the employee reporting deadline for workplace injuries from 30 days to 15 days</w:t>
      </w:r>
    </w:p>
    <w:p w14:paraId="20A4168E" w14:textId="2906892A" w:rsidR="004C35C0" w:rsidRPr="0059210A" w:rsidRDefault="004C35C0">
      <w:pPr>
        <w:pStyle w:val="ListParagraph"/>
        <w:numPr>
          <w:ilvl w:val="2"/>
          <w:numId w:val="334"/>
        </w:numPr>
        <w:spacing w:after="100" w:line="240" w:lineRule="auto"/>
        <w:ind w:left="1350"/>
        <w:rPr>
          <w:noProof/>
          <w:color w:val="0E425C"/>
        </w:rPr>
      </w:pPr>
      <w:hyperlink r:id="rId18" w:history="1">
        <w:r w:rsidRPr="0059210A">
          <w:rPr>
            <w:b/>
            <w:bCs/>
            <w:caps/>
            <w:noProof/>
            <w:color w:val="0070C0"/>
            <w:u w:val="single"/>
          </w:rPr>
          <w:t xml:space="preserve">Summary of Alaska Child Labor Law Notice </w:t>
        </w:r>
      </w:hyperlink>
      <w:r w:rsidRPr="0059210A">
        <w:rPr>
          <w:noProof/>
        </w:rPr>
        <w:t>updated with formatting and contact information changes.</w:t>
      </w:r>
    </w:p>
    <w:p w14:paraId="52020B6B"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 xml:space="preserve">Oregon – </w:t>
      </w:r>
      <w:r w:rsidRPr="0059210A">
        <w:rPr>
          <w:b w:val="0"/>
          <w:bCs w:val="0"/>
          <w:color w:val="auto"/>
          <w:sz w:val="22"/>
          <w:szCs w:val="22"/>
        </w:rPr>
        <w:t>The state has released an updated </w:t>
      </w:r>
      <w:hyperlink r:id="rId19" w:history="1">
        <w:r w:rsidRPr="0059210A">
          <w:rPr>
            <w:caps/>
            <w:color w:val="0070C0"/>
            <w:sz w:val="22"/>
            <w:szCs w:val="22"/>
            <w:u w:val="single"/>
          </w:rPr>
          <w:t>Paid Leave Notice</w:t>
        </w:r>
      </w:hyperlink>
      <w:r w:rsidRPr="0059210A">
        <w:rPr>
          <w:caps/>
          <w:color w:val="0070C0"/>
          <w:sz w:val="22"/>
          <w:szCs w:val="22"/>
          <w:u w:val="single"/>
        </w:rPr>
        <w:t>.</w:t>
      </w:r>
      <w:r w:rsidRPr="0059210A">
        <w:rPr>
          <w:b w:val="0"/>
          <w:bCs w:val="0"/>
          <w:sz w:val="22"/>
          <w:szCs w:val="22"/>
        </w:rPr>
        <w:t xml:space="preserve"> </w:t>
      </w:r>
      <w:r w:rsidRPr="0059210A">
        <w:rPr>
          <w:b w:val="0"/>
          <w:bCs w:val="0"/>
          <w:color w:val="auto"/>
          <w:sz w:val="22"/>
          <w:szCs w:val="22"/>
        </w:rPr>
        <w:t>The most notable change adds guidance for unforeseeable leave, requiring employees to notify their employer within 24 hours and provide written notice within three days. The update also clarifies that employees must continue paying their portion of health insurance while on leave.﻿  Access the State’s website tolocate Notice in Spanish as well asother Employer resouces</w:t>
      </w:r>
      <w:r w:rsidRPr="0059210A">
        <w:rPr>
          <w:b w:val="0"/>
          <w:bCs w:val="0"/>
          <w:sz w:val="22"/>
          <w:szCs w:val="22"/>
        </w:rPr>
        <w:t xml:space="preserve"> </w:t>
      </w:r>
      <w:hyperlink r:id="rId20" w:history="1">
        <w:r w:rsidRPr="0059210A">
          <w:rPr>
            <w:caps/>
            <w:color w:val="0070C0"/>
            <w:sz w:val="22"/>
            <w:szCs w:val="22"/>
            <w:u w:val="single"/>
          </w:rPr>
          <w:t>HERE</w:t>
        </w:r>
      </w:hyperlink>
    </w:p>
    <w:p w14:paraId="337CECCD"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 xml:space="preserve">Maine – </w:t>
      </w:r>
      <w:r w:rsidRPr="0059210A">
        <w:rPr>
          <w:b w:val="0"/>
          <w:bCs w:val="0"/>
          <w:color w:val="auto"/>
          <w:sz w:val="22"/>
          <w:szCs w:val="22"/>
        </w:rPr>
        <w:t xml:space="preserve">The state has released sample written notice (for new hires) and a labor poster regarding Paid Family &amp; Medical Leave (PFML) in multiple languages and can be accessed on the state webiste accessible </w:t>
      </w:r>
      <w:r w:rsidRPr="0059210A">
        <w:rPr>
          <w:sz w:val="22"/>
          <w:szCs w:val="22"/>
        </w:rPr>
        <w:t xml:space="preserve"> </w:t>
      </w:r>
      <w:hyperlink r:id="rId21" w:history="1">
        <w:r w:rsidRPr="0059210A">
          <w:rPr>
            <w:caps/>
            <w:color w:val="0070C0"/>
            <w:sz w:val="22"/>
            <w:szCs w:val="22"/>
            <w:u w:val="single"/>
          </w:rPr>
          <w:t>HERE</w:t>
        </w:r>
      </w:hyperlink>
    </w:p>
    <w:p w14:paraId="5A9541A6"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New York</w:t>
      </w:r>
    </w:p>
    <w:p w14:paraId="2B045A98" w14:textId="77777777" w:rsidR="004C35C0" w:rsidRPr="0059210A" w:rsidRDefault="004C35C0">
      <w:pPr>
        <w:pStyle w:val="MainSectionHead"/>
        <w:numPr>
          <w:ilvl w:val="2"/>
          <w:numId w:val="334"/>
        </w:numPr>
        <w:spacing w:before="0" w:after="0"/>
        <w:ind w:left="1350"/>
        <w:rPr>
          <w:caps/>
          <w:color w:val="0070C0"/>
          <w:sz w:val="22"/>
          <w:szCs w:val="22"/>
        </w:rPr>
      </w:pPr>
      <w:r w:rsidRPr="0059210A">
        <w:rPr>
          <w:caps/>
          <w:color w:val="0070C0"/>
          <w:sz w:val="22"/>
          <w:szCs w:val="22"/>
        </w:rPr>
        <w:t xml:space="preserve">New York City – </w:t>
      </w:r>
      <w:r w:rsidRPr="0059210A">
        <w:rPr>
          <w:b w:val="0"/>
          <w:bCs w:val="0"/>
          <w:color w:val="auto"/>
          <w:sz w:val="22"/>
          <w:szCs w:val="22"/>
        </w:rPr>
        <w:t>Reminder of City’s released</w:t>
      </w:r>
      <w:r w:rsidRPr="0059210A">
        <w:rPr>
          <w:b w:val="0"/>
          <w:bCs w:val="0"/>
          <w:sz w:val="22"/>
          <w:szCs w:val="22"/>
        </w:rPr>
        <w:t xml:space="preserve"> </w:t>
      </w:r>
      <w:hyperlink r:id="rId22" w:tgtFrame="_blank" w:history="1">
        <w:r w:rsidRPr="0059210A">
          <w:rPr>
            <w:caps/>
            <w:color w:val="0070C0"/>
            <w:sz w:val="22"/>
            <w:szCs w:val="22"/>
            <w:u w:val="single"/>
          </w:rPr>
          <w:t>Protected Time Off Notice</w:t>
        </w:r>
      </w:hyperlink>
      <w:r w:rsidRPr="0059210A">
        <w:rPr>
          <w:b w:val="0"/>
          <w:bCs w:val="0"/>
          <w:sz w:val="22"/>
          <w:szCs w:val="22"/>
        </w:rPr>
        <w:t> </w:t>
      </w:r>
      <w:r w:rsidRPr="0059210A">
        <w:rPr>
          <w:b w:val="0"/>
          <w:bCs w:val="0"/>
          <w:color w:val="auto"/>
          <w:sz w:val="22"/>
          <w:szCs w:val="22"/>
        </w:rPr>
        <w:t>that needs to be distributed to all New York City employees (previously released in the February WIRE State Section)</w:t>
      </w:r>
    </w:p>
    <w:p w14:paraId="6114322A" w14:textId="77777777" w:rsidR="004C35C0" w:rsidRPr="0059210A" w:rsidRDefault="004C35C0">
      <w:pPr>
        <w:pStyle w:val="MainSectionHead"/>
        <w:numPr>
          <w:ilvl w:val="0"/>
          <w:numId w:val="334"/>
        </w:numPr>
        <w:tabs>
          <w:tab w:val="num" w:pos="360"/>
        </w:tabs>
        <w:ind w:left="540" w:hanging="180"/>
        <w:rPr>
          <w:sz w:val="22"/>
          <w:szCs w:val="22"/>
        </w:rPr>
      </w:pPr>
      <w:r w:rsidRPr="0059210A">
        <w:rPr>
          <w:caps/>
          <w:color w:val="0070C0"/>
          <w:sz w:val="22"/>
          <w:szCs w:val="22"/>
        </w:rPr>
        <w:t>vermont –</w:t>
      </w:r>
      <w:r w:rsidRPr="0059210A">
        <w:rPr>
          <w:caps/>
          <w:color w:val="auto"/>
          <w:sz w:val="22"/>
          <w:szCs w:val="22"/>
        </w:rPr>
        <w:t xml:space="preserve"> </w:t>
      </w:r>
      <w:r w:rsidRPr="0059210A">
        <w:rPr>
          <w:b w:val="0"/>
          <w:bCs w:val="0"/>
          <w:color w:val="auto"/>
          <w:sz w:val="22"/>
          <w:szCs w:val="22"/>
        </w:rPr>
        <w:t>The state has released an updated</w:t>
      </w:r>
      <w:r w:rsidRPr="0059210A">
        <w:rPr>
          <w:b w:val="0"/>
          <w:bCs w:val="0"/>
          <w:sz w:val="22"/>
          <w:szCs w:val="22"/>
        </w:rPr>
        <w:t xml:space="preserve"> </w:t>
      </w:r>
      <w:hyperlink r:id="rId23" w:history="1">
        <w:r w:rsidRPr="0059210A">
          <w:rPr>
            <w:caps/>
            <w:color w:val="0070C0"/>
            <w:sz w:val="22"/>
            <w:szCs w:val="22"/>
            <w:u w:val="single"/>
          </w:rPr>
          <w:t>Unemployment Insurance Notice</w:t>
        </w:r>
      </w:hyperlink>
      <w:r w:rsidRPr="0059210A">
        <w:rPr>
          <w:caps/>
          <w:color w:val="0070C0"/>
          <w:sz w:val="22"/>
          <w:szCs w:val="22"/>
          <w:u w:val="single"/>
        </w:rPr>
        <w:t xml:space="preserve"> </w:t>
      </w:r>
      <w:r w:rsidRPr="0059210A">
        <w:rPr>
          <w:b w:val="0"/>
          <w:bCs w:val="0"/>
          <w:color w:val="auto"/>
          <w:sz w:val="22"/>
          <w:szCs w:val="22"/>
        </w:rPr>
        <w:t>revised formatting, added a statutory reference, and expanded employee eligibility language to include protections related to sexual violence and stalking.</w:t>
      </w:r>
    </w:p>
    <w:p w14:paraId="491441EF" w14:textId="77777777" w:rsidR="00363B4D" w:rsidRPr="00DD7BD1" w:rsidRDefault="00363B4D" w:rsidP="0059210A">
      <w:pPr>
        <w:pStyle w:val="ParagraphBasic"/>
        <w:spacing w:after="0" w:line="240" w:lineRule="auto"/>
        <w:rPr>
          <w:rStyle w:val="Hyperlink"/>
          <w:rFonts w:ascii="Calibri" w:hAnsi="Calibri" w:cs="Calibri"/>
          <w:b/>
          <w:bCs/>
          <w:color w:val="auto"/>
          <w:kern w:val="36"/>
          <w:sz w:val="28"/>
          <w:szCs w:val="28"/>
          <w:u w:val="none"/>
        </w:rPr>
      </w:pPr>
    </w:p>
    <w:p w14:paraId="53314F82" w14:textId="11532D86"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March</w:t>
      </w:r>
    </w:p>
    <w:p w14:paraId="40E1471A" w14:textId="77777777" w:rsidR="00FF2E8E" w:rsidRPr="00C61DC8" w:rsidRDefault="00FF2E8E">
      <w:pPr>
        <w:pStyle w:val="ListParagraph"/>
        <w:numPr>
          <w:ilvl w:val="0"/>
          <w:numId w:val="327"/>
        </w:numPr>
        <w:spacing w:after="0" w:line="240" w:lineRule="auto"/>
      </w:pPr>
      <w:r w:rsidRPr="0059210A">
        <w:rPr>
          <w:rFonts w:ascii="Calibri" w:eastAsiaTheme="minorEastAsia" w:hAnsi="Calibri" w:cs="Calibri"/>
          <w:b/>
          <w:bCs/>
          <w:caps/>
          <w:noProof/>
          <w:color w:val="0070C0"/>
        </w:rPr>
        <w:t>MINNESOTA</w:t>
      </w:r>
      <w:r w:rsidRPr="00FF2E8E">
        <w:rPr>
          <w:b/>
          <w:bCs/>
          <w:noProof/>
          <w:color w:val="0E425C"/>
          <w:sz w:val="28"/>
          <w:szCs w:val="28"/>
        </w:rPr>
        <w:t xml:space="preserve"> </w:t>
      </w:r>
      <w:r w:rsidRPr="00C61DC8">
        <w:t xml:space="preserve">– updated </w:t>
      </w:r>
      <w:hyperlink r:id="rId24" w:history="1">
        <w:r w:rsidRPr="00C61DC8">
          <w:rPr>
            <w:rStyle w:val="Hyperlink"/>
          </w:rPr>
          <w:t>Workers Compensation Notice</w:t>
        </w:r>
      </w:hyperlink>
      <w:r w:rsidRPr="00C61DC8">
        <w:t xml:space="preserve"> released</w:t>
      </w:r>
    </w:p>
    <w:p w14:paraId="6C4C2982" w14:textId="77777777"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p>
    <w:p w14:paraId="5CD40BB8" w14:textId="1EC6FEFF" w:rsidR="000D7723" w:rsidRPr="00DD7BD1" w:rsidRDefault="003D31A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February</w:t>
      </w:r>
    </w:p>
    <w:p w14:paraId="30DBAC7F" w14:textId="77777777" w:rsidR="003D31A5" w:rsidRPr="00DD7BD1" w:rsidRDefault="003D31A5" w:rsidP="003D31A5">
      <w:pPr>
        <w:pStyle w:val="bodytext0"/>
        <w:numPr>
          <w:ilvl w:val="0"/>
          <w:numId w:val="314"/>
        </w:numPr>
        <w:spacing w:after="0" w:line="240" w:lineRule="auto"/>
        <w:rPr>
          <w:rFonts w:ascii="Calibri" w:eastAsiaTheme="minorHAnsi" w:hAnsi="Calibri" w:cs="Calibri"/>
          <w:sz w:val="23"/>
          <w:szCs w:val="23"/>
        </w:rPr>
      </w:pPr>
      <w:r w:rsidRPr="00DD7BD1">
        <w:rPr>
          <w:rStyle w:val="Hyperlink"/>
          <w:rFonts w:ascii="Calibri" w:eastAsiaTheme="minorHAnsi" w:hAnsi="Calibri" w:cs="Calibri"/>
          <w:b/>
          <w:bCs/>
          <w:color w:val="auto"/>
          <w:sz w:val="23"/>
          <w:szCs w:val="23"/>
          <w:u w:val="none"/>
        </w:rPr>
        <w:lastRenderedPageBreak/>
        <w:t>CA</w:t>
      </w:r>
      <w:r w:rsidRPr="00DD7BD1">
        <w:rPr>
          <w:rStyle w:val="Hyperlink"/>
          <w:rFonts w:ascii="Calibri" w:eastAsiaTheme="minorHAnsi" w:hAnsi="Calibri" w:cs="Calibri"/>
          <w:color w:val="auto"/>
          <w:sz w:val="23"/>
          <w:szCs w:val="23"/>
          <w:u w:val="none"/>
        </w:rPr>
        <w:t xml:space="preserve"> – updated</w:t>
      </w:r>
      <w:hyperlink r:id="rId25" w:history="1">
        <w:r w:rsidRPr="00DD7BD1">
          <w:rPr>
            <w:rStyle w:val="Hyperlink"/>
            <w:rFonts w:ascii="Calibri" w:eastAsiaTheme="minorHAnsi" w:hAnsi="Calibri" w:cs="Calibri"/>
            <w:sz w:val="23"/>
            <w:szCs w:val="23"/>
          </w:rPr>
          <w:t xml:space="preserve"> </w:t>
        </w:r>
        <w:r w:rsidRPr="00DD7BD1">
          <w:rPr>
            <w:rStyle w:val="Hyperlink"/>
            <w:rFonts w:ascii="Calibri" w:eastAsiaTheme="minorHAnsi" w:hAnsi="Calibri" w:cs="Calibri"/>
            <w:b/>
            <w:bCs/>
            <w:sz w:val="23"/>
            <w:szCs w:val="23"/>
          </w:rPr>
          <w:t>Minimum Wage Labor Notice</w:t>
        </w:r>
      </w:hyperlink>
      <w:r w:rsidRPr="00DD7BD1">
        <w:rPr>
          <w:rStyle w:val="Hyperlink"/>
          <w:rFonts w:ascii="Calibri" w:eastAsiaTheme="minorHAnsi" w:hAnsi="Calibri" w:cs="Calibri"/>
          <w:color w:val="auto"/>
          <w:sz w:val="23"/>
          <w:szCs w:val="23"/>
          <w:u w:val="none"/>
        </w:rPr>
        <w:t xml:space="preserve"> released by </w:t>
      </w:r>
      <w:r w:rsidRPr="00DD7BD1">
        <w:rPr>
          <w:rFonts w:ascii="Calibri" w:hAnsi="Calibri" w:cs="Calibri"/>
          <w:sz w:val="23"/>
          <w:szCs w:val="23"/>
        </w:rPr>
        <w:t>California Department of Industrial Relations. A Spanish version will soon be available DIR’s website at its </w:t>
      </w:r>
      <w:hyperlink r:id="rId26" w:history="1">
        <w:r w:rsidRPr="00DD7BD1">
          <w:rPr>
            <w:rStyle w:val="Hyperlink"/>
            <w:rFonts w:ascii="Calibri" w:eastAsiaTheme="minorHAnsi" w:hAnsi="Calibri" w:cs="Calibri"/>
            <w:b/>
            <w:bCs/>
            <w:sz w:val="23"/>
            <w:szCs w:val="23"/>
          </w:rPr>
          <w:t>Workplace Postings</w:t>
        </w:r>
      </w:hyperlink>
      <w:r w:rsidRPr="00DD7BD1">
        <w:rPr>
          <w:rFonts w:ascii="Calibri" w:hAnsi="Calibri" w:cs="Calibri"/>
          <w:sz w:val="23"/>
          <w:szCs w:val="23"/>
        </w:rPr>
        <w:t> page</w:t>
      </w:r>
    </w:p>
    <w:p w14:paraId="76754758" w14:textId="77777777"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 xml:space="preserve">NY – </w:t>
      </w:r>
    </w:p>
    <w:p w14:paraId="0C3EF88D" w14:textId="77777777" w:rsidR="003D31A5" w:rsidRPr="00DD7BD1" w:rsidRDefault="003D31A5" w:rsidP="003D31A5">
      <w:pPr>
        <w:pStyle w:val="bodytext0"/>
        <w:numPr>
          <w:ilvl w:val="3"/>
          <w:numId w:val="314"/>
        </w:numPr>
        <w:spacing w:after="0" w:line="240" w:lineRule="auto"/>
        <w:ind w:left="126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Updated </w:t>
      </w:r>
      <w:r w:rsidRPr="00DD7BD1">
        <w:rPr>
          <w:rFonts w:ascii="Calibri" w:eastAsiaTheme="minorHAnsi" w:hAnsi="Calibri" w:cs="Calibri"/>
          <w:sz w:val="23"/>
          <w:szCs w:val="23"/>
        </w:rPr>
        <w:t>Notice of Employee Rights under the Earned Safe and Sick Time Act, now referred to in the notice as the </w:t>
      </w:r>
      <w:hyperlink r:id="rId27" w:history="1">
        <w:r w:rsidRPr="00DD7BD1">
          <w:rPr>
            <w:rStyle w:val="Hyperlink"/>
            <w:rFonts w:ascii="Calibri" w:eastAsiaTheme="minorHAnsi" w:hAnsi="Calibri" w:cs="Calibri"/>
            <w:b/>
            <w:bCs/>
            <w:sz w:val="23"/>
            <w:szCs w:val="23"/>
          </w:rPr>
          <w:t>Protected Time Off Law</w:t>
        </w:r>
      </w:hyperlink>
      <w:r w:rsidRPr="00DD7BD1">
        <w:rPr>
          <w:rStyle w:val="Hyperlink"/>
          <w:rFonts w:ascii="Calibri" w:hAnsi="Calibri" w:cs="Calibri"/>
          <w:b/>
          <w:bCs/>
          <w:sz w:val="23"/>
          <w:szCs w:val="23"/>
        </w:rPr>
        <w:t xml:space="preserve"> Notice</w:t>
      </w:r>
    </w:p>
    <w:p w14:paraId="66D1FD2E" w14:textId="77777777" w:rsidR="003D31A5" w:rsidRPr="00DD7BD1" w:rsidRDefault="003D31A5" w:rsidP="003D31A5">
      <w:pPr>
        <w:pStyle w:val="bodytext0"/>
        <w:numPr>
          <w:ilvl w:val="3"/>
          <w:numId w:val="314"/>
        </w:numPr>
        <w:spacing w:after="0" w:line="240" w:lineRule="auto"/>
        <w:ind w:left="1890"/>
        <w:rPr>
          <w:rFonts w:ascii="Calibri" w:eastAsiaTheme="minorHAnsi" w:hAnsi="Calibri" w:cs="Calibri"/>
          <w:sz w:val="23"/>
          <w:szCs w:val="23"/>
        </w:rPr>
      </w:pPr>
      <w:r w:rsidRPr="00DD7BD1">
        <w:rPr>
          <w:rFonts w:ascii="Calibri" w:eastAsiaTheme="minorHAnsi" w:hAnsi="Calibri" w:cs="Calibri"/>
          <w:sz w:val="23"/>
          <w:szCs w:val="23"/>
        </w:rPr>
        <w:t>Notice reflects structural updates, including 32 hours of unpaid Protected Time Off that are immediately available at the start of the employer’s calendar year, continued accrual at 1 hour for every 30 hours worked, and a separate 20 hours of paid prenatal leave annually. Whether accrued leave is paid or unpaid depends on employer size and income thresholds. All NYC employers must post the updated notice and provide it to employees in their primary language at hire and whenever rights change.﻿</w:t>
      </w:r>
    </w:p>
    <w:p w14:paraId="20EAC440" w14:textId="284BB262" w:rsidR="003D31A5" w:rsidRPr="00DD7BD1" w:rsidRDefault="003D31A5" w:rsidP="003D31A5">
      <w:pPr>
        <w:pStyle w:val="bodytext0"/>
        <w:numPr>
          <w:ilvl w:val="2"/>
          <w:numId w:val="314"/>
        </w:numPr>
        <w:spacing w:after="0" w:line="240" w:lineRule="auto"/>
        <w:ind w:left="1260"/>
        <w:rPr>
          <w:rStyle w:val="Hyperlink"/>
          <w:rFonts w:ascii="Calibri" w:eastAsiaTheme="minorHAnsi" w:hAnsi="Calibri" w:cs="Calibri"/>
          <w:color w:val="auto"/>
          <w:sz w:val="23"/>
          <w:szCs w:val="23"/>
          <w:u w:val="none"/>
        </w:rPr>
      </w:pPr>
      <w:r w:rsidRPr="00DD7BD1">
        <w:rPr>
          <w:rFonts w:ascii="Calibri" w:eastAsiaTheme="minorHAnsi" w:hAnsi="Calibri" w:cs="Calibri"/>
          <w:b/>
          <w:bCs/>
          <w:sz w:val="23"/>
          <w:szCs w:val="23"/>
        </w:rPr>
        <w:t>NY</w:t>
      </w:r>
      <w:r w:rsidRPr="00DD7BD1">
        <w:rPr>
          <w:rFonts w:ascii="Calibri" w:eastAsiaTheme="minorHAnsi" w:hAnsi="Calibri" w:cs="Calibri"/>
          <w:b/>
          <w:bCs/>
          <w:sz w:val="23"/>
          <w:szCs w:val="23"/>
          <w:u w:val="single"/>
        </w:rPr>
        <w:t>C</w:t>
      </w:r>
      <w:r w:rsidRPr="00DD7BD1">
        <w:rPr>
          <w:rFonts w:ascii="Calibri" w:eastAsiaTheme="minorHAnsi" w:hAnsi="Calibri" w:cs="Calibri"/>
          <w:sz w:val="23"/>
          <w:szCs w:val="23"/>
        </w:rPr>
        <w:t xml:space="preserve"> – Updated </w:t>
      </w:r>
      <w:hyperlink r:id="rId28" w:history="1">
        <w:r w:rsidRPr="00DD7BD1">
          <w:rPr>
            <w:rStyle w:val="Hyperlink"/>
            <w:rFonts w:ascii="Calibri" w:eastAsiaTheme="minorHAnsi" w:hAnsi="Calibri" w:cs="Calibri"/>
            <w:sz w:val="23"/>
            <w:szCs w:val="23"/>
          </w:rPr>
          <w:t>Notice of Employee Rights</w:t>
        </w:r>
      </w:hyperlink>
      <w:r w:rsidRPr="00DD7BD1">
        <w:rPr>
          <w:rFonts w:ascii="Calibri" w:eastAsiaTheme="minorHAnsi" w:hAnsi="Calibri" w:cs="Calibri"/>
          <w:sz w:val="23"/>
          <w:szCs w:val="23"/>
        </w:rPr>
        <w:t xml:space="preserve"> related to new updated sick leave &amp; new covered uses for sick leave effective 2.22.26 (required to be distributed to employees) </w:t>
      </w:r>
    </w:p>
    <w:p w14:paraId="18A59A1F" w14:textId="601443AD"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WA</w:t>
      </w:r>
      <w:r w:rsidRPr="00DD7BD1">
        <w:rPr>
          <w:rStyle w:val="Hyperlink"/>
          <w:rFonts w:ascii="Calibri" w:eastAsiaTheme="minorHAnsi" w:hAnsi="Calibri" w:cs="Calibri"/>
          <w:color w:val="auto"/>
          <w:sz w:val="23"/>
          <w:szCs w:val="23"/>
          <w:u w:val="none"/>
        </w:rPr>
        <w:t xml:space="preserve"> – released new</w:t>
      </w:r>
      <w:r w:rsidRPr="00DD7BD1">
        <w:rPr>
          <w:rStyle w:val="Hyperlink"/>
          <w:rFonts w:ascii="Calibri" w:eastAsiaTheme="minorHAnsi" w:hAnsi="Calibri" w:cs="Calibri"/>
          <w:b/>
          <w:bCs/>
          <w:color w:val="auto"/>
          <w:sz w:val="23"/>
          <w:szCs w:val="23"/>
          <w:u w:val="none"/>
        </w:rPr>
        <w:t xml:space="preserve"> PFML Job Protections </w:t>
      </w:r>
      <w:hyperlink r:id="rId29" w:history="1">
        <w:r w:rsidRPr="00DD7BD1">
          <w:rPr>
            <w:rStyle w:val="Hyperlink"/>
            <w:rFonts w:ascii="Calibri" w:hAnsi="Calibri" w:cs="Calibri"/>
            <w:b/>
            <w:bCs/>
            <w:sz w:val="23"/>
            <w:szCs w:val="23"/>
          </w:rPr>
          <w:t>Notice</w:t>
        </w:r>
      </w:hyperlink>
    </w:p>
    <w:p w14:paraId="0AB8F2BC" w14:textId="1C28F8CD" w:rsidR="003D31A5" w:rsidRPr="00DD7BD1" w:rsidRDefault="003D31A5" w:rsidP="007D0B93">
      <w:pPr>
        <w:pStyle w:val="ParagraphBasic"/>
        <w:spacing w:after="0" w:line="240" w:lineRule="auto"/>
        <w:ind w:left="360"/>
        <w:rPr>
          <w:rStyle w:val="Hyperlink"/>
          <w:rFonts w:ascii="Calibri" w:hAnsi="Calibri" w:cs="Calibri"/>
          <w:b/>
          <w:bCs/>
          <w:color w:val="auto"/>
          <w:kern w:val="36"/>
          <w:sz w:val="16"/>
          <w:szCs w:val="16"/>
          <w:u w:val="none"/>
        </w:rPr>
      </w:pPr>
    </w:p>
    <w:p w14:paraId="1DE13A15" w14:textId="241668A3" w:rsidR="000D7723" w:rsidRPr="00DD7BD1" w:rsidRDefault="000D7723"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 xml:space="preserve">January </w:t>
      </w:r>
    </w:p>
    <w:p w14:paraId="482DC367"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AR – </w:t>
      </w:r>
      <w:r w:rsidRPr="00DD7BD1">
        <w:rPr>
          <w:rStyle w:val="Hyperlink"/>
          <w:rFonts w:ascii="Calibri" w:eastAsiaTheme="minorHAnsi" w:hAnsi="Calibri" w:cs="Calibri"/>
          <w:b w:val="0"/>
          <w:bCs w:val="0"/>
          <w:color w:val="auto"/>
          <w:sz w:val="23"/>
          <w:szCs w:val="23"/>
          <w:u w:val="none"/>
        </w:rPr>
        <w:t xml:space="preserve">new </w:t>
      </w:r>
      <w:hyperlink r:id="rId30" w:history="1">
        <w:r w:rsidRPr="00DD7BD1">
          <w:rPr>
            <w:rStyle w:val="Hyperlink"/>
            <w:rFonts w:ascii="Calibri" w:eastAsiaTheme="minorHAnsi" w:hAnsi="Calibri" w:cs="Calibri"/>
            <w:sz w:val="23"/>
            <w:szCs w:val="23"/>
          </w:rPr>
          <w:t>Veteran’s Benefits &amp; Services</w:t>
        </w:r>
      </w:hyperlink>
      <w:r w:rsidRPr="00DD7BD1">
        <w:rPr>
          <w:rStyle w:val="Hyperlink"/>
          <w:rFonts w:ascii="Calibri" w:eastAsiaTheme="minorHAnsi" w:hAnsi="Calibri" w:cs="Calibri"/>
          <w:b w:val="0"/>
          <w:bCs w:val="0"/>
          <w:color w:val="auto"/>
          <w:sz w:val="23"/>
          <w:szCs w:val="23"/>
          <w:u w:val="none"/>
        </w:rPr>
        <w:t xml:space="preserve"> notice released.  </w:t>
      </w:r>
      <w:r w:rsidRPr="00DD7BD1">
        <w:rPr>
          <w:rFonts w:ascii="Calibri" w:eastAsiaTheme="minorHAnsi" w:hAnsi="Calibri" w:cs="Calibri"/>
          <w:b w:val="0"/>
          <w:bCs w:val="0"/>
          <w:sz w:val="23"/>
          <w:szCs w:val="23"/>
        </w:rPr>
        <w:t>Employers with 50 or more full-time equivalent employees are required to display it in a conspicuous area in the workplace that’s accessible to all employees.</w:t>
      </w:r>
    </w:p>
    <w:p w14:paraId="1EAE2188"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CA –</w:t>
      </w:r>
      <w:r w:rsidRPr="00DD7BD1">
        <w:rPr>
          <w:rFonts w:ascii="Calibri" w:eastAsiaTheme="minorHAnsi" w:hAnsi="Calibri" w:cs="Calibri"/>
          <w:b w:val="0"/>
          <w:bCs w:val="0"/>
          <w:sz w:val="23"/>
          <w:szCs w:val="23"/>
        </w:rPr>
        <w:t xml:space="preserve"> updated</w:t>
      </w:r>
      <w:r w:rsidRPr="00DD7BD1">
        <w:rPr>
          <w:rFonts w:ascii="Calibri" w:eastAsiaTheme="minorHAnsi" w:hAnsi="Calibri" w:cs="Calibri"/>
          <w:sz w:val="23"/>
          <w:szCs w:val="23"/>
        </w:rPr>
        <w:t xml:space="preserve"> </w:t>
      </w:r>
      <w:hyperlink r:id="rId31" w:history="1">
        <w:r w:rsidRPr="00DD7BD1">
          <w:rPr>
            <w:rStyle w:val="Hyperlink"/>
            <w:rFonts w:ascii="Calibri" w:eastAsiaTheme="minorHAnsi" w:hAnsi="Calibri" w:cs="Calibri"/>
            <w:sz w:val="23"/>
            <w:szCs w:val="23"/>
          </w:rPr>
          <w:t>Paid Sick Leave Notice</w:t>
        </w:r>
      </w:hyperlink>
      <w:r w:rsidRPr="00DD7BD1">
        <w:rPr>
          <w:rFonts w:ascii="Calibri" w:hAnsi="Calibri" w:cs="Calibri"/>
        </w:rPr>
        <w:t xml:space="preserve"> </w:t>
      </w:r>
      <w:r w:rsidRPr="00DD7BD1">
        <w:rPr>
          <w:rFonts w:ascii="Calibri" w:hAnsi="Calibri" w:cs="Calibri"/>
          <w:b w:val="0"/>
          <w:bCs w:val="0"/>
          <w:sz w:val="22"/>
          <w:szCs w:val="22"/>
        </w:rPr>
        <w:t>and</w:t>
      </w:r>
      <w:r w:rsidRPr="00DD7BD1">
        <w:rPr>
          <w:rFonts w:ascii="Calibri" w:hAnsi="Calibri" w:cs="Calibri"/>
        </w:rPr>
        <w:t xml:space="preserve"> </w:t>
      </w:r>
      <w:hyperlink r:id="rId32" w:history="1">
        <w:r w:rsidRPr="00DD7BD1">
          <w:rPr>
            <w:rStyle w:val="Hyperlink"/>
            <w:rFonts w:ascii="Calibri" w:eastAsiaTheme="minorHAnsi" w:hAnsi="Calibri" w:cs="Calibri"/>
            <w:sz w:val="23"/>
            <w:szCs w:val="23"/>
          </w:rPr>
          <w:t>2026 Know Your Rights Notice</w:t>
        </w:r>
      </w:hyperlink>
    </w:p>
    <w:p w14:paraId="19493374"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DC – </w:t>
      </w:r>
      <w:r w:rsidRPr="00DD7BD1">
        <w:rPr>
          <w:rStyle w:val="Hyperlink"/>
          <w:rFonts w:ascii="Calibri" w:eastAsiaTheme="minorHAnsi" w:hAnsi="Calibri" w:cs="Calibri"/>
          <w:b w:val="0"/>
          <w:bCs w:val="0"/>
          <w:color w:val="auto"/>
          <w:sz w:val="23"/>
          <w:szCs w:val="23"/>
          <w:u w:val="none"/>
        </w:rPr>
        <w:t xml:space="preserve">updated </w:t>
      </w:r>
      <w:hyperlink r:id="rId33" w:history="1">
        <w:r w:rsidRPr="00DD7BD1">
          <w:rPr>
            <w:rStyle w:val="Hyperlink"/>
            <w:rFonts w:ascii="Calibri" w:eastAsiaTheme="minorHAnsi" w:hAnsi="Calibri" w:cs="Calibri"/>
            <w:sz w:val="23"/>
            <w:szCs w:val="23"/>
          </w:rPr>
          <w:t>Min Wage Labor Notice</w:t>
        </w:r>
      </w:hyperlink>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3"/>
          <w:szCs w:val="23"/>
          <w:u w:val="none"/>
        </w:rPr>
        <w:t>effective 7.2026</w:t>
      </w:r>
    </w:p>
    <w:p w14:paraId="28084540" w14:textId="54FB745A"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34" w:history="1">
        <w:r w:rsidRPr="00DD7BD1">
          <w:rPr>
            <w:rStyle w:val="Hyperlink"/>
            <w:rFonts w:ascii="Calibri" w:eastAsiaTheme="minorHAnsi" w:hAnsi="Calibri" w:cs="Calibri"/>
            <w:sz w:val="23"/>
            <w:szCs w:val="23"/>
          </w:rPr>
          <w:t>2026 Paid Family &amp; Medical Leave Notice</w:t>
        </w:r>
      </w:hyperlink>
      <w:r w:rsidRPr="00DD7BD1">
        <w:rPr>
          <w:rStyle w:val="Hyperlink"/>
          <w:rFonts w:ascii="Calibri" w:eastAsiaTheme="minorHAnsi" w:hAnsi="Calibri" w:cs="Calibri"/>
          <w:b w:val="0"/>
          <w:bCs w:val="0"/>
          <w:color w:val="auto"/>
          <w:sz w:val="23"/>
          <w:szCs w:val="23"/>
          <w:u w:val="none"/>
        </w:rPr>
        <w:t xml:space="preserve"> (</w:t>
      </w:r>
      <w:r w:rsidRPr="00DD7BD1">
        <w:rPr>
          <w:rFonts w:ascii="Calibri" w:eastAsiaTheme="minorHAnsi" w:hAnsi="Calibri" w:cs="Calibri"/>
          <w:b w:val="0"/>
          <w:bCs w:val="0"/>
          <w:sz w:val="23"/>
          <w:szCs w:val="23"/>
        </w:rPr>
        <w:t>updates weekly benefit amounts to a range of $100 to $1,647 based on prior earnings, clarifies eligibility requirements, and expands information on job protection and continuation of health care benefits, while adding required equal opportunity and accessibility disclosures.)</w:t>
      </w:r>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2"/>
          <w:szCs w:val="22"/>
          <w:u w:val="none"/>
        </w:rPr>
        <w:t>Learn more:</w:t>
      </w:r>
      <w:r w:rsidRPr="00DD7BD1">
        <w:rPr>
          <w:rStyle w:val="Hyperlink"/>
          <w:rFonts w:ascii="Calibri" w:eastAsiaTheme="minorHAnsi" w:hAnsi="Calibri" w:cs="Calibri"/>
          <w:i/>
          <w:iCs/>
          <w:color w:val="auto"/>
          <w:sz w:val="22"/>
          <w:szCs w:val="22"/>
          <w:u w:val="none"/>
        </w:rPr>
        <w:t xml:space="preserve"> </w:t>
      </w:r>
      <w:r w:rsidRPr="00DD7BD1">
        <w:rPr>
          <w:rStyle w:val="Hyperlink"/>
          <w:rFonts w:ascii="Calibri" w:eastAsiaTheme="minorHAnsi" w:hAnsi="Calibri" w:cs="Calibri"/>
          <w:b w:val="0"/>
          <w:bCs w:val="0"/>
          <w:i/>
          <w:iCs/>
          <w:sz w:val="22"/>
          <w:szCs w:val="22"/>
        </w:rPr>
        <w:t>https://paidleave.wa.gov/updates/</w:t>
      </w:r>
    </w:p>
    <w:p w14:paraId="475407BC" w14:textId="77777777" w:rsidR="00925F5D" w:rsidRPr="00DD7BD1" w:rsidRDefault="00925F5D" w:rsidP="007D0B93">
      <w:pPr>
        <w:pStyle w:val="ParagraphBasic"/>
        <w:spacing w:after="0" w:line="240" w:lineRule="auto"/>
        <w:ind w:left="360"/>
        <w:rPr>
          <w:rStyle w:val="Hyperlink"/>
          <w:rFonts w:ascii="Calibri" w:hAnsi="Calibri" w:cs="Calibri"/>
          <w:b/>
          <w:bCs/>
          <w:color w:val="auto"/>
          <w:kern w:val="36"/>
          <w:sz w:val="16"/>
          <w:szCs w:val="16"/>
          <w:u w:val="none"/>
        </w:rPr>
      </w:pPr>
    </w:p>
    <w:p w14:paraId="147F493F" w14:textId="4B7D7727" w:rsidR="00436D46" w:rsidRPr="00DD7BD1" w:rsidRDefault="00436D46"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December</w:t>
      </w:r>
    </w:p>
    <w:p w14:paraId="50507A8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CA</w:t>
      </w:r>
      <w:r w:rsidRPr="00DD7BD1">
        <w:rPr>
          <w:rStyle w:val="Hyperlink"/>
          <w:rFonts w:ascii="Calibri" w:eastAsiaTheme="minorHAnsi" w:hAnsi="Calibri" w:cs="Calibri"/>
          <w:b w:val="0"/>
          <w:bCs w:val="0"/>
          <w:color w:val="auto"/>
          <w:sz w:val="22"/>
          <w:szCs w:val="22"/>
          <w:u w:val="none"/>
        </w:rPr>
        <w:t xml:space="preserve"> – updated </w:t>
      </w:r>
      <w:hyperlink r:id="rId35" w:history="1">
        <w:r w:rsidRPr="00DD7BD1">
          <w:rPr>
            <w:rStyle w:val="Hyperlink"/>
            <w:rFonts w:ascii="Calibri" w:eastAsiaTheme="minorHAnsi" w:hAnsi="Calibri" w:cs="Calibri"/>
            <w:sz w:val="22"/>
            <w:szCs w:val="22"/>
          </w:rPr>
          <w:t>Minimum Wage Notices</w:t>
        </w:r>
      </w:hyperlink>
      <w:r w:rsidRPr="00DD7BD1">
        <w:rPr>
          <w:rFonts w:ascii="Calibri" w:hAnsi="Calibri" w:cs="Calibri"/>
        </w:rPr>
        <w:t xml:space="preserve"> </w:t>
      </w:r>
    </w:p>
    <w:p w14:paraId="3A7946A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CO</w:t>
      </w:r>
      <w:r w:rsidRPr="00DD7BD1">
        <w:rPr>
          <w:rStyle w:val="Hyperlink"/>
          <w:rFonts w:ascii="Calibri" w:eastAsiaTheme="minorHAnsi" w:hAnsi="Calibri" w:cs="Calibri"/>
          <w:b w:val="0"/>
          <w:bCs w:val="0"/>
          <w:color w:val="auto"/>
          <w:sz w:val="22"/>
          <w:szCs w:val="22"/>
          <w:u w:val="none"/>
        </w:rPr>
        <w:t xml:space="preserve"> – updated </w:t>
      </w:r>
      <w:hyperlink r:id="rId36" w:history="1">
        <w:r w:rsidRPr="00DD7BD1">
          <w:rPr>
            <w:rStyle w:val="Hyperlink"/>
            <w:rFonts w:ascii="Calibri" w:eastAsiaTheme="minorHAnsi" w:hAnsi="Calibri" w:cs="Calibri"/>
            <w:sz w:val="22"/>
            <w:szCs w:val="22"/>
          </w:rPr>
          <w:t>CO Wage &amp; Hour Rights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 xml:space="preserve">and </w:t>
      </w:r>
      <w:hyperlink r:id="rId37" w:history="1">
        <w:r w:rsidRPr="00DD7BD1">
          <w:rPr>
            <w:rStyle w:val="Hyperlink"/>
            <w:rFonts w:ascii="Calibri" w:eastAsiaTheme="minorHAnsi" w:hAnsi="Calibri" w:cs="Calibri"/>
            <w:sz w:val="22"/>
            <w:szCs w:val="22"/>
          </w:rPr>
          <w:t>FAMLI Program </w:t>
        </w:r>
      </w:hyperlink>
    </w:p>
    <w:p w14:paraId="5998B562"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DC</w:t>
      </w:r>
      <w:r w:rsidRPr="00DD7BD1">
        <w:rPr>
          <w:rStyle w:val="Hyperlink"/>
          <w:rFonts w:ascii="Calibri" w:eastAsiaTheme="minorHAnsi" w:hAnsi="Calibri" w:cs="Calibri"/>
          <w:b w:val="0"/>
          <w:bCs w:val="0"/>
          <w:color w:val="auto"/>
          <w:sz w:val="22"/>
          <w:szCs w:val="22"/>
          <w:u w:val="none"/>
        </w:rPr>
        <w:t xml:space="preserve"> – updated </w:t>
      </w:r>
      <w:hyperlink r:id="rId38" w:history="1">
        <w:r w:rsidRPr="00DD7BD1">
          <w:rPr>
            <w:rStyle w:val="Hyperlink"/>
            <w:rFonts w:ascii="Calibri" w:eastAsiaTheme="minorHAnsi" w:hAnsi="Calibri" w:cs="Calibri"/>
            <w:sz w:val="22"/>
            <w:szCs w:val="22"/>
          </w:rPr>
          <w:t>DC Paid Family Leave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(includes increased max weekly benefit amount) Employers have until 2.1.2026 to post/provide Notice</w:t>
      </w:r>
    </w:p>
    <w:p w14:paraId="52735155"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IL </w:t>
      </w:r>
      <w:r w:rsidRPr="00DD7BD1">
        <w:rPr>
          <w:rStyle w:val="Hyperlink"/>
          <w:rFonts w:ascii="Calibri" w:eastAsiaTheme="minorHAnsi" w:hAnsi="Calibri" w:cs="Calibri"/>
          <w:b w:val="0"/>
          <w:bCs w:val="0"/>
          <w:color w:val="auto"/>
          <w:sz w:val="22"/>
          <w:szCs w:val="22"/>
          <w:u w:val="none"/>
        </w:rPr>
        <w:t xml:space="preserve">– updated </w:t>
      </w:r>
      <w:hyperlink r:id="rId39" w:history="1">
        <w:r w:rsidRPr="00DD7BD1">
          <w:rPr>
            <w:rStyle w:val="Hyperlink"/>
            <w:rFonts w:ascii="Calibri" w:eastAsiaTheme="minorHAnsi" w:hAnsi="Calibri" w:cs="Calibri"/>
            <w:sz w:val="22"/>
            <w:szCs w:val="22"/>
          </w:rPr>
          <w:t>Your Rights Under Employment Laws Notice</w:t>
        </w:r>
      </w:hyperlink>
      <w:r w:rsidRPr="00DD7BD1">
        <w:rPr>
          <w:rFonts w:ascii="Calibri" w:eastAsiaTheme="minorHAnsi" w:hAnsi="Calibri" w:cs="Calibri"/>
          <w:sz w:val="22"/>
          <w:szCs w:val="22"/>
        </w:rPr>
        <w:t xml:space="preserve">, </w:t>
      </w:r>
      <w:hyperlink r:id="rId40" w:history="1">
        <w:r w:rsidRPr="00DD7BD1">
          <w:rPr>
            <w:rStyle w:val="Hyperlink"/>
            <w:rFonts w:ascii="Calibri" w:eastAsiaTheme="minorHAnsi" w:hAnsi="Calibri" w:cs="Calibri"/>
            <w:sz w:val="22"/>
            <w:szCs w:val="22"/>
          </w:rPr>
          <w:t>VESSA "Victims’ Economic Security &amp; Safety Act"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and</w:t>
      </w:r>
      <w:hyperlink r:id="rId41" w:history="1">
        <w:r w:rsidRPr="00DD7BD1">
          <w:rPr>
            <w:rStyle w:val="Hyperlink"/>
            <w:rFonts w:ascii="Calibri" w:eastAsiaTheme="minorHAnsi" w:hAnsi="Calibri" w:cs="Calibri"/>
            <w:sz w:val="22"/>
            <w:szCs w:val="22"/>
          </w:rPr>
          <w:t xml:space="preserve"> IL OSHA “It’s the Law” Notice</w:t>
        </w:r>
      </w:hyperlink>
    </w:p>
    <w:p w14:paraId="2D0416D3"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42" w:history="1">
        <w:r w:rsidRPr="00DD7BD1">
          <w:rPr>
            <w:rStyle w:val="Hyperlink"/>
            <w:rFonts w:ascii="Calibri" w:eastAsiaTheme="minorHAnsi" w:hAnsi="Calibri" w:cs="Calibri"/>
            <w:sz w:val="22"/>
            <w:szCs w:val="22"/>
          </w:rPr>
          <w:t>Unemployment Insurance Notice </w:t>
        </w:r>
      </w:hyperlink>
      <w:r w:rsidRPr="00DD7BD1">
        <w:rPr>
          <w:rFonts w:ascii="Calibri" w:eastAsiaTheme="minorHAnsi" w:hAnsi="Calibri" w:cs="Calibri"/>
          <w:b w:val="0"/>
          <w:bCs w:val="0"/>
          <w:sz w:val="22"/>
          <w:szCs w:val="22"/>
        </w:rPr>
        <w:t xml:space="preserve">now specifies that claimants complete at least five valid work-search actions each week, replacing the prior general “active work search” standard. </w:t>
      </w:r>
    </w:p>
    <w:p w14:paraId="10EC7A8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NJ – </w:t>
      </w:r>
      <w:r w:rsidRPr="00DD7BD1">
        <w:rPr>
          <w:rStyle w:val="Hyperlink"/>
          <w:rFonts w:ascii="Calibri" w:eastAsiaTheme="minorHAnsi" w:hAnsi="Calibri" w:cs="Calibri"/>
          <w:b w:val="0"/>
          <w:bCs w:val="0"/>
          <w:color w:val="auto"/>
          <w:sz w:val="22"/>
          <w:szCs w:val="22"/>
          <w:u w:val="none"/>
        </w:rPr>
        <w:t xml:space="preserve">updated </w:t>
      </w:r>
      <w:hyperlink r:id="rId43"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and Captive Audience Notice (attached)</w:t>
      </w:r>
    </w:p>
    <w:p w14:paraId="5B25CA7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NY – </w:t>
      </w:r>
      <w:r w:rsidRPr="00DD7BD1">
        <w:rPr>
          <w:rStyle w:val="Hyperlink"/>
          <w:rFonts w:ascii="Calibri" w:eastAsiaTheme="minorHAnsi" w:hAnsi="Calibri" w:cs="Calibri"/>
          <w:b w:val="0"/>
          <w:bCs w:val="0"/>
          <w:color w:val="auto"/>
          <w:sz w:val="22"/>
          <w:szCs w:val="22"/>
          <w:u w:val="none"/>
        </w:rPr>
        <w:t xml:space="preserve">updated 2026 NY </w:t>
      </w:r>
      <w:hyperlink r:id="rId44" w:history="1">
        <w:r w:rsidRPr="00DD7BD1">
          <w:rPr>
            <w:rStyle w:val="Hyperlink"/>
            <w:rFonts w:ascii="Calibri" w:eastAsiaTheme="minorHAnsi" w:hAnsi="Calibri" w:cs="Calibri"/>
            <w:sz w:val="22"/>
            <w:szCs w:val="22"/>
          </w:rPr>
          <w:t xml:space="preserve">Minium Wage Notice </w:t>
        </w:r>
      </w:hyperlink>
      <w:r w:rsidRPr="00DD7BD1">
        <w:rPr>
          <w:rStyle w:val="Hyperlink"/>
          <w:rFonts w:ascii="Calibri" w:eastAsiaTheme="minorHAnsi" w:hAnsi="Calibri" w:cs="Calibri"/>
          <w:b w:val="0"/>
          <w:bCs w:val="0"/>
          <w:color w:val="auto"/>
          <w:sz w:val="22"/>
          <w:szCs w:val="22"/>
          <w:u w:val="none"/>
        </w:rPr>
        <w:t>NOTE: like directs reader to Notices broken down by industries</w:t>
      </w:r>
    </w:p>
    <w:p w14:paraId="53D4F1E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NM – </w:t>
      </w:r>
      <w:r w:rsidRPr="00DD7BD1">
        <w:rPr>
          <w:rStyle w:val="Hyperlink"/>
          <w:rFonts w:ascii="Calibri" w:eastAsiaTheme="minorHAnsi" w:hAnsi="Calibri" w:cs="Calibri"/>
          <w:b w:val="0"/>
          <w:bCs w:val="0"/>
          <w:color w:val="auto"/>
          <w:sz w:val="22"/>
          <w:szCs w:val="22"/>
          <w:u w:val="none"/>
        </w:rPr>
        <w:t xml:space="preserve">updated </w:t>
      </w:r>
      <w:hyperlink r:id="rId45" w:history="1">
        <w:r w:rsidRPr="00DD7BD1">
          <w:rPr>
            <w:rStyle w:val="Hyperlink"/>
            <w:rFonts w:ascii="Calibri" w:eastAsiaTheme="minorHAnsi" w:hAnsi="Calibri" w:cs="Calibri"/>
            <w:sz w:val="22"/>
            <w:szCs w:val="22"/>
          </w:rPr>
          <w:t>Workers’ Compensation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Employers be sure to add your W/C Carrier name and other required details into the Notice</w:t>
      </w:r>
    </w:p>
    <w:p w14:paraId="68CEDE4F" w14:textId="4632805C" w:rsidR="00436D46"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VA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46" w:history="1">
        <w:r w:rsidRPr="00DD7BD1">
          <w:rPr>
            <w:rStyle w:val="Hyperlink"/>
            <w:rFonts w:ascii="Calibri" w:eastAsiaTheme="minorHAnsi" w:hAnsi="Calibri" w:cs="Calibri"/>
            <w:sz w:val="22"/>
            <w:szCs w:val="22"/>
          </w:rPr>
          <w:t>Minium Wage Notice</w:t>
        </w:r>
      </w:hyperlink>
    </w:p>
    <w:p w14:paraId="5FBFBD63" w14:textId="77777777" w:rsidR="004A6B5E" w:rsidRPr="00DD7BD1" w:rsidRDefault="004A6B5E" w:rsidP="007D0B93">
      <w:pPr>
        <w:pStyle w:val="ParagraphBasic"/>
        <w:spacing w:after="0" w:line="240" w:lineRule="auto"/>
        <w:ind w:left="360"/>
        <w:rPr>
          <w:rStyle w:val="Hyperlink"/>
          <w:rFonts w:ascii="Calibri" w:hAnsi="Calibri" w:cs="Calibri"/>
          <w:b/>
          <w:bCs/>
          <w:color w:val="auto"/>
          <w:kern w:val="36"/>
          <w:u w:val="none"/>
        </w:rPr>
      </w:pPr>
    </w:p>
    <w:p w14:paraId="55DEBC68" w14:textId="7A42623D" w:rsidR="00925F5D" w:rsidRPr="00DD7BD1" w:rsidRDefault="00925F5D"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November</w:t>
      </w:r>
    </w:p>
    <w:p w14:paraId="4190D0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AZ – </w:t>
      </w:r>
      <w:r w:rsidRPr="00DD7BD1">
        <w:rPr>
          <w:rStyle w:val="Hyperlink"/>
          <w:rFonts w:ascii="Calibri" w:eastAsiaTheme="minorHAnsi" w:hAnsi="Calibri" w:cs="Calibri"/>
          <w:b w:val="0"/>
          <w:bCs w:val="0"/>
          <w:color w:val="auto"/>
          <w:sz w:val="23"/>
          <w:szCs w:val="23"/>
          <w:u w:val="none"/>
        </w:rPr>
        <w:t xml:space="preserve">updated state </w:t>
      </w:r>
      <w:hyperlink r:id="rId47" w:history="1">
        <w:r w:rsidRPr="00DD7BD1">
          <w:rPr>
            <w:rStyle w:val="Hyperlink"/>
            <w:rFonts w:ascii="Calibri" w:eastAsiaTheme="minorHAnsi" w:hAnsi="Calibri" w:cs="Calibri"/>
            <w:sz w:val="23"/>
            <w:szCs w:val="23"/>
          </w:rPr>
          <w:t>Minimum Wage Notice</w:t>
        </w:r>
      </w:hyperlink>
    </w:p>
    <w:p w14:paraId="6B982BE7"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Flagstaff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48" w:history="1">
        <w:r w:rsidRPr="00DD7BD1">
          <w:rPr>
            <w:rStyle w:val="Hyperlink"/>
            <w:rFonts w:ascii="Calibri" w:eastAsiaTheme="minorHAnsi" w:hAnsi="Calibri" w:cs="Calibri"/>
            <w:sz w:val="23"/>
            <w:szCs w:val="23"/>
          </w:rPr>
          <w:t>Minimum Wage Notice</w:t>
        </w:r>
      </w:hyperlink>
    </w:p>
    <w:p w14:paraId="47D91C0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Tucson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49" w:history="1">
        <w:r w:rsidRPr="00DD7BD1">
          <w:rPr>
            <w:rStyle w:val="Hyperlink"/>
            <w:rFonts w:ascii="Calibri" w:eastAsiaTheme="minorHAnsi" w:hAnsi="Calibri" w:cs="Calibri"/>
            <w:sz w:val="23"/>
            <w:szCs w:val="23"/>
          </w:rPr>
          <w:t>Minimum Wage Notice</w:t>
        </w:r>
      </w:hyperlink>
    </w:p>
    <w:p w14:paraId="6F14192B"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50" w:history="1">
        <w:r w:rsidRPr="00DD7BD1">
          <w:rPr>
            <w:rStyle w:val="Hyperlink"/>
            <w:rFonts w:ascii="Calibri" w:eastAsiaTheme="minorHAnsi" w:hAnsi="Calibri" w:cs="Calibri"/>
            <w:sz w:val="23"/>
            <w:szCs w:val="23"/>
          </w:rPr>
          <w:t>Minimum Wage Notice</w:t>
        </w:r>
      </w:hyperlink>
      <w:r w:rsidRPr="00DD7BD1">
        <w:rPr>
          <w:rFonts w:ascii="Calibri" w:hAnsi="Calibri" w:cs="Calibri"/>
        </w:rPr>
        <w:t xml:space="preserve"> </w:t>
      </w:r>
      <w:r w:rsidRPr="00DD7BD1">
        <w:rPr>
          <w:rStyle w:val="Hyperlink"/>
          <w:rFonts w:ascii="Calibri" w:eastAsiaTheme="minorHAnsi" w:hAnsi="Calibri" w:cs="Calibri"/>
          <w:b w:val="0"/>
          <w:bCs w:val="0"/>
          <w:color w:val="auto"/>
          <w:sz w:val="23"/>
          <w:szCs w:val="23"/>
          <w:u w:val="none"/>
        </w:rPr>
        <w:t xml:space="preserve">&amp; </w:t>
      </w:r>
      <w:hyperlink r:id="rId51" w:anchor=":~:text=A%20covered%20individual's%20average%20weekly,2026%20Poster" w:history="1">
        <w:r w:rsidRPr="00DD7BD1">
          <w:rPr>
            <w:rStyle w:val="Hyperlink"/>
            <w:rFonts w:ascii="Calibri" w:eastAsiaTheme="minorHAnsi" w:hAnsi="Calibri" w:cs="Calibri"/>
            <w:sz w:val="23"/>
            <w:szCs w:val="23"/>
          </w:rPr>
          <w:t>Paid Family and Medical Leave (PFML) Notice</w:t>
        </w:r>
      </w:hyperlink>
    </w:p>
    <w:p w14:paraId="711679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MN – </w:t>
      </w:r>
    </w:p>
    <w:p w14:paraId="063C957A"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color w:val="C00000"/>
          <w:sz w:val="23"/>
          <w:szCs w:val="23"/>
          <w:u w:val="single"/>
        </w:rPr>
        <w:t>REMINDER:</w:t>
      </w:r>
      <w:r w:rsidRPr="00DD7BD1">
        <w:rPr>
          <w:rFonts w:ascii="Calibri" w:eastAsiaTheme="minorHAnsi" w:hAnsi="Calibri" w:cs="Calibri"/>
          <w:b w:val="0"/>
          <w:bCs w:val="0"/>
          <w:color w:val="C00000"/>
          <w:sz w:val="23"/>
          <w:szCs w:val="23"/>
        </w:rPr>
        <w:t xml:space="preserve"> </w:t>
      </w:r>
      <w:r w:rsidRPr="00DD7BD1">
        <w:rPr>
          <w:rFonts w:ascii="Calibri" w:eastAsiaTheme="minorHAnsi" w:hAnsi="Calibri" w:cs="Calibri"/>
          <w:b w:val="0"/>
          <w:bCs w:val="0"/>
          <w:sz w:val="23"/>
          <w:szCs w:val="23"/>
        </w:rPr>
        <w:t xml:space="preserve">Starting January 1, 2026, Minnesota’s new </w:t>
      </w:r>
      <w:r w:rsidRPr="00DD7BD1">
        <w:rPr>
          <w:rFonts w:ascii="Calibri" w:eastAsiaTheme="minorHAnsi" w:hAnsi="Calibri" w:cs="Calibri"/>
          <w:sz w:val="23"/>
          <w:szCs w:val="23"/>
        </w:rPr>
        <w:t>Paid Leave Progra</w:t>
      </w:r>
      <w:r w:rsidRPr="00DD7BD1">
        <w:rPr>
          <w:rFonts w:ascii="Calibri" w:eastAsiaTheme="minorHAnsi" w:hAnsi="Calibri" w:cs="Calibri"/>
          <w:b w:val="0"/>
          <w:bCs w:val="0"/>
          <w:sz w:val="23"/>
          <w:szCs w:val="23"/>
        </w:rPr>
        <w:t xml:space="preserve">m will allow employees to take paid time off for major life events, including caring for a new child, recovering from a serious health </w:t>
      </w:r>
      <w:r w:rsidRPr="00DD7BD1">
        <w:rPr>
          <w:rFonts w:ascii="Calibri" w:eastAsiaTheme="minorHAnsi" w:hAnsi="Calibri" w:cs="Calibri"/>
          <w:b w:val="0"/>
          <w:bCs w:val="0"/>
          <w:sz w:val="23"/>
          <w:szCs w:val="23"/>
        </w:rPr>
        <w:lastRenderedPageBreak/>
        <w:t>condition, or supporting a family member. </w:t>
      </w:r>
      <w:r w:rsidRPr="00DD7BD1">
        <w:rPr>
          <w:rFonts w:ascii="Calibri" w:eastAsiaTheme="minorHAnsi" w:hAnsi="Calibri" w:cs="Calibri"/>
          <w:color w:val="C00000"/>
          <w:sz w:val="23"/>
          <w:szCs w:val="23"/>
        </w:rPr>
        <w:t>Employers must inform employees of their rights under this program by December 1, 2025, through both a workplace posting and individual written notice.</w:t>
      </w:r>
      <w:r w:rsidRPr="00DD7BD1">
        <w:rPr>
          <w:rFonts w:ascii="Calibri" w:eastAsiaTheme="minorHAnsi" w:hAnsi="Calibri" w:cs="Calibri"/>
          <w:b w:val="0"/>
          <w:bCs w:val="0"/>
          <w:color w:val="C00000"/>
          <w:sz w:val="23"/>
          <w:szCs w:val="23"/>
        </w:rPr>
        <w:t> </w:t>
      </w:r>
      <w:r w:rsidRPr="00DD7BD1">
        <w:rPr>
          <w:rFonts w:ascii="Calibri" w:eastAsiaTheme="minorHAnsi" w:hAnsi="Calibri" w:cs="Calibri"/>
          <w:b w:val="0"/>
          <w:bCs w:val="0"/>
          <w:sz w:val="23"/>
          <w:szCs w:val="23"/>
        </w:rPr>
        <w:t>The Paid Leave Notice must be displayed in a visible location.</w:t>
      </w:r>
    </w:p>
    <w:p w14:paraId="5D3F253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sz w:val="23"/>
          <w:szCs w:val="23"/>
        </w:rPr>
        <w:t xml:space="preserve">New </w:t>
      </w:r>
      <w:hyperlink r:id="rId52" w:history="1">
        <w:r w:rsidRPr="00DD7BD1">
          <w:rPr>
            <w:rStyle w:val="Hyperlink"/>
            <w:rFonts w:ascii="Calibri" w:eastAsiaTheme="minorHAnsi" w:hAnsi="Calibri" w:cs="Calibri"/>
            <w:sz w:val="23"/>
            <w:szCs w:val="23"/>
          </w:rPr>
          <w:t>Paid Family &amp; Medical Leave Notice</w:t>
        </w:r>
      </w:hyperlink>
      <w:r w:rsidRPr="00DD7BD1">
        <w:rPr>
          <w:rFonts w:ascii="Calibri" w:eastAsiaTheme="minorHAnsi" w:hAnsi="Calibri" w:cs="Calibri"/>
          <w:sz w:val="23"/>
          <w:szCs w:val="23"/>
        </w:rPr>
        <w:t xml:space="preserve"> &amp; </w:t>
      </w:r>
      <w:hyperlink r:id="rId53" w:history="1">
        <w:r w:rsidRPr="00DD7BD1">
          <w:rPr>
            <w:rStyle w:val="Hyperlink"/>
            <w:rFonts w:ascii="Calibri" w:eastAsiaTheme="minorHAnsi" w:hAnsi="Calibri" w:cs="Calibri"/>
            <w:sz w:val="23"/>
            <w:szCs w:val="23"/>
          </w:rPr>
          <w:t>Sample Employee Notice</w:t>
        </w:r>
      </w:hyperlink>
    </w:p>
    <w:p w14:paraId="5A82814C"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Fonts w:ascii="Calibri" w:eastAsiaTheme="minorHAnsi" w:hAnsi="Calibri" w:cs="Calibri"/>
          <w:b w:val="0"/>
          <w:bCs w:val="0"/>
          <w:sz w:val="23"/>
          <w:szCs w:val="23"/>
        </w:rPr>
        <w:t xml:space="preserve">Additionally, Minnesota’s minimum wage will increase to $11.41 per hour, with a training wage of $9.31 per hour, effective the same date. Updated </w:t>
      </w:r>
      <w:hyperlink r:id="rId54"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1.1.26</w:t>
      </w:r>
    </w:p>
    <w:p w14:paraId="5BA718C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MO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55" w:history="1">
        <w:r w:rsidRPr="00DD7BD1">
          <w:rPr>
            <w:rStyle w:val="Hyperlink"/>
            <w:rFonts w:ascii="Calibri" w:eastAsiaTheme="minorHAnsi" w:hAnsi="Calibri" w:cs="Calibri"/>
            <w:sz w:val="23"/>
            <w:szCs w:val="23"/>
          </w:rPr>
          <w:t>Minimum Wage Labor Notice</w:t>
        </w:r>
      </w:hyperlink>
    </w:p>
    <w:p w14:paraId="346F424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MT -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56"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 xml:space="preserve">Beginning January 1, 2026, Montana’s Minimum Wage will increase from $10.55 to $10.85 per hour.  </w:t>
      </w:r>
    </w:p>
    <w:p w14:paraId="2B4F1E9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b w:val="0"/>
          <w:bCs w:val="0"/>
          <w:color w:val="auto"/>
          <w:sz w:val="23"/>
          <w:szCs w:val="23"/>
          <w:u w:val="none"/>
        </w:rPr>
      </w:pPr>
      <w:r w:rsidRPr="00DD7BD1">
        <w:rPr>
          <w:rStyle w:val="Hyperlink"/>
          <w:rFonts w:ascii="Calibri" w:eastAsiaTheme="minorHAnsi" w:hAnsi="Calibri" w:cs="Calibri"/>
          <w:color w:val="auto"/>
          <w:sz w:val="23"/>
          <w:szCs w:val="23"/>
          <w:u w:val="none"/>
        </w:rPr>
        <w:t xml:space="preserve">OH – </w:t>
      </w:r>
      <w:r w:rsidRPr="00DD7BD1">
        <w:rPr>
          <w:rStyle w:val="Hyperlink"/>
          <w:rFonts w:ascii="Calibri" w:eastAsiaTheme="minorHAnsi" w:hAnsi="Calibri" w:cs="Calibri"/>
          <w:b w:val="0"/>
          <w:bCs w:val="0"/>
          <w:color w:val="auto"/>
          <w:sz w:val="23"/>
          <w:szCs w:val="23"/>
          <w:u w:val="none"/>
        </w:rPr>
        <w:t xml:space="preserve">updated </w:t>
      </w:r>
      <w:hyperlink r:id="rId57" w:history="1">
        <w:r w:rsidRPr="00DD7BD1">
          <w:rPr>
            <w:rStyle w:val="Hyperlink"/>
            <w:rFonts w:ascii="Calibri" w:eastAsiaTheme="minorHAnsi" w:hAnsi="Calibri" w:cs="Calibri"/>
            <w:sz w:val="23"/>
            <w:szCs w:val="23"/>
          </w:rPr>
          <w:t>Minimum Wage Notice</w:t>
        </w:r>
      </w:hyperlink>
      <w:r w:rsidRPr="00DD7BD1">
        <w:rPr>
          <w:rStyle w:val="Hyperlink"/>
          <w:rFonts w:ascii="Calibri" w:eastAsiaTheme="minorHAnsi" w:hAnsi="Calibri" w:cs="Calibri"/>
          <w:b w:val="0"/>
          <w:bCs w:val="0"/>
          <w:color w:val="auto"/>
          <w:sz w:val="23"/>
          <w:szCs w:val="23"/>
          <w:u w:val="none"/>
        </w:rPr>
        <w:t xml:space="preserve"> for Jan 1, 2026</w:t>
      </w:r>
    </w:p>
    <w:p w14:paraId="1554B36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PA –</w:t>
      </w:r>
      <w:hyperlink r:id="rId58" w:history="1">
        <w:r w:rsidRPr="00DD7BD1">
          <w:rPr>
            <w:rStyle w:val="Hyperlink"/>
            <w:rFonts w:ascii="Calibri" w:eastAsiaTheme="minorHAnsi" w:hAnsi="Calibri" w:cs="Calibri"/>
            <w:sz w:val="23"/>
            <w:szCs w:val="23"/>
          </w:rPr>
          <w:t>Veterans’ Benefits &amp; Services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required of employers with 50 or more FTEs</w:t>
      </w:r>
    </w:p>
    <w:p w14:paraId="6D72A97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SD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59" w:history="1">
        <w:r w:rsidRPr="00DD7BD1">
          <w:rPr>
            <w:rStyle w:val="Hyperlink"/>
            <w:rFonts w:ascii="Calibri" w:eastAsiaTheme="minorHAnsi" w:hAnsi="Calibri" w:cs="Calibri"/>
            <w:sz w:val="23"/>
            <w:szCs w:val="23"/>
          </w:rPr>
          <w:t>Minimum Wage Labor Notice</w:t>
        </w:r>
      </w:hyperlink>
      <w:r w:rsidRPr="00DD7BD1">
        <w:rPr>
          <w:rStyle w:val="Hyperlink"/>
          <w:rFonts w:ascii="Calibri" w:eastAsiaTheme="minorHAnsi" w:hAnsi="Calibri" w:cs="Calibri"/>
          <w:color w:val="auto"/>
          <w:sz w:val="23"/>
          <w:szCs w:val="23"/>
          <w:u w:val="none"/>
        </w:rPr>
        <w:t xml:space="preserve">. </w:t>
      </w:r>
      <w:r w:rsidRPr="00DD7BD1">
        <w:rPr>
          <w:rFonts w:ascii="Calibri" w:eastAsiaTheme="minorHAnsi" w:hAnsi="Calibri" w:cs="Calibri"/>
          <w:b w:val="0"/>
          <w:bCs w:val="0"/>
          <w:sz w:val="23"/>
          <w:szCs w:val="23"/>
        </w:rPr>
        <w:t>Beginning January 1, 2026, South Dakota’s minimum wage will increase from $11.50 to $11.85 per hour.</w:t>
      </w:r>
      <w:r w:rsidRPr="00DD7BD1">
        <w:rPr>
          <w:rFonts w:ascii="Calibri" w:eastAsiaTheme="minorHAnsi" w:hAnsi="Calibri" w:cs="Calibri"/>
          <w:sz w:val="23"/>
          <w:szCs w:val="23"/>
        </w:rPr>
        <w:t> </w:t>
      </w:r>
    </w:p>
    <w:p w14:paraId="62DC258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VT –</w:t>
      </w:r>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60" w:history="1">
        <w:r w:rsidRPr="00DD7BD1">
          <w:rPr>
            <w:rStyle w:val="Hyperlink"/>
            <w:rFonts w:ascii="Calibri" w:eastAsiaTheme="minorHAnsi" w:hAnsi="Calibri" w:cs="Calibri"/>
            <w:sz w:val="23"/>
            <w:szCs w:val="23"/>
          </w:rPr>
          <w:t>Minimum Wage Notice</w:t>
        </w:r>
      </w:hyperlink>
    </w:p>
    <w:p w14:paraId="202785D5" w14:textId="7AF25EB2" w:rsidR="00925F5D" w:rsidRPr="00DD7BD1" w:rsidRDefault="00925F5D" w:rsidP="009869A8">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WI – </w:t>
      </w:r>
      <w:r w:rsidRPr="00DD7BD1">
        <w:rPr>
          <w:rStyle w:val="Hyperlink"/>
          <w:rFonts w:ascii="Calibri" w:eastAsiaTheme="minorHAnsi" w:hAnsi="Calibri" w:cs="Calibri"/>
          <w:b w:val="0"/>
          <w:bCs w:val="0"/>
          <w:color w:val="auto"/>
          <w:sz w:val="23"/>
          <w:szCs w:val="23"/>
          <w:u w:val="none"/>
        </w:rPr>
        <w:t xml:space="preserve">updated </w:t>
      </w:r>
      <w:hyperlink r:id="rId61" w:history="1">
        <w:r w:rsidRPr="00DD7BD1">
          <w:rPr>
            <w:rStyle w:val="Hyperlink"/>
            <w:rFonts w:ascii="Calibri" w:eastAsiaTheme="minorHAnsi" w:hAnsi="Calibri" w:cs="Calibri"/>
            <w:sz w:val="23"/>
            <w:szCs w:val="23"/>
          </w:rPr>
          <w:t>Unemployment Benefits Notice</w:t>
        </w:r>
      </w:hyperlink>
    </w:p>
    <w:p w14:paraId="540D436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u w:val="none"/>
        </w:rPr>
      </w:pPr>
    </w:p>
    <w:p w14:paraId="01C10ED8" w14:textId="62B8F28C" w:rsidR="005A4E11" w:rsidRPr="00DD7BD1" w:rsidRDefault="005A4E11"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October</w:t>
      </w:r>
    </w:p>
    <w:p w14:paraId="09EC086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VT</w:t>
      </w:r>
      <w:r w:rsidRPr="00DD7BD1">
        <w:rPr>
          <w:rFonts w:ascii="Calibri" w:eastAsiaTheme="minorHAnsi" w:hAnsi="Calibri" w:cs="Calibri"/>
          <w:b w:val="0"/>
          <w:bCs w:val="0"/>
          <w:kern w:val="0"/>
          <w:sz w:val="22"/>
          <w:szCs w:val="22"/>
        </w:rPr>
        <w:t xml:space="preserve"> – issued updated notices: </w:t>
      </w:r>
    </w:p>
    <w:p w14:paraId="3F0B7DF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2" w:history="1">
        <w:r w:rsidRPr="00DD7BD1">
          <w:rPr>
            <w:rStyle w:val="Hyperlink"/>
            <w:rFonts w:ascii="Calibri" w:eastAsiaTheme="minorHAnsi" w:hAnsi="Calibri" w:cs="Calibri"/>
            <w:b w:val="0"/>
            <w:bCs w:val="0"/>
            <w:kern w:val="0"/>
            <w:sz w:val="22"/>
            <w:szCs w:val="22"/>
          </w:rPr>
          <w:t>Unemployment Insurance</w:t>
        </w:r>
      </w:hyperlink>
      <w:r w:rsidRPr="00DD7BD1">
        <w:rPr>
          <w:rFonts w:ascii="Calibri" w:eastAsiaTheme="minorHAnsi" w:hAnsi="Calibri" w:cs="Calibri"/>
          <w:b w:val="0"/>
          <w:bCs w:val="0"/>
          <w:kern w:val="0"/>
          <w:sz w:val="22"/>
          <w:szCs w:val="22"/>
        </w:rPr>
        <w:t>,</w:t>
      </w:r>
    </w:p>
    <w:p w14:paraId="36ECFE3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3" w:history="1">
        <w:r w:rsidRPr="00DD7BD1">
          <w:rPr>
            <w:rStyle w:val="Hyperlink"/>
            <w:rFonts w:ascii="Calibri" w:eastAsiaTheme="minorHAnsi" w:hAnsi="Calibri" w:cs="Calibri"/>
            <w:b w:val="0"/>
            <w:bCs w:val="0"/>
            <w:kern w:val="0"/>
            <w:sz w:val="22"/>
            <w:szCs w:val="22"/>
          </w:rPr>
          <w:t>Accommodations for Pregnant Employees</w:t>
        </w:r>
      </w:hyperlink>
      <w:r w:rsidRPr="00DD7BD1">
        <w:rPr>
          <w:rFonts w:ascii="Calibri" w:eastAsiaTheme="minorHAnsi" w:hAnsi="Calibri" w:cs="Calibri"/>
          <w:b w:val="0"/>
          <w:bCs w:val="0"/>
          <w:kern w:val="0"/>
          <w:sz w:val="22"/>
          <w:szCs w:val="22"/>
        </w:rPr>
        <w:t xml:space="preserve">, </w:t>
      </w:r>
    </w:p>
    <w:p w14:paraId="3CE183B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4" w:history="1">
        <w:r w:rsidRPr="00DD7BD1">
          <w:rPr>
            <w:rStyle w:val="Hyperlink"/>
            <w:rFonts w:ascii="Calibri" w:eastAsiaTheme="minorHAnsi" w:hAnsi="Calibri" w:cs="Calibri"/>
            <w:b w:val="0"/>
            <w:bCs w:val="0"/>
            <w:kern w:val="0"/>
            <w:sz w:val="22"/>
            <w:szCs w:val="22"/>
          </w:rPr>
          <w:t>Child Labor Law</w:t>
        </w:r>
      </w:hyperlink>
      <w:r w:rsidRPr="00DD7BD1">
        <w:rPr>
          <w:rFonts w:ascii="Calibri" w:eastAsiaTheme="minorHAnsi" w:hAnsi="Calibri" w:cs="Calibri"/>
          <w:b w:val="0"/>
          <w:bCs w:val="0"/>
          <w:kern w:val="0"/>
          <w:sz w:val="22"/>
          <w:szCs w:val="22"/>
        </w:rPr>
        <w:t xml:space="preserve">, </w:t>
      </w:r>
    </w:p>
    <w:p w14:paraId="32879186"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5" w:history="1">
        <w:r w:rsidRPr="00DD7BD1">
          <w:rPr>
            <w:rStyle w:val="Hyperlink"/>
            <w:rFonts w:ascii="Calibri" w:eastAsiaTheme="minorHAnsi" w:hAnsi="Calibri" w:cs="Calibri"/>
            <w:b w:val="0"/>
            <w:bCs w:val="0"/>
            <w:kern w:val="0"/>
            <w:sz w:val="22"/>
            <w:szCs w:val="22"/>
          </w:rPr>
          <w:t>Employer’s Liability &amp; Workers’ Compensation,</w:t>
        </w:r>
      </w:hyperlink>
      <w:r w:rsidRPr="00DD7BD1">
        <w:rPr>
          <w:rFonts w:ascii="Calibri" w:eastAsiaTheme="minorHAnsi" w:hAnsi="Calibri" w:cs="Calibri"/>
          <w:b w:val="0"/>
          <w:bCs w:val="0"/>
          <w:kern w:val="0"/>
          <w:sz w:val="22"/>
          <w:szCs w:val="22"/>
        </w:rPr>
        <w:t xml:space="preserve"> </w:t>
      </w:r>
    </w:p>
    <w:p w14:paraId="15E68D6F"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6" w:history="1">
        <w:r w:rsidRPr="00DD7BD1">
          <w:rPr>
            <w:rStyle w:val="Hyperlink"/>
            <w:rFonts w:ascii="Calibri" w:eastAsiaTheme="minorHAnsi" w:hAnsi="Calibri" w:cs="Calibri"/>
            <w:b w:val="0"/>
            <w:bCs w:val="0"/>
            <w:kern w:val="0"/>
            <w:sz w:val="22"/>
            <w:szCs w:val="22"/>
          </w:rPr>
          <w:t>Employment Protections for Victims of Crime</w:t>
        </w:r>
      </w:hyperlink>
      <w:r w:rsidRPr="00DD7BD1">
        <w:rPr>
          <w:rFonts w:ascii="Calibri" w:eastAsiaTheme="minorHAnsi" w:hAnsi="Calibri" w:cs="Calibri"/>
          <w:b w:val="0"/>
          <w:bCs w:val="0"/>
          <w:kern w:val="0"/>
          <w:sz w:val="22"/>
          <w:szCs w:val="22"/>
        </w:rPr>
        <w:t xml:space="preserve">, </w:t>
      </w:r>
    </w:p>
    <w:p w14:paraId="48CCA74D"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7" w:history="1">
        <w:r w:rsidRPr="00DD7BD1">
          <w:rPr>
            <w:rStyle w:val="Hyperlink"/>
            <w:rFonts w:ascii="Calibri" w:eastAsiaTheme="minorHAnsi" w:hAnsi="Calibri" w:cs="Calibri"/>
            <w:b w:val="0"/>
            <w:bCs w:val="0"/>
            <w:kern w:val="0"/>
            <w:sz w:val="22"/>
            <w:szCs w:val="22"/>
          </w:rPr>
          <w:t>Healthcare Whistleblower Protection</w:t>
        </w:r>
      </w:hyperlink>
      <w:r w:rsidRPr="00DD7BD1">
        <w:rPr>
          <w:rFonts w:ascii="Calibri" w:eastAsiaTheme="minorHAnsi" w:hAnsi="Calibri" w:cs="Calibri"/>
          <w:b w:val="0"/>
          <w:bCs w:val="0"/>
          <w:kern w:val="0"/>
          <w:sz w:val="22"/>
          <w:szCs w:val="22"/>
        </w:rPr>
        <w:t xml:space="preserve">, </w:t>
      </w:r>
    </w:p>
    <w:p w14:paraId="6E3B15DA"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8" w:history="1">
        <w:r w:rsidRPr="00DD7BD1">
          <w:rPr>
            <w:rStyle w:val="Hyperlink"/>
            <w:rFonts w:ascii="Calibri" w:eastAsiaTheme="minorHAnsi" w:hAnsi="Calibri" w:cs="Calibri"/>
            <w:b w:val="0"/>
            <w:bCs w:val="0"/>
            <w:kern w:val="0"/>
            <w:sz w:val="22"/>
            <w:szCs w:val="22"/>
          </w:rPr>
          <w:t>Parental and Family Leave,</w:t>
        </w:r>
      </w:hyperlink>
      <w:r w:rsidRPr="00DD7BD1">
        <w:rPr>
          <w:rFonts w:ascii="Calibri" w:eastAsiaTheme="minorHAnsi" w:hAnsi="Calibri" w:cs="Calibri"/>
          <w:b w:val="0"/>
          <w:bCs w:val="0"/>
          <w:kern w:val="0"/>
          <w:sz w:val="22"/>
          <w:szCs w:val="22"/>
        </w:rPr>
        <w:t xml:space="preserve"> </w:t>
      </w:r>
    </w:p>
    <w:p w14:paraId="6BC24713"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9" w:history="1">
        <w:r w:rsidRPr="00DD7BD1">
          <w:rPr>
            <w:rStyle w:val="Hyperlink"/>
            <w:rFonts w:ascii="Calibri" w:eastAsiaTheme="minorHAnsi" w:hAnsi="Calibri" w:cs="Calibri"/>
            <w:b w:val="0"/>
            <w:bCs w:val="0"/>
            <w:kern w:val="0"/>
            <w:sz w:val="22"/>
            <w:szCs w:val="22"/>
          </w:rPr>
          <w:t>Safety Records Notice,</w:t>
        </w:r>
      </w:hyperlink>
      <w:r w:rsidRPr="00DD7BD1">
        <w:rPr>
          <w:rFonts w:ascii="Calibri" w:eastAsiaTheme="minorHAnsi" w:hAnsi="Calibri" w:cs="Calibri"/>
          <w:b w:val="0"/>
          <w:bCs w:val="0"/>
          <w:kern w:val="0"/>
          <w:sz w:val="22"/>
          <w:szCs w:val="22"/>
        </w:rPr>
        <w:t xml:space="preserve"> </w:t>
      </w:r>
    </w:p>
    <w:p w14:paraId="172D9FE9"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0" w:history="1">
        <w:r w:rsidRPr="00DD7BD1">
          <w:rPr>
            <w:rStyle w:val="Hyperlink"/>
            <w:rFonts w:ascii="Calibri" w:eastAsiaTheme="minorHAnsi" w:hAnsi="Calibri" w:cs="Calibri"/>
            <w:b w:val="0"/>
            <w:bCs w:val="0"/>
            <w:kern w:val="0"/>
            <w:sz w:val="22"/>
            <w:szCs w:val="22"/>
          </w:rPr>
          <w:t>Sexual Harassment Notice</w:t>
        </w:r>
      </w:hyperlink>
      <w:r w:rsidRPr="00DD7BD1">
        <w:rPr>
          <w:rFonts w:ascii="Calibri" w:eastAsiaTheme="minorHAnsi" w:hAnsi="Calibri" w:cs="Calibri"/>
          <w:b w:val="0"/>
          <w:bCs w:val="0"/>
          <w:kern w:val="0"/>
          <w:sz w:val="22"/>
          <w:szCs w:val="22"/>
        </w:rPr>
        <w:t xml:space="preserve">, </w:t>
      </w:r>
    </w:p>
    <w:p w14:paraId="4C5C78C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1" w:history="1">
        <w:r w:rsidRPr="00DD7BD1">
          <w:rPr>
            <w:rStyle w:val="Hyperlink"/>
            <w:rFonts w:ascii="Calibri" w:eastAsiaTheme="minorHAnsi" w:hAnsi="Calibri" w:cs="Calibri"/>
            <w:b w:val="0"/>
            <w:bCs w:val="0"/>
            <w:kern w:val="0"/>
            <w:sz w:val="22"/>
            <w:szCs w:val="22"/>
          </w:rPr>
          <w:t>Earned Sick Time Act</w:t>
        </w:r>
      </w:hyperlink>
      <w:r w:rsidRPr="00DD7BD1">
        <w:rPr>
          <w:rFonts w:ascii="Calibri" w:eastAsiaTheme="minorHAnsi" w:hAnsi="Calibri" w:cs="Calibri"/>
          <w:b w:val="0"/>
          <w:bCs w:val="0"/>
          <w:kern w:val="0"/>
          <w:sz w:val="22"/>
          <w:szCs w:val="22"/>
        </w:rPr>
        <w:t xml:space="preserve">, and </w:t>
      </w:r>
    </w:p>
    <w:p w14:paraId="12930B12"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2" w:history="1">
        <w:r w:rsidRPr="00DD7BD1">
          <w:rPr>
            <w:rStyle w:val="Hyperlink"/>
            <w:rFonts w:ascii="Calibri" w:eastAsiaTheme="minorHAnsi" w:hAnsi="Calibri" w:cs="Calibri"/>
            <w:b w:val="0"/>
            <w:bCs w:val="0"/>
            <w:kern w:val="0"/>
            <w:sz w:val="22"/>
            <w:szCs w:val="22"/>
          </w:rPr>
          <w:t>Workers’ Compensation Reinstatement Rights</w:t>
        </w:r>
      </w:hyperlink>
    </w:p>
    <w:p w14:paraId="2E1C66A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RI</w:t>
      </w:r>
      <w:r w:rsidRPr="00DD7BD1">
        <w:rPr>
          <w:rFonts w:ascii="Calibri" w:eastAsiaTheme="minorHAnsi" w:hAnsi="Calibri" w:cs="Calibri"/>
          <w:b w:val="0"/>
          <w:bCs w:val="0"/>
          <w:kern w:val="0"/>
          <w:sz w:val="22"/>
          <w:szCs w:val="22"/>
        </w:rPr>
        <w:t xml:space="preserve"> - Rhode Island has issued updated notices</w:t>
      </w:r>
    </w:p>
    <w:p w14:paraId="129B594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3" w:history="1">
        <w:r w:rsidRPr="00DD7BD1">
          <w:rPr>
            <w:rStyle w:val="Hyperlink"/>
            <w:rFonts w:ascii="Calibri" w:eastAsiaTheme="minorHAnsi" w:hAnsi="Calibri" w:cs="Calibri"/>
            <w:b w:val="0"/>
            <w:bCs w:val="0"/>
            <w:kern w:val="0"/>
            <w:sz w:val="22"/>
            <w:szCs w:val="22"/>
          </w:rPr>
          <w:t>Sick and Safe Leave Notice </w:t>
        </w:r>
      </w:hyperlink>
      <w:r w:rsidRPr="00DD7BD1">
        <w:rPr>
          <w:rFonts w:ascii="Calibri" w:eastAsiaTheme="minorHAnsi" w:hAnsi="Calibri" w:cs="Calibr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CBCEA9B"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4" w:history="1">
        <w:r w:rsidRPr="00DD7BD1">
          <w:rPr>
            <w:rStyle w:val="Hyperlink"/>
            <w:rFonts w:ascii="Calibri" w:eastAsiaTheme="minorHAnsi" w:hAnsi="Calibri" w:cs="Calibri"/>
            <w:b w:val="0"/>
            <w:bCs w:val="0"/>
            <w:kern w:val="0"/>
            <w:sz w:val="22"/>
            <w:szCs w:val="22"/>
          </w:rPr>
          <w:t>Discrimination/Fair Employment Notice </w:t>
        </w:r>
      </w:hyperlink>
      <w:r w:rsidRPr="00DD7BD1">
        <w:rPr>
          <w:rFonts w:ascii="Calibri" w:eastAsiaTheme="minorHAnsi" w:hAnsi="Calibri" w:cs="Calibri"/>
          <w:b w:val="0"/>
          <w:bCs w:val="0"/>
          <w:kern w:val="0"/>
          <w:sz w:val="22"/>
          <w:szCs w:val="22"/>
        </w:rPr>
        <w:t>has been revised to include a new Voice Relay/711 contact number.  </w:t>
      </w:r>
    </w:p>
    <w:p w14:paraId="2681392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PA</w:t>
      </w:r>
      <w:r w:rsidRPr="00DD7BD1">
        <w:rPr>
          <w:rFonts w:ascii="Calibri" w:eastAsiaTheme="minorHAnsi" w:hAnsi="Calibri" w:cs="Calibri"/>
          <w:b w:val="0"/>
          <w:bCs w:val="0"/>
          <w:kern w:val="0"/>
          <w:sz w:val="22"/>
          <w:szCs w:val="22"/>
        </w:rPr>
        <w:t xml:space="preserve"> – updated </w:t>
      </w:r>
      <w:hyperlink r:id="rId75" w:history="1">
        <w:r w:rsidRPr="00DD7BD1">
          <w:rPr>
            <w:rStyle w:val="Hyperlink"/>
            <w:rFonts w:ascii="Calibri" w:eastAsiaTheme="minorHAnsi" w:hAnsi="Calibri" w:cs="Calibri"/>
            <w:b w:val="0"/>
            <w:bCs w:val="0"/>
            <w:kern w:val="0"/>
            <w:sz w:val="22"/>
            <w:szCs w:val="22"/>
          </w:rPr>
          <w:t>Veteran Benefits and Services</w:t>
        </w:r>
      </w:hyperlink>
      <w:r w:rsidRPr="00DD7BD1">
        <w:rPr>
          <w:rFonts w:ascii="Calibri" w:eastAsiaTheme="minorHAnsi" w:hAnsi="Calibri" w:cs="Calibri"/>
          <w:b w:val="0"/>
          <w:bCs w:val="0"/>
          <w:kern w:val="0"/>
          <w:sz w:val="22"/>
          <w:szCs w:val="22"/>
        </w:rPr>
        <w:t xml:space="preserve"> Notice.  Employers with at least one workplace in the state that has 51 or more full-time employees must post this Notice in a conspicuous place where employees can access it which includes an employer’s intranet or other employee shared technological platform.</w:t>
      </w:r>
    </w:p>
    <w:p w14:paraId="4679E53B"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MN </w:t>
      </w:r>
      <w:r w:rsidRPr="00DD7BD1">
        <w:rPr>
          <w:rFonts w:ascii="Calibri" w:eastAsiaTheme="minorHAnsi" w:hAnsi="Calibri" w:cs="Calibri"/>
          <w:b w:val="0"/>
          <w:bCs w:val="0"/>
          <w:kern w:val="0"/>
          <w:sz w:val="22"/>
          <w:szCs w:val="22"/>
        </w:rPr>
        <w:t xml:space="preserve">– new </w:t>
      </w:r>
      <w:hyperlink r:id="rId76"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 to be provided to Employees by Dec 1 and New Hires, going forward</w:t>
      </w:r>
    </w:p>
    <w:p w14:paraId="4D5BE96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DE </w:t>
      </w:r>
      <w:r w:rsidRPr="00DD7BD1">
        <w:rPr>
          <w:rFonts w:ascii="Calibri" w:eastAsiaTheme="minorHAnsi" w:hAnsi="Calibri" w:cs="Calibri"/>
          <w:b w:val="0"/>
          <w:bCs w:val="0"/>
          <w:kern w:val="0"/>
          <w:sz w:val="22"/>
          <w:szCs w:val="22"/>
        </w:rPr>
        <w:t xml:space="preserve">– new </w:t>
      </w:r>
      <w:hyperlink r:id="rId77"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(program effective Jan 1, 2026).  Applicable for employers with 10 or more employees.</w:t>
      </w:r>
    </w:p>
    <w:p w14:paraId="19115BF5" w14:textId="77777777" w:rsidR="005A4E11" w:rsidRPr="00DD7BD1" w:rsidRDefault="005A4E11" w:rsidP="009A459C">
      <w:pPr>
        <w:pStyle w:val="ParagraphBasic"/>
        <w:spacing w:after="0" w:line="240" w:lineRule="auto"/>
        <w:ind w:firstLine="360"/>
        <w:rPr>
          <w:rStyle w:val="Hyperlink"/>
          <w:rFonts w:ascii="Calibri" w:hAnsi="Calibri" w:cs="Calibri"/>
          <w:b/>
          <w:bCs/>
          <w:color w:val="auto"/>
          <w:kern w:val="36"/>
          <w:u w:val="none"/>
        </w:rPr>
      </w:pPr>
    </w:p>
    <w:p w14:paraId="6C6E46E2" w14:textId="4E25231E" w:rsidR="00484AAC" w:rsidRPr="00DD7BD1" w:rsidRDefault="00484AA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Aug/Sept</w:t>
      </w:r>
    </w:p>
    <w:p w14:paraId="66EA18C6" w14:textId="77777777" w:rsidR="00E43496" w:rsidRPr="00DD7BD1" w:rsidRDefault="00E43496" w:rsidP="00E43496">
      <w:pPr>
        <w:widowControl w:val="0"/>
        <w:tabs>
          <w:tab w:val="left" w:pos="1080"/>
        </w:tabs>
        <w:autoSpaceDE w:val="0"/>
        <w:autoSpaceDN w:val="0"/>
        <w:spacing w:before="5" w:after="0" w:line="247" w:lineRule="auto"/>
        <w:ind w:left="630" w:right="994"/>
        <w:rPr>
          <w:rFonts w:ascii="Calibri" w:hAnsi="Calibri" w:cs="Calibri"/>
        </w:rPr>
      </w:pPr>
      <w:r w:rsidRPr="00DD7BD1">
        <w:rPr>
          <w:rFonts w:ascii="Calibri" w:hAnsi="Calibri" w:cs="Calibri"/>
          <w:b/>
          <w:spacing w:val="-2"/>
          <w:w w:val="105"/>
        </w:rPr>
        <w:t>AR</w:t>
      </w:r>
      <w:r w:rsidRPr="00DD7BD1">
        <w:rPr>
          <w:rFonts w:ascii="Calibri" w:hAnsi="Calibri" w:cs="Calibri"/>
          <w:b/>
          <w:spacing w:val="-7"/>
          <w:w w:val="105"/>
        </w:rPr>
        <w:t xml:space="preserve"> </w:t>
      </w:r>
      <w:r w:rsidRPr="00DD7BD1">
        <w:rPr>
          <w:rFonts w:ascii="Calibri" w:hAnsi="Calibri" w:cs="Calibri"/>
          <w:b/>
          <w:spacing w:val="-2"/>
          <w:w w:val="105"/>
        </w:rPr>
        <w:t>–</w:t>
      </w:r>
      <w:r w:rsidRPr="00DD7BD1">
        <w:rPr>
          <w:rFonts w:ascii="Calibri" w:hAnsi="Calibri" w:cs="Calibri"/>
          <w:b/>
          <w:spacing w:val="-7"/>
          <w:w w:val="105"/>
        </w:rPr>
        <w:t xml:space="preserve"> </w:t>
      </w:r>
      <w:hyperlink r:id="rId78">
        <w:r w:rsidRPr="00DD7BD1">
          <w:rPr>
            <w:rFonts w:ascii="Calibri" w:hAnsi="Calibri" w:cs="Calibri"/>
            <w:b/>
            <w:color w:val="0000FF"/>
            <w:spacing w:val="-2"/>
            <w:w w:val="105"/>
            <w:u w:val="single" w:color="0000FF"/>
          </w:rPr>
          <w:t>Veterans'</w:t>
        </w:r>
        <w:r w:rsidRPr="00DD7BD1">
          <w:rPr>
            <w:rFonts w:ascii="Calibri" w:hAnsi="Calibri" w:cs="Calibri"/>
            <w:b/>
            <w:color w:val="0000FF"/>
            <w:spacing w:val="-7"/>
            <w:w w:val="105"/>
            <w:u w:val="single" w:color="0000FF"/>
          </w:rPr>
          <w:t xml:space="preserve"> </w:t>
        </w:r>
        <w:r w:rsidRPr="00DD7BD1">
          <w:rPr>
            <w:rFonts w:ascii="Calibri" w:hAnsi="Calibri" w:cs="Calibri"/>
            <w:b/>
            <w:color w:val="0000FF"/>
            <w:spacing w:val="-2"/>
            <w:w w:val="105"/>
            <w:u w:val="single" w:color="0000FF"/>
          </w:rPr>
          <w:t>Benefits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&amp;</w:t>
        </w:r>
        <w:r w:rsidRPr="00DD7BD1">
          <w:rPr>
            <w:rFonts w:ascii="Calibri" w:hAnsi="Calibri" w:cs="Calibri"/>
            <w:b/>
            <w:color w:val="0000FF"/>
            <w:spacing w:val="-10"/>
            <w:w w:val="105"/>
            <w:u w:val="single" w:color="0000FF"/>
          </w:rPr>
          <w:t xml:space="preserve"> </w:t>
        </w:r>
        <w:r w:rsidRPr="00DD7BD1">
          <w:rPr>
            <w:rFonts w:ascii="Calibri" w:hAnsi="Calibri" w:cs="Calibri"/>
            <w:b/>
            <w:color w:val="0000FF"/>
            <w:spacing w:val="-2"/>
            <w:w w:val="105"/>
            <w:u w:val="single" w:color="0000FF"/>
          </w:rPr>
          <w:t>Services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Notice</w:t>
        </w:r>
      </w:hyperlink>
      <w:r w:rsidRPr="00DD7BD1">
        <w:rPr>
          <w:rFonts w:ascii="Calibri" w:hAnsi="Calibri" w:cs="Calibri"/>
          <w:b/>
          <w:color w:val="0000FF"/>
          <w:spacing w:val="-6"/>
          <w:w w:val="105"/>
        </w:rPr>
        <w:t xml:space="preserve"> </w:t>
      </w:r>
      <w:r w:rsidRPr="00DD7BD1">
        <w:rPr>
          <w:rFonts w:ascii="Calibri" w:hAnsi="Calibri" w:cs="Calibri"/>
          <w:spacing w:val="-2"/>
          <w:w w:val="105"/>
        </w:rPr>
        <w:t>must</w:t>
      </w:r>
      <w:r w:rsidRPr="00DD7BD1">
        <w:rPr>
          <w:rFonts w:ascii="Calibri" w:hAnsi="Calibri" w:cs="Calibri"/>
          <w:spacing w:val="-11"/>
          <w:w w:val="105"/>
        </w:rPr>
        <w:t xml:space="preserve"> </w:t>
      </w:r>
      <w:r w:rsidRPr="00DD7BD1">
        <w:rPr>
          <w:rFonts w:ascii="Calibri" w:hAnsi="Calibri" w:cs="Calibri"/>
          <w:spacing w:val="-2"/>
          <w:w w:val="105"/>
        </w:rPr>
        <w:t>be</w:t>
      </w:r>
      <w:r w:rsidRPr="00DD7BD1">
        <w:rPr>
          <w:rFonts w:ascii="Calibri" w:hAnsi="Calibri" w:cs="Calibri"/>
          <w:spacing w:val="-10"/>
          <w:w w:val="105"/>
        </w:rPr>
        <w:t xml:space="preserve"> </w:t>
      </w:r>
      <w:r w:rsidRPr="00DD7BD1">
        <w:rPr>
          <w:rFonts w:ascii="Calibri" w:hAnsi="Calibri" w:cs="Calibri"/>
          <w:spacing w:val="-2"/>
          <w:w w:val="105"/>
        </w:rPr>
        <w:t>provided/posted</w:t>
      </w:r>
      <w:r w:rsidRPr="00DD7BD1">
        <w:rPr>
          <w:rFonts w:ascii="Calibri" w:hAnsi="Calibri" w:cs="Calibri"/>
          <w:spacing w:val="-11"/>
          <w:w w:val="105"/>
        </w:rPr>
        <w:t xml:space="preserve"> </w:t>
      </w:r>
      <w:r w:rsidRPr="00DD7BD1">
        <w:rPr>
          <w:rFonts w:ascii="Calibri" w:hAnsi="Calibri" w:cs="Calibri"/>
          <w:spacing w:val="-2"/>
          <w:w w:val="105"/>
        </w:rPr>
        <w:t>by</w:t>
      </w:r>
      <w:r w:rsidRPr="00DD7BD1">
        <w:rPr>
          <w:rFonts w:ascii="Calibri" w:hAnsi="Calibri" w:cs="Calibri"/>
          <w:spacing w:val="-7"/>
          <w:w w:val="105"/>
        </w:rPr>
        <w:t xml:space="preserve"> </w:t>
      </w:r>
      <w:r w:rsidRPr="00DD7BD1">
        <w:rPr>
          <w:rFonts w:ascii="Calibri" w:hAnsi="Calibri" w:cs="Calibri"/>
          <w:spacing w:val="-2"/>
          <w:w w:val="105"/>
        </w:rPr>
        <w:t>all</w:t>
      </w:r>
      <w:r w:rsidRPr="00DD7BD1">
        <w:rPr>
          <w:rFonts w:ascii="Calibri" w:hAnsi="Calibri" w:cs="Calibri"/>
          <w:spacing w:val="-10"/>
          <w:w w:val="105"/>
        </w:rPr>
        <w:t xml:space="preserve"> </w:t>
      </w:r>
      <w:r w:rsidRPr="00DD7BD1">
        <w:rPr>
          <w:rFonts w:ascii="Calibri" w:hAnsi="Calibri" w:cs="Calibri"/>
          <w:spacing w:val="-2"/>
          <w:w w:val="105"/>
        </w:rPr>
        <w:t>employers</w:t>
      </w:r>
      <w:r w:rsidRPr="00DD7BD1">
        <w:rPr>
          <w:rFonts w:ascii="Calibri" w:hAnsi="Calibri" w:cs="Calibri"/>
          <w:spacing w:val="-7"/>
          <w:w w:val="105"/>
        </w:rPr>
        <w:t xml:space="preserve"> </w:t>
      </w:r>
      <w:r w:rsidRPr="00DD7BD1">
        <w:rPr>
          <w:rFonts w:ascii="Calibri" w:hAnsi="Calibri" w:cs="Calibri"/>
          <w:spacing w:val="-2"/>
          <w:w w:val="105"/>
        </w:rPr>
        <w:t>with</w:t>
      </w:r>
      <w:r w:rsidRPr="00DD7BD1">
        <w:rPr>
          <w:rFonts w:ascii="Calibri" w:hAnsi="Calibri" w:cs="Calibri"/>
          <w:spacing w:val="-10"/>
          <w:w w:val="105"/>
        </w:rPr>
        <w:t xml:space="preserve"> </w:t>
      </w:r>
      <w:r w:rsidRPr="00DD7BD1">
        <w:rPr>
          <w:rFonts w:ascii="Calibri" w:hAnsi="Calibri" w:cs="Calibri"/>
          <w:spacing w:val="-2"/>
          <w:w w:val="105"/>
        </w:rPr>
        <w:t>50</w:t>
      </w:r>
      <w:r w:rsidRPr="00DD7BD1">
        <w:rPr>
          <w:rFonts w:ascii="Calibri" w:hAnsi="Calibri" w:cs="Calibri"/>
          <w:spacing w:val="-11"/>
          <w:w w:val="105"/>
        </w:rPr>
        <w:t xml:space="preserve"> </w:t>
      </w:r>
      <w:r w:rsidRPr="00DD7BD1">
        <w:rPr>
          <w:rFonts w:ascii="Calibri" w:hAnsi="Calibri" w:cs="Calibri"/>
          <w:spacing w:val="-2"/>
          <w:w w:val="105"/>
        </w:rPr>
        <w:t>or</w:t>
      </w:r>
      <w:r w:rsidRPr="00DD7BD1">
        <w:rPr>
          <w:rFonts w:ascii="Calibri" w:hAnsi="Calibri" w:cs="Calibri"/>
          <w:spacing w:val="-12"/>
          <w:w w:val="105"/>
        </w:rPr>
        <w:t xml:space="preserve"> </w:t>
      </w:r>
      <w:r w:rsidRPr="00DD7BD1">
        <w:rPr>
          <w:rFonts w:ascii="Calibri" w:hAnsi="Calibri" w:cs="Calibri"/>
          <w:spacing w:val="-2"/>
          <w:w w:val="105"/>
        </w:rPr>
        <w:t xml:space="preserve">more </w:t>
      </w:r>
      <w:r w:rsidRPr="00DD7BD1">
        <w:rPr>
          <w:rFonts w:ascii="Calibri" w:hAnsi="Calibri" w:cs="Calibri"/>
          <w:w w:val="105"/>
        </w:rPr>
        <w:t>full time equivalent employees</w:t>
      </w:r>
    </w:p>
    <w:p w14:paraId="3DC54E7B"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FL</w:t>
      </w:r>
      <w:r w:rsidRPr="00DD7BD1">
        <w:rPr>
          <w:rFonts w:ascii="Calibri" w:hAnsi="Calibri" w:cs="Calibri"/>
          <w:b/>
          <w:spacing w:val="-15"/>
        </w:rPr>
        <w:t xml:space="preserve"> </w:t>
      </w:r>
      <w:r w:rsidRPr="00DD7BD1">
        <w:rPr>
          <w:rFonts w:ascii="Calibri" w:hAnsi="Calibri" w:cs="Calibri"/>
          <w:b/>
        </w:rPr>
        <w:t>–</w:t>
      </w:r>
      <w:r w:rsidRPr="00DD7BD1">
        <w:rPr>
          <w:rFonts w:ascii="Calibri" w:hAnsi="Calibri" w:cs="Calibri"/>
          <w:b/>
          <w:spacing w:val="-14"/>
        </w:rPr>
        <w:t xml:space="preserve"> </w:t>
      </w:r>
      <w:r w:rsidRPr="00DD7BD1">
        <w:rPr>
          <w:rFonts w:ascii="Calibri" w:hAnsi="Calibri" w:cs="Calibri"/>
        </w:rPr>
        <w:t>updated</w:t>
      </w:r>
      <w:r w:rsidRPr="00DD7BD1">
        <w:rPr>
          <w:rFonts w:ascii="Calibri" w:hAnsi="Calibri" w:cs="Calibri"/>
          <w:spacing w:val="-15"/>
        </w:rPr>
        <w:t xml:space="preserve"> </w:t>
      </w:r>
      <w:hyperlink r:id="rId79">
        <w:r w:rsidRPr="00DD7BD1">
          <w:rPr>
            <w:rFonts w:ascii="Calibri" w:hAnsi="Calibri" w:cs="Calibri"/>
            <w:b/>
            <w:color w:val="0000FF"/>
            <w:u w:val="single" w:color="0000FF"/>
          </w:rPr>
          <w:t>Minimum</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13"/>
        </w:rPr>
        <w:t xml:space="preserve"> </w:t>
      </w:r>
      <w:r w:rsidRPr="00DD7BD1">
        <w:rPr>
          <w:rFonts w:ascii="Calibri" w:hAnsi="Calibri" w:cs="Calibri"/>
        </w:rPr>
        <w:t>eff</w:t>
      </w:r>
      <w:r w:rsidRPr="00DD7BD1">
        <w:rPr>
          <w:rFonts w:ascii="Calibri" w:hAnsi="Calibri" w:cs="Calibri"/>
          <w:spacing w:val="-15"/>
        </w:rPr>
        <w:t xml:space="preserve"> </w:t>
      </w:r>
      <w:r w:rsidRPr="00DD7BD1">
        <w:rPr>
          <w:rFonts w:ascii="Calibri" w:hAnsi="Calibri" w:cs="Calibri"/>
          <w:spacing w:val="-2"/>
        </w:rPr>
        <w:t>9/30/25</w:t>
      </w:r>
    </w:p>
    <w:p w14:paraId="55608EDD"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 xml:space="preserve">KY </w:t>
      </w:r>
      <w:r w:rsidRPr="00DD7BD1">
        <w:rPr>
          <w:rFonts w:ascii="Calibri" w:hAnsi="Calibri" w:cs="Calibri"/>
          <w:spacing w:val="-7"/>
        </w:rPr>
        <w:t xml:space="preserve"> </w:t>
      </w:r>
      <w:r w:rsidRPr="00DD7BD1">
        <w:rPr>
          <w:rFonts w:ascii="Calibri" w:hAnsi="Calibri" w:cs="Calibri"/>
        </w:rPr>
        <w:t>–</w:t>
      </w:r>
      <w:r w:rsidRPr="00DD7BD1">
        <w:rPr>
          <w:rFonts w:ascii="Calibri" w:hAnsi="Calibri" w:cs="Calibri"/>
          <w:spacing w:val="-10"/>
        </w:rPr>
        <w:t xml:space="preserve"> </w:t>
      </w:r>
      <w:r w:rsidRPr="00DD7BD1">
        <w:rPr>
          <w:rFonts w:ascii="Calibri" w:hAnsi="Calibri" w:cs="Calibri"/>
        </w:rPr>
        <w:t>updated</w:t>
      </w:r>
      <w:r w:rsidRPr="00DD7BD1">
        <w:rPr>
          <w:rFonts w:ascii="Calibri" w:hAnsi="Calibri" w:cs="Calibri"/>
          <w:spacing w:val="-9"/>
        </w:rPr>
        <w:t xml:space="preserve"> </w:t>
      </w:r>
      <w:hyperlink r:id="rId80">
        <w:r w:rsidRPr="00DD7BD1">
          <w:rPr>
            <w:rFonts w:ascii="Calibri" w:hAnsi="Calibri" w:cs="Calibri"/>
            <w:color w:val="0000FF"/>
            <w:u w:val="single" w:color="0000FF"/>
          </w:rPr>
          <w:t>Safety</w:t>
        </w:r>
        <w:r w:rsidRPr="00DD7BD1">
          <w:rPr>
            <w:rFonts w:ascii="Calibri" w:hAnsi="Calibri" w:cs="Calibri"/>
            <w:color w:val="0000FF"/>
            <w:spacing w:val="-8"/>
            <w:u w:val="single" w:color="0000FF"/>
          </w:rPr>
          <w:t xml:space="preserve"> </w:t>
        </w:r>
        <w:r w:rsidRPr="00DD7BD1">
          <w:rPr>
            <w:rFonts w:ascii="Calibri" w:hAnsi="Calibri" w:cs="Calibri"/>
            <w:color w:val="0000FF"/>
            <w:u w:val="single" w:color="0000FF"/>
          </w:rPr>
          <w:t>and</w:t>
        </w:r>
        <w:r w:rsidRPr="00DD7BD1">
          <w:rPr>
            <w:rFonts w:ascii="Calibri" w:hAnsi="Calibri" w:cs="Calibri"/>
            <w:color w:val="0000FF"/>
            <w:spacing w:val="-10"/>
            <w:u w:val="single" w:color="0000FF"/>
          </w:rPr>
          <w:t xml:space="preserve"> </w:t>
        </w:r>
        <w:r w:rsidRPr="00DD7BD1">
          <w:rPr>
            <w:rFonts w:ascii="Calibri" w:hAnsi="Calibri" w:cs="Calibri"/>
            <w:color w:val="0000FF"/>
            <w:u w:val="single" w:color="0000FF"/>
          </w:rPr>
          <w:t>Health</w:t>
        </w:r>
        <w:r w:rsidRPr="00DD7BD1">
          <w:rPr>
            <w:rFonts w:ascii="Calibri" w:hAnsi="Calibri" w:cs="Calibri"/>
            <w:color w:val="0000FF"/>
            <w:spacing w:val="-9"/>
            <w:u w:val="single" w:color="0000FF"/>
          </w:rPr>
          <w:t xml:space="preserve"> </w:t>
        </w:r>
        <w:r w:rsidRPr="00DD7BD1">
          <w:rPr>
            <w:rFonts w:ascii="Calibri" w:hAnsi="Calibri" w:cs="Calibri"/>
            <w:color w:val="0000FF"/>
            <w:u w:val="single" w:color="0000FF"/>
          </w:rPr>
          <w:t>on</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the</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Job</w:t>
        </w:r>
        <w:r w:rsidRPr="00DD7BD1">
          <w:rPr>
            <w:rFonts w:ascii="Calibri" w:hAnsi="Calibri" w:cs="Calibri"/>
            <w:color w:val="0000FF"/>
            <w:spacing w:val="-9"/>
            <w:u w:val="single" w:color="0000FF"/>
          </w:rPr>
          <w:t xml:space="preserve"> </w:t>
        </w:r>
        <w:r w:rsidRPr="00DD7BD1">
          <w:rPr>
            <w:rFonts w:ascii="Calibri" w:hAnsi="Calibri" w:cs="Calibri"/>
            <w:color w:val="0000FF"/>
            <w:spacing w:val="-2"/>
            <w:u w:val="single" w:color="0000FF"/>
          </w:rPr>
          <w:t>Notice</w:t>
        </w:r>
      </w:hyperlink>
    </w:p>
    <w:p w14:paraId="74558761"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LA</w:t>
      </w:r>
      <w:r w:rsidRPr="00DD7BD1">
        <w:rPr>
          <w:rFonts w:ascii="Calibri" w:hAnsi="Calibri" w:cs="Calibri"/>
          <w:b/>
          <w:spacing w:val="-11"/>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9"/>
        </w:rPr>
        <w:t xml:space="preserve"> </w:t>
      </w:r>
      <w:hyperlink r:id="rId81">
        <w:r w:rsidRPr="00DD7BD1">
          <w:rPr>
            <w:rFonts w:ascii="Calibri" w:hAnsi="Calibri" w:cs="Calibri"/>
            <w:b/>
            <w:color w:val="0000FF"/>
            <w:spacing w:val="-4"/>
            <w:u w:val="single" w:color="0000FF"/>
          </w:rPr>
          <w:t>LA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Earned</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Income</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Credit</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10377EF0" w14:textId="77777777" w:rsidR="00E43496" w:rsidRPr="00DD7BD1" w:rsidRDefault="00E43496" w:rsidP="00E43496">
      <w:pPr>
        <w:widowControl w:val="0"/>
        <w:tabs>
          <w:tab w:val="left" w:pos="1080"/>
        </w:tabs>
        <w:autoSpaceDE w:val="0"/>
        <w:autoSpaceDN w:val="0"/>
        <w:spacing w:before="7" w:after="0" w:line="240" w:lineRule="auto"/>
        <w:ind w:left="630"/>
        <w:rPr>
          <w:rFonts w:ascii="Calibri" w:hAnsi="Calibri" w:cs="Calibri"/>
        </w:rPr>
      </w:pPr>
      <w:r w:rsidRPr="00DD7BD1">
        <w:rPr>
          <w:rFonts w:ascii="Calibri" w:hAnsi="Calibri" w:cs="Calibri"/>
          <w:b/>
        </w:rPr>
        <w:lastRenderedPageBreak/>
        <w:t>NE</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newly</w:t>
      </w:r>
      <w:r w:rsidRPr="00DD7BD1">
        <w:rPr>
          <w:rFonts w:ascii="Calibri" w:hAnsi="Calibri" w:cs="Calibri"/>
          <w:spacing w:val="-3"/>
        </w:rPr>
        <w:t xml:space="preserve"> </w:t>
      </w:r>
      <w:r w:rsidRPr="00DD7BD1">
        <w:rPr>
          <w:rFonts w:ascii="Calibri" w:hAnsi="Calibri" w:cs="Calibri"/>
        </w:rPr>
        <w:t>released</w:t>
      </w:r>
      <w:r w:rsidRPr="00DD7BD1">
        <w:rPr>
          <w:rFonts w:ascii="Calibri" w:hAnsi="Calibri" w:cs="Calibri"/>
          <w:spacing w:val="-4"/>
        </w:rPr>
        <w:t xml:space="preserve"> </w:t>
      </w:r>
      <w:hyperlink r:id="rId82">
        <w:r w:rsidRPr="00DD7BD1">
          <w:rPr>
            <w:rFonts w:ascii="Calibri" w:hAnsi="Calibri" w:cs="Calibri"/>
            <w:b/>
            <w:color w:val="0000FF"/>
            <w:u w:val="single" w:color="0000FF"/>
          </w:rPr>
          <w:t>NE</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Paid</w:t>
        </w:r>
        <w:r w:rsidRPr="00DD7BD1">
          <w:rPr>
            <w:rFonts w:ascii="Calibri" w:hAnsi="Calibri" w:cs="Calibri"/>
            <w:b/>
            <w:color w:val="0000FF"/>
            <w:spacing w:val="-3"/>
            <w:u w:val="single" w:color="0000FF"/>
          </w:rPr>
          <w:t xml:space="preserve"> </w:t>
        </w:r>
        <w:r w:rsidRPr="00DD7BD1">
          <w:rPr>
            <w:rFonts w:ascii="Calibri" w:hAnsi="Calibri" w:cs="Calibri"/>
            <w:b/>
            <w:color w:val="0000FF"/>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4"/>
            <w:u w:val="single" w:color="0000FF"/>
          </w:rPr>
          <w:t xml:space="preserve"> </w:t>
        </w:r>
        <w:r w:rsidRPr="00DD7BD1">
          <w:rPr>
            <w:rFonts w:ascii="Calibri" w:hAnsi="Calibri" w:cs="Calibri"/>
            <w:b/>
            <w:color w:val="0000FF"/>
            <w:spacing w:val="-2"/>
            <w:u w:val="single" w:color="0000FF"/>
          </w:rPr>
          <w:t>Notice</w:t>
        </w:r>
      </w:hyperlink>
    </w:p>
    <w:p w14:paraId="3C0D89D7"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2"/>
        </w:rPr>
        <w:t>MD</w:t>
      </w:r>
      <w:r w:rsidRPr="00DD7BD1">
        <w:rPr>
          <w:rFonts w:ascii="Calibri" w:hAnsi="Calibri" w:cs="Calibri"/>
          <w:b/>
          <w:spacing w:val="-11"/>
        </w:rPr>
        <w:t xml:space="preserve"> </w:t>
      </w:r>
      <w:r w:rsidRPr="00DD7BD1">
        <w:rPr>
          <w:rFonts w:ascii="Calibri" w:hAnsi="Calibri" w:cs="Calibri"/>
          <w:b/>
          <w:spacing w:val="-2"/>
        </w:rPr>
        <w:t>–</w:t>
      </w:r>
      <w:r w:rsidRPr="00DD7BD1">
        <w:rPr>
          <w:rFonts w:ascii="Calibri" w:hAnsi="Calibri" w:cs="Calibri"/>
          <w:b/>
          <w:spacing w:val="-8"/>
        </w:rPr>
        <w:t xml:space="preserve"> </w:t>
      </w:r>
      <w:r w:rsidRPr="00DD7BD1">
        <w:rPr>
          <w:rFonts w:ascii="Calibri" w:hAnsi="Calibri" w:cs="Calibri"/>
          <w:spacing w:val="-2"/>
        </w:rPr>
        <w:t>updated</w:t>
      </w:r>
      <w:r w:rsidRPr="00DD7BD1">
        <w:rPr>
          <w:rFonts w:ascii="Calibri" w:hAnsi="Calibri" w:cs="Calibri"/>
          <w:spacing w:val="-10"/>
        </w:rPr>
        <w:t xml:space="preserve"> </w:t>
      </w:r>
      <w:hyperlink r:id="rId83">
        <w:r w:rsidRPr="00DD7BD1">
          <w:rPr>
            <w:rFonts w:ascii="Calibri" w:hAnsi="Calibri" w:cs="Calibri"/>
            <w:b/>
            <w:color w:val="0000FF"/>
            <w:spacing w:val="-2"/>
            <w:u w:val="single" w:color="0000FF"/>
          </w:rPr>
          <w:t>Maryland</w:t>
        </w:r>
        <w:r w:rsidRPr="00DD7BD1">
          <w:rPr>
            <w:rFonts w:ascii="Calibri" w:hAnsi="Calibri" w:cs="Calibri"/>
            <w:b/>
            <w:color w:val="0000FF"/>
            <w:spacing w:val="-10"/>
            <w:u w:val="single" w:color="0000FF"/>
          </w:rPr>
          <w:t xml:space="preserve"> </w:t>
        </w:r>
        <w:r w:rsidRPr="00DD7BD1">
          <w:rPr>
            <w:rFonts w:ascii="Calibri" w:hAnsi="Calibri" w:cs="Calibri"/>
            <w:b/>
            <w:color w:val="0000FF"/>
            <w:spacing w:val="-2"/>
            <w:u w:val="single" w:color="0000FF"/>
          </w:rPr>
          <w:t>OSHA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2"/>
            <w:u w:val="single" w:color="0000FF"/>
          </w:rPr>
          <w:t>Notice</w:t>
        </w:r>
        <w:r w:rsidRPr="00DD7BD1">
          <w:rPr>
            <w:rFonts w:ascii="Calibri" w:hAnsi="Calibri" w:cs="Calibri"/>
            <w:b/>
            <w:color w:val="0000FF"/>
            <w:spacing w:val="40"/>
            <w:u w:val="single" w:color="0000FF"/>
          </w:rPr>
          <w:t xml:space="preserve"> </w:t>
        </w:r>
      </w:hyperlink>
    </w:p>
    <w:p w14:paraId="6E6DCFF9" w14:textId="77777777" w:rsidR="00E43496" w:rsidRPr="00DD7BD1" w:rsidRDefault="00E43496" w:rsidP="00E43496">
      <w:pPr>
        <w:widowControl w:val="0"/>
        <w:tabs>
          <w:tab w:val="left" w:pos="1080"/>
          <w:tab w:val="left" w:pos="1440"/>
        </w:tabs>
        <w:autoSpaceDE w:val="0"/>
        <w:autoSpaceDN w:val="0"/>
        <w:spacing w:before="4" w:after="0" w:line="247" w:lineRule="auto"/>
        <w:ind w:left="630" w:right="981"/>
        <w:rPr>
          <w:rFonts w:ascii="Calibri" w:hAnsi="Calibri" w:cs="Calibri"/>
        </w:rPr>
      </w:pPr>
      <w:r w:rsidRPr="00DD7BD1">
        <w:rPr>
          <w:rFonts w:ascii="Calibri" w:hAnsi="Calibri" w:cs="Calibri"/>
          <w:b/>
        </w:rPr>
        <w:t>MO</w:t>
      </w:r>
      <w:r w:rsidRPr="00DD7BD1">
        <w:rPr>
          <w:rFonts w:ascii="Calibri" w:hAnsi="Calibri" w:cs="Calibri"/>
          <w:b/>
          <w:spacing w:val="-5"/>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84">
        <w:r w:rsidRPr="00DD7BD1">
          <w:rPr>
            <w:rFonts w:ascii="Calibri" w:hAnsi="Calibri" w:cs="Calibri"/>
            <w:b/>
            <w:color w:val="0000FF"/>
            <w:u w:val="single" w:color="0000FF"/>
          </w:rPr>
          <w:t>Missouri</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Minimum</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Notice</w:t>
        </w:r>
        <w:r w:rsidRPr="00DD7BD1">
          <w:rPr>
            <w:rFonts w:ascii="Calibri" w:hAnsi="Calibri" w:cs="Calibri"/>
            <w:b/>
            <w:color w:val="0000FF"/>
            <w:spacing w:val="-4"/>
          </w:rPr>
          <w:t xml:space="preserve"> </w:t>
        </w:r>
        <w:r w:rsidRPr="00DD7BD1">
          <w:rPr>
            <w:rFonts w:ascii="Calibri" w:hAnsi="Calibri" w:cs="Calibri"/>
          </w:rPr>
          <w:t>(8/28/25-13/31/2025)</w:t>
        </w:r>
      </w:hyperlink>
      <w:r w:rsidRPr="00DD7BD1">
        <w:rPr>
          <w:rFonts w:ascii="Calibri" w:hAnsi="Calibri" w:cs="Calibri"/>
          <w:spacing w:val="-5"/>
        </w:rPr>
        <w:t xml:space="preserve"> </w:t>
      </w:r>
      <w:r w:rsidRPr="00DD7BD1">
        <w:rPr>
          <w:rFonts w:ascii="Calibri" w:hAnsi="Calibri" w:cs="Calibri"/>
          <w:b/>
        </w:rPr>
        <w:t>&amp;</w:t>
      </w:r>
      <w:r w:rsidRPr="00DD7BD1">
        <w:rPr>
          <w:rFonts w:ascii="Calibri" w:hAnsi="Calibri" w:cs="Calibri"/>
          <w:b/>
          <w:spacing w:val="-3"/>
        </w:rPr>
        <w:t xml:space="preserve"> </w:t>
      </w:r>
      <w:r w:rsidRPr="00DD7BD1">
        <w:rPr>
          <w:rFonts w:ascii="Calibri" w:hAnsi="Calibri" w:cs="Calibri"/>
          <w:b/>
          <w:u w:val="single"/>
        </w:rPr>
        <w:t>removing</w:t>
      </w:r>
      <w:r w:rsidRPr="00DD7BD1">
        <w:rPr>
          <w:rFonts w:ascii="Calibri" w:hAnsi="Calibri" w:cs="Calibri"/>
          <w:b/>
          <w:spacing w:val="-1"/>
        </w:rPr>
        <w:t xml:space="preserve"> </w:t>
      </w:r>
      <w:r w:rsidRPr="00DD7BD1">
        <w:rPr>
          <w:rFonts w:ascii="Calibri" w:hAnsi="Calibri" w:cs="Calibri"/>
          <w:b/>
        </w:rPr>
        <w:t>of</w:t>
      </w:r>
      <w:r w:rsidRPr="00DD7BD1">
        <w:rPr>
          <w:rFonts w:ascii="Calibri" w:hAnsi="Calibri" w:cs="Calibri"/>
          <w:b/>
          <w:spacing w:val="-4"/>
        </w:rPr>
        <w:t xml:space="preserve"> </w:t>
      </w:r>
      <w:r w:rsidRPr="00DD7BD1">
        <w:rPr>
          <w:rFonts w:ascii="Calibri" w:hAnsi="Calibri" w:cs="Calibri"/>
          <w:b/>
        </w:rPr>
        <w:t>the</w:t>
      </w:r>
      <w:r w:rsidRPr="00DD7BD1">
        <w:rPr>
          <w:rFonts w:ascii="Calibri" w:hAnsi="Calibri" w:cs="Calibri"/>
          <w:b/>
          <w:spacing w:val="-6"/>
        </w:rPr>
        <w:t xml:space="preserve"> </w:t>
      </w:r>
      <w:r w:rsidRPr="00DD7BD1">
        <w:rPr>
          <w:rFonts w:ascii="Calibri" w:hAnsi="Calibri" w:cs="Calibri"/>
          <w:b/>
        </w:rPr>
        <w:t>Earned</w:t>
      </w:r>
      <w:r w:rsidRPr="00DD7BD1">
        <w:rPr>
          <w:rFonts w:ascii="Calibri" w:hAnsi="Calibri" w:cs="Calibri"/>
          <w:b/>
          <w:spacing w:val="-7"/>
        </w:rPr>
        <w:t xml:space="preserve"> </w:t>
      </w:r>
      <w:r w:rsidRPr="00DD7BD1">
        <w:rPr>
          <w:rFonts w:ascii="Calibri" w:hAnsi="Calibri" w:cs="Calibri"/>
          <w:b/>
        </w:rPr>
        <w:t xml:space="preserve">Paid </w:t>
      </w:r>
      <w:r w:rsidRPr="00DD7BD1">
        <w:rPr>
          <w:rFonts w:ascii="Calibri" w:hAnsi="Calibri" w:cs="Calibri"/>
          <w:b/>
          <w:w w:val="105"/>
        </w:rPr>
        <w:t>Sick</w:t>
      </w:r>
      <w:r w:rsidRPr="00DD7BD1">
        <w:rPr>
          <w:rFonts w:ascii="Calibri" w:hAnsi="Calibri" w:cs="Calibri"/>
          <w:b/>
          <w:spacing w:val="-17"/>
          <w:w w:val="105"/>
        </w:rPr>
        <w:t xml:space="preserve"> </w:t>
      </w:r>
      <w:r w:rsidRPr="00DD7BD1">
        <w:rPr>
          <w:rFonts w:ascii="Calibri" w:hAnsi="Calibri" w:cs="Calibri"/>
          <w:b/>
          <w:w w:val="105"/>
        </w:rPr>
        <w:t>Time</w:t>
      </w:r>
      <w:r w:rsidRPr="00DD7BD1">
        <w:rPr>
          <w:rFonts w:ascii="Calibri" w:hAnsi="Calibri" w:cs="Calibri"/>
          <w:b/>
          <w:spacing w:val="-16"/>
          <w:w w:val="105"/>
        </w:rPr>
        <w:t xml:space="preserve"> </w:t>
      </w:r>
      <w:r w:rsidRPr="00DD7BD1">
        <w:rPr>
          <w:rFonts w:ascii="Calibri" w:hAnsi="Calibri" w:cs="Calibri"/>
          <w:b/>
          <w:w w:val="105"/>
        </w:rPr>
        <w:t>Notice</w:t>
      </w:r>
    </w:p>
    <w:p w14:paraId="05D07F9E" w14:textId="77777777" w:rsidR="00E43496" w:rsidRPr="00DD7BD1" w:rsidRDefault="00E43496" w:rsidP="00E43496">
      <w:pPr>
        <w:widowControl w:val="0"/>
        <w:tabs>
          <w:tab w:val="left" w:pos="1080"/>
        </w:tabs>
        <w:autoSpaceDE w:val="0"/>
        <w:autoSpaceDN w:val="0"/>
        <w:spacing w:after="0" w:line="269" w:lineRule="exact"/>
        <w:ind w:left="630"/>
        <w:rPr>
          <w:rFonts w:ascii="Calibri" w:hAnsi="Calibri" w:cs="Calibri"/>
        </w:rPr>
      </w:pPr>
      <w:r w:rsidRPr="00DD7BD1">
        <w:rPr>
          <w:rFonts w:ascii="Calibri" w:hAnsi="Calibri" w:cs="Calibri"/>
          <w:b/>
        </w:rPr>
        <w:t>NJ</w:t>
      </w:r>
      <w:r w:rsidRPr="00DD7BD1">
        <w:rPr>
          <w:rFonts w:ascii="Calibri" w:hAnsi="Calibri" w:cs="Calibri"/>
          <w:b/>
          <w:spacing w:val="-8"/>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85">
        <w:r w:rsidRPr="00DD7BD1">
          <w:rPr>
            <w:rFonts w:ascii="Calibri" w:hAnsi="Calibri" w:cs="Calibri"/>
            <w:b/>
            <w:color w:val="0000FF"/>
            <w:u w:val="single" w:color="0000FF"/>
          </w:rPr>
          <w:t>NJ</w:t>
        </w:r>
        <w:r w:rsidRPr="00DD7BD1">
          <w:rPr>
            <w:rFonts w:ascii="Calibri" w:hAnsi="Calibri" w:cs="Calibri"/>
            <w:b/>
            <w:color w:val="0000FF"/>
            <w:spacing w:val="-10"/>
            <w:u w:val="single" w:color="0000FF"/>
          </w:rPr>
          <w:t xml:space="preserve"> </w:t>
        </w:r>
        <w:r w:rsidRPr="00DD7BD1">
          <w:rPr>
            <w:rFonts w:ascii="Calibri" w:hAnsi="Calibri" w:cs="Calibri"/>
            <w:b/>
            <w:color w:val="0000FF"/>
            <w:u w:val="single" w:color="0000FF"/>
          </w:rPr>
          <w:t>Family</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7"/>
            <w:u w:val="single" w:color="0000FF"/>
          </w:rPr>
          <w:t xml:space="preserve"> </w:t>
        </w:r>
        <w:r w:rsidRPr="00DD7BD1">
          <w:rPr>
            <w:rFonts w:ascii="Calibri" w:hAnsi="Calibri" w:cs="Calibri"/>
            <w:b/>
            <w:color w:val="0000FF"/>
            <w:u w:val="single" w:color="0000FF"/>
          </w:rPr>
          <w:t>Insurance</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7"/>
        </w:rPr>
        <w:t xml:space="preserve"> </w:t>
      </w:r>
      <w:r w:rsidRPr="00DD7BD1">
        <w:rPr>
          <w:rFonts w:ascii="Calibri" w:hAnsi="Calibri" w:cs="Calibri"/>
          <w:spacing w:val="-2"/>
        </w:rPr>
        <w:t>(9/25)</w:t>
      </w:r>
    </w:p>
    <w:p w14:paraId="2ABC8320"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6"/>
        </w:rPr>
        <w:t>OK</w:t>
      </w:r>
      <w:r w:rsidRPr="00DD7BD1">
        <w:rPr>
          <w:rFonts w:ascii="Calibri" w:hAnsi="Calibri" w:cs="Calibri"/>
          <w:b/>
          <w:spacing w:val="4"/>
        </w:rPr>
        <w:t xml:space="preserve"> </w:t>
      </w:r>
      <w:r w:rsidRPr="00DD7BD1">
        <w:rPr>
          <w:rFonts w:ascii="Calibri" w:hAnsi="Calibri" w:cs="Calibri"/>
          <w:spacing w:val="-6"/>
        </w:rPr>
        <w:t>–</w:t>
      </w:r>
      <w:r w:rsidRPr="00DD7BD1">
        <w:rPr>
          <w:rFonts w:ascii="Calibri" w:hAnsi="Calibri" w:cs="Calibri"/>
          <w:spacing w:val="3"/>
        </w:rPr>
        <w:t xml:space="preserve"> </w:t>
      </w:r>
      <w:r w:rsidRPr="00DD7BD1">
        <w:rPr>
          <w:rFonts w:ascii="Calibri" w:hAnsi="Calibri" w:cs="Calibri"/>
          <w:spacing w:val="-6"/>
        </w:rPr>
        <w:t>updated</w:t>
      </w:r>
      <w:r w:rsidRPr="00DD7BD1">
        <w:rPr>
          <w:rFonts w:ascii="Calibri" w:hAnsi="Calibri" w:cs="Calibri"/>
          <w:spacing w:val="1"/>
        </w:rPr>
        <w:t xml:space="preserve"> </w:t>
      </w:r>
      <w:hyperlink r:id="rId86">
        <w:r w:rsidRPr="00DD7BD1">
          <w:rPr>
            <w:rFonts w:ascii="Calibri" w:hAnsi="Calibri" w:cs="Calibri"/>
            <w:b/>
            <w:color w:val="0000FF"/>
            <w:spacing w:val="-6"/>
            <w:u w:val="single" w:color="0000FF"/>
          </w:rPr>
          <w:t>Unemployment</w:t>
        </w:r>
        <w:r w:rsidRPr="00DD7BD1">
          <w:rPr>
            <w:rFonts w:ascii="Calibri" w:hAnsi="Calibri" w:cs="Calibri"/>
            <w:b/>
            <w:color w:val="0000FF"/>
            <w:spacing w:val="2"/>
            <w:u w:val="single" w:color="0000FF"/>
          </w:rPr>
          <w:t xml:space="preserve"> </w:t>
        </w:r>
        <w:r w:rsidRPr="00DD7BD1">
          <w:rPr>
            <w:rFonts w:ascii="Calibri" w:hAnsi="Calibri" w:cs="Calibri"/>
            <w:b/>
            <w:color w:val="0000FF"/>
            <w:spacing w:val="-6"/>
            <w:u w:val="single" w:color="0000FF"/>
          </w:rPr>
          <w:t>Insurance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Benefits</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Notice</w:t>
        </w:r>
        <w:r w:rsidRPr="00DD7BD1">
          <w:rPr>
            <w:rFonts w:ascii="Calibri" w:hAnsi="Calibri" w:cs="Calibri"/>
            <w:b/>
            <w:color w:val="0000FF"/>
            <w:spacing w:val="8"/>
            <w:u w:val="single" w:color="0000FF"/>
          </w:rPr>
          <w:t xml:space="preserve"> </w:t>
        </w:r>
        <w:r w:rsidRPr="00DD7BD1">
          <w:rPr>
            <w:rFonts w:ascii="Calibri" w:hAnsi="Calibri" w:cs="Calibri"/>
            <w:b/>
            <w:color w:val="0000FF"/>
            <w:spacing w:val="-6"/>
            <w:u w:val="single" w:color="0000FF"/>
          </w:rPr>
          <w:t>(OES-044)</w:t>
        </w:r>
      </w:hyperlink>
    </w:p>
    <w:p w14:paraId="1CFF3B58"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RI</w:t>
      </w:r>
      <w:r w:rsidRPr="00DD7BD1">
        <w:rPr>
          <w:rFonts w:ascii="Calibri" w:hAnsi="Calibri" w:cs="Calibri"/>
          <w:b/>
          <w:spacing w:val="-5"/>
        </w:rPr>
        <w:t xml:space="preserve"> </w:t>
      </w:r>
      <w:r w:rsidRPr="00DD7BD1">
        <w:rPr>
          <w:rFonts w:ascii="Calibri" w:hAnsi="Calibri" w:cs="Calibri"/>
          <w:b/>
          <w:spacing w:val="-4"/>
        </w:rPr>
        <w:t>–</w:t>
      </w:r>
      <w:r w:rsidRPr="00DD7BD1">
        <w:rPr>
          <w:rFonts w:ascii="Calibri" w:hAnsi="Calibri" w:cs="Calibri"/>
          <w:b/>
          <w:spacing w:val="-7"/>
        </w:rPr>
        <w:t xml:space="preserve"> </w:t>
      </w:r>
      <w:r w:rsidRPr="00DD7BD1">
        <w:rPr>
          <w:rFonts w:ascii="Calibri" w:hAnsi="Calibri" w:cs="Calibri"/>
          <w:spacing w:val="-4"/>
        </w:rPr>
        <w:t>updated</w:t>
      </w:r>
      <w:r w:rsidRPr="00DD7BD1">
        <w:rPr>
          <w:rFonts w:ascii="Calibri" w:hAnsi="Calibri" w:cs="Calibri"/>
          <w:spacing w:val="-6"/>
        </w:rPr>
        <w:t xml:space="preserve"> </w:t>
      </w:r>
      <w:hyperlink r:id="rId87">
        <w:r w:rsidRPr="00DD7BD1">
          <w:rPr>
            <w:rFonts w:ascii="Calibri" w:hAnsi="Calibri" w:cs="Calibri"/>
            <w:b/>
            <w:color w:val="0000FF"/>
            <w:spacing w:val="-4"/>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and</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Safe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Leave Notice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Discrimination/Fair</w:t>
        </w:r>
        <w:r w:rsidRPr="00DD7BD1">
          <w:rPr>
            <w:rFonts w:ascii="Calibri" w:hAnsi="Calibri" w:cs="Calibri"/>
            <w:b/>
            <w:color w:val="0000FF"/>
            <w:spacing w:val="-6"/>
            <w:u w:val="single" w:color="0000FF"/>
          </w:rPr>
          <w:t xml:space="preserve"> </w:t>
        </w:r>
        <w:r w:rsidRPr="00DD7BD1">
          <w:rPr>
            <w:rFonts w:ascii="Calibri" w:hAnsi="Calibri" w:cs="Calibri"/>
            <w:b/>
            <w:color w:val="0000FF"/>
            <w:spacing w:val="-4"/>
            <w:u w:val="single" w:color="0000FF"/>
          </w:rPr>
          <w:t>Employment</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Notice</w:t>
        </w:r>
      </w:hyperlink>
    </w:p>
    <w:p w14:paraId="069454D9"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8"/>
        </w:rPr>
        <w:t>UT</w:t>
      </w:r>
      <w:r w:rsidRPr="00DD7BD1">
        <w:rPr>
          <w:rFonts w:ascii="Calibri" w:hAnsi="Calibri" w:cs="Calibri"/>
          <w:b/>
          <w:spacing w:val="1"/>
        </w:rPr>
        <w:t xml:space="preserve"> </w:t>
      </w:r>
      <w:r w:rsidRPr="00DD7BD1">
        <w:rPr>
          <w:rFonts w:ascii="Calibri" w:hAnsi="Calibri" w:cs="Calibri"/>
          <w:b/>
          <w:spacing w:val="-8"/>
        </w:rPr>
        <w:t>–</w:t>
      </w:r>
      <w:r w:rsidRPr="00DD7BD1">
        <w:rPr>
          <w:rFonts w:ascii="Calibri" w:hAnsi="Calibri" w:cs="Calibri"/>
          <w:b/>
          <w:spacing w:val="-2"/>
        </w:rPr>
        <w:t xml:space="preserve"> </w:t>
      </w:r>
      <w:r w:rsidRPr="00DD7BD1">
        <w:rPr>
          <w:rFonts w:ascii="Calibri" w:hAnsi="Calibri" w:cs="Calibri"/>
          <w:spacing w:val="-8"/>
        </w:rPr>
        <w:t>updated</w:t>
      </w:r>
      <w:r w:rsidRPr="00DD7BD1">
        <w:rPr>
          <w:rFonts w:ascii="Calibri" w:hAnsi="Calibri" w:cs="Calibri"/>
        </w:rPr>
        <w:t xml:space="preserve"> </w:t>
      </w:r>
      <w:hyperlink r:id="rId88">
        <w:r w:rsidRPr="00DD7BD1">
          <w:rPr>
            <w:rFonts w:ascii="Calibri" w:hAnsi="Calibri" w:cs="Calibri"/>
            <w:b/>
            <w:color w:val="0000FF"/>
            <w:spacing w:val="-8"/>
            <w:u w:val="single" w:color="0000FF"/>
          </w:rPr>
          <w:t>Workplace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8"/>
            <w:u w:val="single" w:color="0000FF"/>
          </w:rPr>
          <w:t>Safety</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and</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Health</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(UOSH)</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Notice</w:t>
        </w:r>
      </w:hyperlink>
    </w:p>
    <w:p w14:paraId="0387ACF4" w14:textId="77777777" w:rsidR="00E43496" w:rsidRPr="00DD7BD1" w:rsidRDefault="00E43496" w:rsidP="00E43496">
      <w:pPr>
        <w:widowControl w:val="0"/>
        <w:tabs>
          <w:tab w:val="left" w:pos="1080"/>
          <w:tab w:val="left" w:pos="1440"/>
        </w:tabs>
        <w:autoSpaceDE w:val="0"/>
        <w:autoSpaceDN w:val="0"/>
        <w:spacing w:before="4" w:after="0" w:line="247" w:lineRule="auto"/>
        <w:ind w:left="630" w:right="831"/>
        <w:rPr>
          <w:rFonts w:ascii="Calibri" w:hAnsi="Calibri" w:cs="Calibri"/>
        </w:rPr>
      </w:pPr>
      <w:r w:rsidRPr="00DD7BD1">
        <w:rPr>
          <w:rFonts w:ascii="Calibri" w:hAnsi="Calibri" w:cs="Calibri"/>
          <w:b/>
        </w:rPr>
        <w:t>VA</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3"/>
        </w:rPr>
        <w:t xml:space="preserve"> </w:t>
      </w:r>
      <w:hyperlink r:id="rId89">
        <w:r w:rsidRPr="00DD7BD1">
          <w:rPr>
            <w:rFonts w:ascii="Calibri" w:hAnsi="Calibri" w:cs="Calibri"/>
            <w:b/>
            <w:color w:val="0000FF"/>
            <w:u w:val="single" w:color="0000FF"/>
          </w:rPr>
          <w:t>Job</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Safety</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and</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Health</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Protection</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(VOSH/OSHA)</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Additionally,</w:t>
      </w:r>
      <w:r w:rsidRPr="00DD7BD1">
        <w:rPr>
          <w:rFonts w:ascii="Calibri" w:hAnsi="Calibri" w:cs="Calibri"/>
          <w:spacing w:val="-7"/>
        </w:rPr>
        <w:t xml:space="preserve"> </w:t>
      </w:r>
      <w:r w:rsidRPr="00DD7BD1">
        <w:rPr>
          <w:rFonts w:ascii="Calibri" w:hAnsi="Calibri" w:cs="Calibri"/>
        </w:rPr>
        <w:t>the</w:t>
      </w:r>
      <w:r w:rsidRPr="00DD7BD1">
        <w:rPr>
          <w:rFonts w:ascii="Calibri" w:hAnsi="Calibri" w:cs="Calibri"/>
          <w:spacing w:val="-7"/>
        </w:rPr>
        <w:t xml:space="preserve"> </w:t>
      </w:r>
      <w:r w:rsidRPr="00DD7BD1">
        <w:rPr>
          <w:rFonts w:ascii="Calibri" w:hAnsi="Calibri" w:cs="Calibri"/>
        </w:rPr>
        <w:t>following</w:t>
      </w:r>
      <w:r w:rsidRPr="00DD7BD1">
        <w:rPr>
          <w:rFonts w:ascii="Calibri" w:hAnsi="Calibri" w:cs="Calibri"/>
          <w:spacing w:val="-8"/>
        </w:rPr>
        <w:t xml:space="preserve"> </w:t>
      </w:r>
      <w:r w:rsidRPr="00DD7BD1">
        <w:rPr>
          <w:rFonts w:ascii="Calibri" w:hAnsi="Calibri" w:cs="Calibri"/>
        </w:rPr>
        <w:t xml:space="preserve">have </w:t>
      </w:r>
      <w:r w:rsidRPr="00DD7BD1">
        <w:rPr>
          <w:rFonts w:ascii="Calibri" w:hAnsi="Calibri" w:cs="Calibri"/>
          <w:w w:val="110"/>
        </w:rPr>
        <w:t>also</w:t>
      </w:r>
      <w:r w:rsidRPr="00DD7BD1">
        <w:rPr>
          <w:rFonts w:ascii="Calibri" w:hAnsi="Calibri" w:cs="Calibri"/>
          <w:spacing w:val="-3"/>
          <w:w w:val="110"/>
        </w:rPr>
        <w:t xml:space="preserve"> </w:t>
      </w:r>
      <w:r w:rsidRPr="00DD7BD1">
        <w:rPr>
          <w:rFonts w:ascii="Calibri" w:hAnsi="Calibri" w:cs="Calibri"/>
          <w:w w:val="110"/>
        </w:rPr>
        <w:t>been</w:t>
      </w:r>
      <w:r w:rsidRPr="00DD7BD1">
        <w:rPr>
          <w:rFonts w:ascii="Calibri" w:hAnsi="Calibri" w:cs="Calibri"/>
          <w:spacing w:val="-3"/>
          <w:w w:val="110"/>
        </w:rPr>
        <w:t xml:space="preserve"> </w:t>
      </w:r>
      <w:r w:rsidRPr="00DD7BD1">
        <w:rPr>
          <w:rFonts w:ascii="Calibri" w:hAnsi="Calibri" w:cs="Calibri"/>
          <w:w w:val="110"/>
        </w:rPr>
        <w:t>updated:</w:t>
      </w:r>
      <w:r w:rsidRPr="00DD7BD1">
        <w:rPr>
          <w:rFonts w:ascii="Calibri" w:hAnsi="Calibri" w:cs="Calibri"/>
          <w:spacing w:val="-1"/>
          <w:w w:val="110"/>
        </w:rPr>
        <w:t xml:space="preserve"> </w:t>
      </w:r>
      <w:r w:rsidRPr="00DD7BD1">
        <w:rPr>
          <w:rFonts w:ascii="Calibri" w:hAnsi="Calibri" w:cs="Calibri"/>
          <w:w w:val="110"/>
        </w:rPr>
        <w:t>Unemployment</w:t>
      </w:r>
      <w:r w:rsidRPr="00DD7BD1">
        <w:rPr>
          <w:rFonts w:ascii="Calibri" w:hAnsi="Calibri" w:cs="Calibri"/>
          <w:spacing w:val="-1"/>
          <w:w w:val="110"/>
        </w:rPr>
        <w:t xml:space="preserve"> </w:t>
      </w:r>
      <w:r w:rsidRPr="00DD7BD1">
        <w:rPr>
          <w:rFonts w:ascii="Calibri" w:hAnsi="Calibri" w:cs="Calibri"/>
          <w:w w:val="110"/>
        </w:rPr>
        <w:t>Insurance,</w:t>
      </w:r>
      <w:r w:rsidRPr="00DD7BD1">
        <w:rPr>
          <w:rFonts w:ascii="Calibri" w:hAnsi="Calibri" w:cs="Calibri"/>
          <w:spacing w:val="-4"/>
          <w:w w:val="110"/>
        </w:rPr>
        <w:t xml:space="preserve"> </w:t>
      </w:r>
      <w:r w:rsidRPr="00DD7BD1">
        <w:rPr>
          <w:rFonts w:ascii="Calibri" w:hAnsi="Calibri" w:cs="Calibri"/>
          <w:w w:val="110"/>
        </w:rPr>
        <w:t>Accommodations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2"/>
          <w:w w:val="110"/>
        </w:rPr>
        <w:t xml:space="preserve"> </w:t>
      </w:r>
      <w:r w:rsidRPr="00DD7BD1">
        <w:rPr>
          <w:rFonts w:ascii="Calibri" w:hAnsi="Calibri" w:cs="Calibri"/>
          <w:w w:val="110"/>
        </w:rPr>
        <w:t>Pregnant</w:t>
      </w:r>
      <w:r w:rsidRPr="00DD7BD1">
        <w:rPr>
          <w:rFonts w:ascii="Calibri" w:hAnsi="Calibri" w:cs="Calibri"/>
          <w:spacing w:val="-2"/>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Child</w:t>
      </w:r>
      <w:r w:rsidRPr="00DD7BD1">
        <w:rPr>
          <w:rFonts w:ascii="Calibri" w:hAnsi="Calibri" w:cs="Calibri"/>
          <w:spacing w:val="-1"/>
          <w:w w:val="110"/>
        </w:rPr>
        <w:t xml:space="preserve"> </w:t>
      </w:r>
      <w:r w:rsidRPr="00DD7BD1">
        <w:rPr>
          <w:rFonts w:ascii="Calibri" w:hAnsi="Calibri" w:cs="Calibri"/>
          <w:w w:val="110"/>
        </w:rPr>
        <w:t>Labor Law,</w:t>
      </w:r>
      <w:r w:rsidRPr="00DD7BD1">
        <w:rPr>
          <w:rFonts w:ascii="Calibri" w:hAnsi="Calibri" w:cs="Calibri"/>
          <w:spacing w:val="-17"/>
          <w:w w:val="110"/>
        </w:rPr>
        <w:t xml:space="preserve"> </w:t>
      </w:r>
      <w:r w:rsidRPr="00DD7BD1">
        <w:rPr>
          <w:rFonts w:ascii="Calibri" w:hAnsi="Calibri" w:cs="Calibri"/>
          <w:w w:val="110"/>
        </w:rPr>
        <w:t>Employer’s</w:t>
      </w:r>
      <w:r w:rsidRPr="00DD7BD1">
        <w:rPr>
          <w:rFonts w:ascii="Calibri" w:hAnsi="Calibri" w:cs="Calibri"/>
          <w:spacing w:val="-17"/>
          <w:w w:val="110"/>
        </w:rPr>
        <w:t xml:space="preserve"> </w:t>
      </w:r>
      <w:r w:rsidRPr="00DD7BD1">
        <w:rPr>
          <w:rFonts w:ascii="Calibri" w:hAnsi="Calibri" w:cs="Calibri"/>
          <w:w w:val="110"/>
        </w:rPr>
        <w:t>Liability</w:t>
      </w:r>
      <w:r w:rsidRPr="00DD7BD1">
        <w:rPr>
          <w:rFonts w:ascii="Calibri" w:hAnsi="Calibri" w:cs="Calibri"/>
          <w:spacing w:val="-17"/>
          <w:w w:val="110"/>
        </w:rPr>
        <w:t xml:space="preserve"> </w:t>
      </w:r>
      <w:r w:rsidRPr="00DD7BD1">
        <w:rPr>
          <w:rFonts w:ascii="Calibri" w:hAnsi="Calibri" w:cs="Calibri"/>
          <w:w w:val="110"/>
        </w:rPr>
        <w:t>&amp;</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6"/>
          <w:w w:val="110"/>
        </w:rPr>
        <w:t xml:space="preserve"> </w:t>
      </w:r>
      <w:r w:rsidRPr="00DD7BD1">
        <w:rPr>
          <w:rFonts w:ascii="Calibri" w:hAnsi="Calibri" w:cs="Calibri"/>
          <w:w w:val="110"/>
        </w:rPr>
        <w:t>Employment</w:t>
      </w:r>
      <w:r w:rsidRPr="00DD7BD1">
        <w:rPr>
          <w:rFonts w:ascii="Calibri" w:hAnsi="Calibri" w:cs="Calibri"/>
          <w:spacing w:val="-17"/>
          <w:w w:val="110"/>
        </w:rPr>
        <w:t xml:space="preserve"> </w:t>
      </w:r>
      <w:r w:rsidRPr="00DD7BD1">
        <w:rPr>
          <w:rFonts w:ascii="Calibri" w:hAnsi="Calibri" w:cs="Calibri"/>
          <w:w w:val="110"/>
        </w:rPr>
        <w:t>Protections</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Victims</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Crime, Healthcare</w:t>
      </w:r>
      <w:r w:rsidRPr="00DD7BD1">
        <w:rPr>
          <w:rFonts w:ascii="Calibri" w:hAnsi="Calibri" w:cs="Calibri"/>
          <w:spacing w:val="-5"/>
          <w:w w:val="110"/>
        </w:rPr>
        <w:t xml:space="preserve"> </w:t>
      </w:r>
      <w:r w:rsidRPr="00DD7BD1">
        <w:rPr>
          <w:rFonts w:ascii="Calibri" w:hAnsi="Calibri" w:cs="Calibri"/>
          <w:w w:val="110"/>
        </w:rPr>
        <w:t>Whistleblower</w:t>
      </w:r>
      <w:r w:rsidRPr="00DD7BD1">
        <w:rPr>
          <w:rFonts w:ascii="Calibri" w:hAnsi="Calibri" w:cs="Calibri"/>
          <w:spacing w:val="-4"/>
          <w:w w:val="110"/>
        </w:rPr>
        <w:t xml:space="preserve"> </w:t>
      </w:r>
      <w:r w:rsidRPr="00DD7BD1">
        <w:rPr>
          <w:rFonts w:ascii="Calibri" w:hAnsi="Calibri" w:cs="Calibri"/>
          <w:w w:val="110"/>
        </w:rPr>
        <w:t>Protection,</w:t>
      </w:r>
      <w:r w:rsidRPr="00DD7BD1">
        <w:rPr>
          <w:rFonts w:ascii="Calibri" w:hAnsi="Calibri" w:cs="Calibri"/>
          <w:spacing w:val="-6"/>
          <w:w w:val="110"/>
        </w:rPr>
        <w:t xml:space="preserve"> </w:t>
      </w:r>
      <w:r w:rsidRPr="00DD7BD1">
        <w:rPr>
          <w:rFonts w:ascii="Calibri" w:hAnsi="Calibri" w:cs="Calibri"/>
          <w:w w:val="110"/>
        </w:rPr>
        <w:t>Parental</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2"/>
          <w:w w:val="110"/>
        </w:rPr>
        <w:t xml:space="preserve"> </w:t>
      </w:r>
      <w:r w:rsidRPr="00DD7BD1">
        <w:rPr>
          <w:rFonts w:ascii="Calibri" w:hAnsi="Calibri" w:cs="Calibri"/>
          <w:w w:val="110"/>
        </w:rPr>
        <w:t>Family</w:t>
      </w:r>
      <w:r w:rsidRPr="00DD7BD1">
        <w:rPr>
          <w:rFonts w:ascii="Calibri" w:hAnsi="Calibri" w:cs="Calibri"/>
          <w:spacing w:val="-5"/>
          <w:w w:val="110"/>
        </w:rPr>
        <w:t xml:space="preserve"> </w:t>
      </w:r>
      <w:r w:rsidRPr="00DD7BD1">
        <w:rPr>
          <w:rFonts w:ascii="Calibri" w:hAnsi="Calibri" w:cs="Calibri"/>
          <w:w w:val="110"/>
        </w:rPr>
        <w:t>Leave,</w:t>
      </w:r>
      <w:r w:rsidRPr="00DD7BD1">
        <w:rPr>
          <w:rFonts w:ascii="Calibri" w:hAnsi="Calibri" w:cs="Calibri"/>
          <w:spacing w:val="-6"/>
          <w:w w:val="110"/>
        </w:rPr>
        <w:t xml:space="preserve"> </w:t>
      </w:r>
      <w:r w:rsidRPr="00DD7BD1">
        <w:rPr>
          <w:rFonts w:ascii="Calibri" w:hAnsi="Calibri" w:cs="Calibri"/>
          <w:w w:val="110"/>
        </w:rPr>
        <w:t>Safety</w:t>
      </w:r>
      <w:r w:rsidRPr="00DD7BD1">
        <w:rPr>
          <w:rFonts w:ascii="Calibri" w:hAnsi="Calibri" w:cs="Calibri"/>
          <w:spacing w:val="-5"/>
          <w:w w:val="110"/>
        </w:rPr>
        <w:t xml:space="preserve"> </w:t>
      </w:r>
      <w:r w:rsidRPr="00DD7BD1">
        <w:rPr>
          <w:rFonts w:ascii="Calibri" w:hAnsi="Calibri" w:cs="Calibri"/>
          <w:w w:val="110"/>
        </w:rPr>
        <w:t>Records</w:t>
      </w:r>
      <w:r w:rsidRPr="00DD7BD1">
        <w:rPr>
          <w:rFonts w:ascii="Calibri" w:hAnsi="Calibri" w:cs="Calibri"/>
          <w:spacing w:val="-5"/>
          <w:w w:val="110"/>
        </w:rPr>
        <w:t xml:space="preserve"> </w:t>
      </w:r>
      <w:r w:rsidRPr="00DD7BD1">
        <w:rPr>
          <w:rFonts w:ascii="Calibri" w:hAnsi="Calibri" w:cs="Calibri"/>
          <w:w w:val="110"/>
        </w:rPr>
        <w:t>Notice,</w:t>
      </w:r>
      <w:r w:rsidRPr="00DD7BD1">
        <w:rPr>
          <w:rFonts w:ascii="Calibri" w:hAnsi="Calibri" w:cs="Calibri"/>
          <w:spacing w:val="-6"/>
          <w:w w:val="110"/>
        </w:rPr>
        <w:t xml:space="preserve"> </w:t>
      </w:r>
      <w:r w:rsidRPr="00DD7BD1">
        <w:rPr>
          <w:rFonts w:ascii="Calibri" w:hAnsi="Calibri" w:cs="Calibri"/>
          <w:w w:val="110"/>
        </w:rPr>
        <w:t>Sexual Harassment</w:t>
      </w:r>
      <w:r w:rsidRPr="00DD7BD1">
        <w:rPr>
          <w:rFonts w:ascii="Calibri" w:hAnsi="Calibri" w:cs="Calibri"/>
          <w:spacing w:val="-17"/>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Earned</w:t>
      </w:r>
      <w:r w:rsidRPr="00DD7BD1">
        <w:rPr>
          <w:rFonts w:ascii="Calibri" w:hAnsi="Calibri" w:cs="Calibri"/>
          <w:spacing w:val="-17"/>
          <w:w w:val="110"/>
        </w:rPr>
        <w:t xml:space="preserve"> </w:t>
      </w:r>
      <w:r w:rsidRPr="00DD7BD1">
        <w:rPr>
          <w:rFonts w:ascii="Calibri" w:hAnsi="Calibri" w:cs="Calibri"/>
          <w:w w:val="110"/>
        </w:rPr>
        <w:t>Sick</w:t>
      </w:r>
      <w:r w:rsidRPr="00DD7BD1">
        <w:rPr>
          <w:rFonts w:ascii="Calibri" w:hAnsi="Calibri" w:cs="Calibri"/>
          <w:spacing w:val="-17"/>
          <w:w w:val="110"/>
        </w:rPr>
        <w:t xml:space="preserve"> </w:t>
      </w:r>
      <w:r w:rsidRPr="00DD7BD1">
        <w:rPr>
          <w:rFonts w:ascii="Calibri" w:hAnsi="Calibri" w:cs="Calibri"/>
          <w:w w:val="110"/>
        </w:rPr>
        <w:t>Time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6"/>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7"/>
          <w:w w:val="110"/>
        </w:rPr>
        <w:t xml:space="preserve"> </w:t>
      </w:r>
      <w:r w:rsidRPr="00DD7BD1">
        <w:rPr>
          <w:rFonts w:ascii="Calibri" w:hAnsi="Calibri" w:cs="Calibri"/>
          <w:w w:val="110"/>
        </w:rPr>
        <w:t>Reinstatement</w:t>
      </w:r>
      <w:r w:rsidRPr="00DD7BD1">
        <w:rPr>
          <w:rFonts w:ascii="Calibri" w:hAnsi="Calibri" w:cs="Calibri"/>
          <w:spacing w:val="-17"/>
          <w:w w:val="110"/>
        </w:rPr>
        <w:t xml:space="preserve"> </w:t>
      </w:r>
      <w:r w:rsidRPr="00DD7BD1">
        <w:rPr>
          <w:rFonts w:ascii="Calibri" w:hAnsi="Calibri" w:cs="Calibri"/>
          <w:w w:val="110"/>
        </w:rPr>
        <w:t>Rights.</w:t>
      </w:r>
      <w:r w:rsidRPr="00DD7BD1">
        <w:rPr>
          <w:rFonts w:ascii="Calibri" w:hAnsi="Calibri" w:cs="Calibri"/>
          <w:spacing w:val="12"/>
          <w:w w:val="110"/>
        </w:rPr>
        <w:t xml:space="preserve"> </w:t>
      </w:r>
      <w:r w:rsidRPr="00DD7BD1">
        <w:rPr>
          <w:rFonts w:ascii="Calibri" w:hAnsi="Calibri" w:cs="Calibri"/>
          <w:w w:val="110"/>
        </w:rPr>
        <w:t xml:space="preserve">Access State released Labor Notices/Posters </w:t>
      </w:r>
      <w:hyperlink r:id="rId90">
        <w:r w:rsidRPr="00DD7BD1">
          <w:rPr>
            <w:rFonts w:ascii="Calibri" w:hAnsi="Calibri" w:cs="Calibri"/>
            <w:b/>
            <w:color w:val="0000FF"/>
            <w:w w:val="110"/>
            <w:u w:val="single" w:color="0000FF"/>
          </w:rPr>
          <w:t>HERE</w:t>
        </w:r>
        <w:r w:rsidRPr="00DD7BD1">
          <w:rPr>
            <w:rFonts w:ascii="Calibri" w:hAnsi="Calibri" w:cs="Calibri"/>
            <w:b/>
            <w:color w:val="0000FF"/>
            <w:spacing w:val="40"/>
            <w:w w:val="110"/>
            <w:u w:val="single" w:color="0000FF"/>
          </w:rPr>
          <w:t xml:space="preserve"> </w:t>
        </w:r>
      </w:hyperlink>
    </w:p>
    <w:p w14:paraId="5DC54D98" w14:textId="0702AEE3" w:rsidR="00484AAC" w:rsidRPr="00DD7BD1" w:rsidRDefault="00E43496" w:rsidP="00E43496">
      <w:pPr>
        <w:pStyle w:val="ParagraphBasic"/>
        <w:tabs>
          <w:tab w:val="left" w:pos="1080"/>
        </w:tabs>
        <w:spacing w:after="0" w:line="240" w:lineRule="auto"/>
        <w:ind w:left="630"/>
        <w:rPr>
          <w:rStyle w:val="Hyperlink"/>
          <w:rFonts w:ascii="Calibri" w:hAnsi="Calibri" w:cs="Calibri"/>
          <w:b/>
          <w:bCs/>
          <w:color w:val="auto"/>
          <w:kern w:val="36"/>
          <w:sz w:val="28"/>
          <w:szCs w:val="28"/>
          <w:u w:val="none"/>
        </w:rPr>
      </w:pPr>
      <w:r w:rsidRPr="00DD7BD1">
        <w:rPr>
          <w:rFonts w:ascii="Calibri" w:hAnsi="Calibri" w:cs="Calibri"/>
          <w:b/>
          <w:spacing w:val="-4"/>
        </w:rPr>
        <w:t>WA</w:t>
      </w:r>
      <w:r w:rsidRPr="00DD7BD1">
        <w:rPr>
          <w:rFonts w:ascii="Calibri" w:hAnsi="Calibri" w:cs="Calibri"/>
          <w:b/>
          <w:spacing w:val="-12"/>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10"/>
        </w:rPr>
        <w:t xml:space="preserve"> </w:t>
      </w:r>
      <w:hyperlink r:id="rId91">
        <w:r w:rsidRPr="00DD7BD1">
          <w:rPr>
            <w:rFonts w:ascii="Calibri" w:hAnsi="Calibri" w:cs="Calibri"/>
            <w:b/>
            <w:color w:val="0000FF"/>
            <w:spacing w:val="-4"/>
            <w:u w:val="single" w:color="0000FF"/>
          </w:rPr>
          <w:t>Job</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Safety</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9"/>
            <w:u w:val="single" w:color="0000FF"/>
          </w:rPr>
          <w:t xml:space="preserve"> </w:t>
        </w:r>
        <w:r w:rsidRPr="00DD7BD1">
          <w:rPr>
            <w:rFonts w:ascii="Calibri" w:hAnsi="Calibri" w:cs="Calibri"/>
            <w:b/>
            <w:color w:val="0000FF"/>
            <w:spacing w:val="-4"/>
            <w:u w:val="single" w:color="0000FF"/>
          </w:rPr>
          <w:t>Health</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(DOSH)</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347333CF" w14:textId="77777777" w:rsidR="00484AAC" w:rsidRPr="00DD7BD1" w:rsidRDefault="00484AAC" w:rsidP="009A459C">
      <w:pPr>
        <w:pStyle w:val="ParagraphBasic"/>
        <w:spacing w:after="0" w:line="240" w:lineRule="auto"/>
        <w:ind w:firstLine="360"/>
        <w:rPr>
          <w:rStyle w:val="Hyperlink"/>
          <w:rFonts w:ascii="Calibri" w:hAnsi="Calibri" w:cs="Calibri"/>
          <w:b/>
          <w:bCs/>
          <w:color w:val="auto"/>
          <w:kern w:val="36"/>
          <w:u w:val="none"/>
        </w:rPr>
      </w:pPr>
    </w:p>
    <w:p w14:paraId="7183699D" w14:textId="5DA23FB7" w:rsidR="002C1B32" w:rsidRPr="00DD7BD1" w:rsidRDefault="002C1B32"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July</w:t>
      </w:r>
    </w:p>
    <w:p w14:paraId="78E9305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CA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 xml:space="preserve">The California Civil Rights Department (CRD) released its </w:t>
      </w:r>
      <w:hyperlink r:id="rId92" w:history="1">
        <w:r w:rsidRPr="00DD7BD1">
          <w:rPr>
            <w:rStyle w:val="Hyperlink"/>
            <w:rFonts w:ascii="Calibri" w:eastAsiaTheme="minorHAnsi" w:hAnsi="Calibri" w:cs="Calibri"/>
            <w:sz w:val="22"/>
            <w:szCs w:val="22"/>
          </w:rPr>
          <w:t>Survivors of Violence &amp; Family Members of Victims’ Rights to Leave &amp; Accommodations Notice</w:t>
        </w:r>
      </w:hyperlink>
      <w:r w:rsidRPr="00DD7BD1">
        <w:rPr>
          <w:rFonts w:ascii="Calibri" w:eastAsiaTheme="minorHAnsi" w:hAnsi="Calibri" w:cs="Calibri"/>
          <w:b w:val="0"/>
          <w:bCs w:val="0"/>
          <w:sz w:val="22"/>
          <w:szCs w:val="22"/>
        </w:rPr>
        <w:t xml:space="preserve"> </w:t>
      </w:r>
      <w:r w:rsidRPr="00DD7BD1">
        <w:rPr>
          <w:rFonts w:ascii="Calibri" w:eastAsiaTheme="minorHAnsi" w:hAnsi="Calibri" w:cs="Calibri"/>
          <w:b w:val="0"/>
          <w:bCs w:val="0"/>
          <w:i/>
          <w:iCs/>
          <w:sz w:val="22"/>
          <w:szCs w:val="22"/>
        </w:rPr>
        <w:t>employee notice</w:t>
      </w:r>
      <w:r w:rsidRPr="00DD7BD1">
        <w:rPr>
          <w:rFonts w:ascii="Calibri" w:eastAsiaTheme="minorHAnsi" w:hAnsi="Calibri" w:cs="Calibri"/>
          <w:b w:val="0"/>
          <w:bCs w:val="0"/>
          <w:sz w:val="22"/>
          <w:szCs w:val="22"/>
        </w:rPr>
        <w:t> triggering a new compliance obligation for all California employers regarding the rights of employees who are victims of qualifying acts of violence.</w:t>
      </w:r>
    </w:p>
    <w:p w14:paraId="24F147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IA - </w:t>
      </w:r>
      <w:r w:rsidRPr="00DD7BD1">
        <w:rPr>
          <w:rFonts w:ascii="Calibri" w:eastAsiaTheme="minorHAnsi" w:hAnsi="Calibri" w:cs="Calibri"/>
          <w:b w:val="0"/>
          <w:bCs w:val="0"/>
          <w:sz w:val="22"/>
          <w:szCs w:val="22"/>
        </w:rPr>
        <w:t>The "</w:t>
      </w:r>
      <w:hyperlink r:id="rId93" w:history="1">
        <w:r w:rsidRPr="00DD7BD1">
          <w:rPr>
            <w:rStyle w:val="Hyperlink"/>
            <w:rFonts w:ascii="Calibri" w:eastAsiaTheme="minorHAnsi" w:hAnsi="Calibri" w:cs="Calibri"/>
            <w:sz w:val="22"/>
            <w:szCs w:val="22"/>
          </w:rPr>
          <w:t>Your Rights Under the Iowa Minimum Wage Law</w:t>
        </w:r>
      </w:hyperlink>
      <w:r w:rsidRPr="00DD7BD1">
        <w:rPr>
          <w:rFonts w:ascii="Calibri" w:eastAsiaTheme="minorHAnsi" w:hAnsi="Calibri" w:cs="Calibri"/>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MN</w:t>
      </w:r>
      <w:r w:rsidRPr="00DD7BD1">
        <w:rPr>
          <w:rStyle w:val="Hyperlink"/>
          <w:rFonts w:ascii="Calibri" w:eastAsiaTheme="minorHAnsi" w:hAnsi="Calibri" w:cs="Calibri"/>
          <w:b w:val="0"/>
          <w:bCs w:val="0"/>
          <w:color w:val="auto"/>
          <w:sz w:val="22"/>
          <w:szCs w:val="22"/>
          <w:u w:val="none"/>
        </w:rPr>
        <w:t xml:space="preserve"> – State’s</w:t>
      </w:r>
      <w:r w:rsidRPr="00DD7BD1">
        <w:rPr>
          <w:rStyle w:val="Hyperlink"/>
          <w:rFonts w:ascii="Calibri" w:eastAsiaTheme="minorHAnsi" w:hAnsi="Calibri" w:cs="Calibri"/>
          <w:color w:val="auto"/>
          <w:sz w:val="22"/>
          <w:szCs w:val="22"/>
          <w:u w:val="none"/>
        </w:rPr>
        <w:t xml:space="preserve"> </w:t>
      </w:r>
      <w:hyperlink r:id="rId94" w:history="1">
        <w:r w:rsidRPr="00DD7BD1">
          <w:rPr>
            <w:rStyle w:val="Hyperlink"/>
            <w:rFonts w:ascii="Calibri" w:eastAsiaTheme="minorHAnsi" w:hAnsi="Calibri" w:cs="Calibri"/>
            <w:sz w:val="22"/>
            <w:szCs w:val="22"/>
          </w:rPr>
          <w:t>Paid Leave require Notice</w:t>
        </w:r>
      </w:hyperlink>
      <w:r w:rsidRPr="00DD7BD1">
        <w:rPr>
          <w:rStyle w:val="Hyperlink"/>
          <w:rFonts w:ascii="Calibri" w:eastAsiaTheme="minorHAnsi" w:hAnsi="Calibri" w:cs="Calibri"/>
          <w:b w:val="0"/>
          <w:bCs w:val="0"/>
          <w:color w:val="auto"/>
          <w:sz w:val="22"/>
          <w:szCs w:val="22"/>
          <w:u w:val="none"/>
        </w:rPr>
        <w:t xml:space="preserve"> has been published</w:t>
      </w:r>
    </w:p>
    <w:p w14:paraId="42B72A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NC</w:t>
      </w:r>
      <w:r w:rsidRPr="00DD7BD1">
        <w:rPr>
          <w:rStyle w:val="Hyperlink"/>
          <w:rFonts w:ascii="Calibri" w:eastAsiaTheme="minorHAnsi" w:hAnsi="Calibri" w:cs="Calibri"/>
          <w:b w:val="0"/>
          <w:bCs w:val="0"/>
          <w:color w:val="auto"/>
          <w:sz w:val="22"/>
          <w:szCs w:val="22"/>
          <w:u w:val="none"/>
        </w:rPr>
        <w:t xml:space="preserve"> – updated Notices: </w:t>
      </w:r>
      <w:hyperlink r:id="rId95" w:history="1">
        <w:r w:rsidRPr="00DD7BD1">
          <w:rPr>
            <w:rStyle w:val="Hyperlink"/>
            <w:rFonts w:ascii="Calibri" w:eastAsiaTheme="minorHAnsi" w:hAnsi="Calibri" w:cs="Calibri"/>
            <w:sz w:val="22"/>
            <w:szCs w:val="22"/>
          </w:rPr>
          <w:t>Wage &amp; Hour Notice to Employees</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and the </w:t>
      </w:r>
      <w:hyperlink r:id="rId96" w:history="1">
        <w:r w:rsidRPr="00DD7BD1">
          <w:rPr>
            <w:rStyle w:val="Hyperlink"/>
            <w:rFonts w:ascii="Calibri" w:eastAsiaTheme="minorHAnsi" w:hAnsi="Calibri" w:cs="Calibri"/>
            <w:sz w:val="22"/>
            <w:szCs w:val="22"/>
          </w:rPr>
          <w:t>Occupational Safety and Health (OSH) Notice to Employees</w:t>
        </w:r>
      </w:hyperlink>
      <w:r w:rsidRPr="00DD7BD1">
        <w:rPr>
          <w:rFonts w:ascii="Calibri" w:eastAsiaTheme="minorHAnsi" w:hAnsi="Calibri" w:cs="Calibri"/>
          <w:b w:val="0"/>
          <w:bCs w:val="0"/>
          <w:sz w:val="22"/>
          <w:szCs w:val="22"/>
        </w:rPr>
        <w:t>.</w:t>
      </w:r>
    </w:p>
    <w:p w14:paraId="07D778F3"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NV</w:t>
      </w:r>
      <w:r w:rsidRPr="00DD7BD1">
        <w:rPr>
          <w:rStyle w:val="Hyperlink"/>
          <w:rFonts w:ascii="Calibri" w:eastAsiaTheme="minorHAnsi" w:hAnsi="Calibri" w:cs="Calibri"/>
          <w:b w:val="0"/>
          <w:bCs w:val="0"/>
          <w:color w:val="auto"/>
          <w:sz w:val="22"/>
          <w:szCs w:val="22"/>
          <w:u w:val="none"/>
        </w:rPr>
        <w:t xml:space="preserve"> – updated labor notices to include </w:t>
      </w:r>
      <w:hyperlink r:id="rId97"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w:t>
      </w:r>
      <w:hyperlink r:id="rId98" w:history="1">
        <w:r w:rsidRPr="00DD7BD1">
          <w:rPr>
            <w:rStyle w:val="Hyperlink"/>
            <w:rFonts w:ascii="Calibri" w:eastAsiaTheme="minorHAnsi" w:hAnsi="Calibri" w:cs="Calibri"/>
            <w:sz w:val="22"/>
            <w:szCs w:val="22"/>
          </w:rPr>
          <w:t>Daily Overtime Notice</w:t>
        </w:r>
      </w:hyperlink>
      <w:r w:rsidRPr="00DD7BD1">
        <w:rPr>
          <w:rStyle w:val="Hyperlink"/>
          <w:rFonts w:ascii="Calibri" w:eastAsiaTheme="minorHAnsi" w:hAnsi="Calibri" w:cs="Calibri"/>
          <w:color w:val="auto"/>
          <w:sz w:val="22"/>
          <w:szCs w:val="22"/>
          <w:u w:val="none"/>
        </w:rPr>
        <w:t xml:space="preserve">, </w:t>
      </w:r>
      <w:hyperlink r:id="rId99" w:history="1">
        <w:r w:rsidRPr="00DD7BD1">
          <w:rPr>
            <w:rStyle w:val="Hyperlink"/>
            <w:rFonts w:ascii="Calibri" w:eastAsiaTheme="minorHAnsi" w:hAnsi="Calibri" w:cs="Calibri"/>
            <w:sz w:val="22"/>
            <w:szCs w:val="22"/>
          </w:rPr>
          <w:t>Rules to be Observed by Employers</w:t>
        </w:r>
      </w:hyperlink>
    </w:p>
    <w:p w14:paraId="7047B0A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RI</w:t>
      </w:r>
      <w:r w:rsidRPr="00DD7BD1">
        <w:rPr>
          <w:rStyle w:val="Hyperlink"/>
          <w:rFonts w:ascii="Calibri" w:eastAsiaTheme="minorHAnsi" w:hAnsi="Calibri" w:cs="Calibri"/>
          <w:b w:val="0"/>
          <w:bCs w:val="0"/>
          <w:color w:val="auto"/>
          <w:sz w:val="22"/>
          <w:szCs w:val="22"/>
          <w:u w:val="none"/>
        </w:rPr>
        <w:t xml:space="preserve"> - </w:t>
      </w:r>
      <w:hyperlink r:id="rId100" w:tgtFrame="_blank" w:history="1">
        <w:r w:rsidRPr="00DD7BD1">
          <w:rPr>
            <w:rStyle w:val="Hyperlink"/>
            <w:rFonts w:ascii="Calibri" w:hAnsi="Calibri" w:cs="Calibri"/>
            <w:b w:val="0"/>
            <w:bCs w:val="0"/>
            <w:color w:val="auto"/>
            <w:sz w:val="22"/>
            <w:szCs w:val="22"/>
            <w:u w:val="none"/>
            <w:shd w:val="clear" w:color="auto" w:fill="FFFFFF"/>
          </w:rPr>
          <w:t xml:space="preserve">updated </w:t>
        </w:r>
        <w:r w:rsidRPr="00DD7BD1">
          <w:rPr>
            <w:rStyle w:val="Hyperlink"/>
            <w:rFonts w:ascii="Calibri" w:hAnsi="Calibri" w:cs="Calibri"/>
            <w:sz w:val="22"/>
            <w:szCs w:val="22"/>
            <w:shd w:val="clear" w:color="auto" w:fill="FFFFFF"/>
          </w:rPr>
          <w:t>Written Notice of Employee Rights</w:t>
        </w:r>
      </w:hyperlink>
      <w:r w:rsidRPr="00DD7BD1">
        <w:rPr>
          <w:rFonts w:ascii="Calibri" w:hAnsi="Calibri" w:cs="Calibri"/>
          <w:sz w:val="22"/>
          <w:szCs w:val="22"/>
          <w:shd w:val="clear" w:color="auto" w:fill="FFFFFF"/>
        </w:rPr>
        <w:t xml:space="preserve">. </w:t>
      </w:r>
      <w:r w:rsidRPr="00DD7BD1">
        <w:rPr>
          <w:rFonts w:ascii="Calibri" w:hAnsi="Calibri" w:cs="Calibri"/>
          <w:b w:val="0"/>
          <w:bCs w:val="0"/>
          <w:sz w:val="22"/>
          <w:szCs w:val="22"/>
          <w:shd w:val="clear" w:color="auto" w:fill="FFFFFF"/>
        </w:rPr>
        <w:t>State law protects employees and applicants from discrimination based on pregnancy, childbirth, menopause and related conditions.</w:t>
      </w:r>
      <w:r w:rsidRPr="00DD7BD1">
        <w:rPr>
          <w:rFonts w:ascii="Calibri" w:hAnsi="Calibri" w:cs="Calibri"/>
          <w:sz w:val="22"/>
          <w:szCs w:val="22"/>
          <w:shd w:val="clear" w:color="auto" w:fill="FFFFFF"/>
        </w:rPr>
        <w:t xml:space="preserve"> </w:t>
      </w:r>
    </w:p>
    <w:p w14:paraId="09510795"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VT – </w:t>
      </w:r>
    </w:p>
    <w:p w14:paraId="049C9DFF" w14:textId="77777777" w:rsidR="002C1B32" w:rsidRPr="00DD7BD1" w:rsidRDefault="002C1B32" w:rsidP="002C1B32">
      <w:pPr>
        <w:pStyle w:val="Heading1"/>
        <w:shd w:val="clear" w:color="auto" w:fill="FFFFFF"/>
        <w:tabs>
          <w:tab w:val="left" w:pos="1080"/>
        </w:tabs>
        <w:spacing w:before="0" w:beforeAutospacing="0" w:after="0" w:afterAutospacing="0"/>
        <w:ind w:left="63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new </w:t>
      </w:r>
      <w:hyperlink r:id="rId101" w:history="1">
        <w:r w:rsidRPr="00DD7BD1">
          <w:rPr>
            <w:rStyle w:val="Hyperlink"/>
            <w:rFonts w:ascii="Calibri" w:eastAsiaTheme="minorHAnsi" w:hAnsi="Calibri" w:cs="Calibri"/>
            <w:sz w:val="22"/>
            <w:szCs w:val="22"/>
          </w:rPr>
          <w:t>Meals &amp; Lodging Allowance Notice</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 xml:space="preserve">outlines the specific amounts employers may deduct from employee wages for meals and lodging that are actually provided and voluntarily accepted. </w:t>
      </w:r>
    </w:p>
    <w:p w14:paraId="0766025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updated </w:t>
      </w:r>
      <w:hyperlink r:id="rId102" w:history="1">
        <w:r w:rsidRPr="00DD7BD1">
          <w:rPr>
            <w:rStyle w:val="Hyperlink"/>
            <w:rFonts w:ascii="Calibri" w:eastAsiaTheme="minorHAnsi" w:hAnsi="Calibri" w:cs="Calibri"/>
            <w:sz w:val="22"/>
            <w:szCs w:val="22"/>
          </w:rPr>
          <w:t>Parental &amp; Family Leave Notice </w:t>
        </w:r>
      </w:hyperlink>
      <w:r w:rsidRPr="00DD7BD1">
        <w:rPr>
          <w:rFonts w:ascii="Calibri" w:eastAsiaTheme="minorHAnsi" w:hAnsi="Calibri" w:cs="Calibri"/>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WY – </w:t>
      </w:r>
      <w:r w:rsidRPr="00DD7BD1">
        <w:rPr>
          <w:rStyle w:val="Hyperlink"/>
          <w:rFonts w:ascii="Calibri" w:eastAsiaTheme="minorHAnsi" w:hAnsi="Calibri" w:cs="Calibri"/>
          <w:b w:val="0"/>
          <w:bCs w:val="0"/>
          <w:color w:val="auto"/>
          <w:sz w:val="22"/>
          <w:szCs w:val="22"/>
          <w:u w:val="none"/>
        </w:rPr>
        <w:t xml:space="preserve">New </w:t>
      </w:r>
      <w:hyperlink r:id="rId103" w:history="1">
        <w:r w:rsidRPr="00DD7BD1">
          <w:rPr>
            <w:rStyle w:val="Hyperlink"/>
            <w:rFonts w:ascii="Calibri" w:eastAsiaTheme="minorHAnsi" w:hAnsi="Calibri" w:cs="Calibri"/>
            <w:sz w:val="22"/>
            <w:szCs w:val="22"/>
          </w:rPr>
          <w:t>Non-Compete Agreements Labor Notice </w:t>
        </w:r>
      </w:hyperlink>
      <w:r w:rsidRPr="00DD7BD1">
        <w:rPr>
          <w:rFonts w:ascii="Calibri" w:eastAsiaTheme="minorHAnsi" w:hAnsi="Calibri" w:cs="Calibri"/>
          <w:b w:val="0"/>
          <w:bCs w:val="0"/>
          <w:sz w:val="22"/>
          <w:szCs w:val="22"/>
        </w:rPr>
        <w:t>– reflective of 7.1.25</w:t>
      </w:r>
      <w:r w:rsidRPr="00DD7BD1">
        <w:rPr>
          <w:rFonts w:ascii="Calibri" w:hAnsi="Calibri" w:cs="Calibri"/>
          <w:b w:val="0"/>
          <w:bCs w:val="0"/>
          <w:color w:val="0F092C"/>
          <w:kern w:val="0"/>
          <w:sz w:val="22"/>
          <w:szCs w:val="22"/>
          <w:shd w:val="clear" w:color="auto" w:fill="FFFFFF"/>
        </w:rPr>
        <w:t xml:space="preserve"> </w:t>
      </w:r>
      <w:r w:rsidRPr="00DD7BD1">
        <w:rPr>
          <w:rFonts w:ascii="Calibri" w:eastAsiaTheme="minorHAnsi" w:hAnsi="Calibri" w:cs="Calibri"/>
          <w:b w:val="0"/>
          <w:bCs w:val="0"/>
          <w:sz w:val="22"/>
          <w:szCs w:val="22"/>
        </w:rPr>
        <w:t>state ban on most non-compete agreements entered into on or after this date.</w:t>
      </w:r>
    </w:p>
    <w:p w14:paraId="3AA92A74" w14:textId="77777777" w:rsidR="002C1B32" w:rsidRPr="00DD7BD1" w:rsidRDefault="002C1B32" w:rsidP="009A459C">
      <w:pPr>
        <w:pStyle w:val="ParagraphBasic"/>
        <w:spacing w:after="0" w:line="240" w:lineRule="auto"/>
        <w:ind w:firstLine="360"/>
        <w:rPr>
          <w:rStyle w:val="Hyperlink"/>
          <w:rFonts w:ascii="Calibri" w:hAnsi="Calibri" w:cs="Calibri"/>
          <w:b/>
          <w:bCs/>
          <w:color w:val="auto"/>
          <w:kern w:val="36"/>
          <w:u w:val="none"/>
        </w:rPr>
      </w:pPr>
    </w:p>
    <w:p w14:paraId="5D52EB17" w14:textId="22A365C1"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June</w:t>
      </w:r>
    </w:p>
    <w:p w14:paraId="3E5AE197"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CA – </w:t>
      </w:r>
      <w:r w:rsidRPr="00DD7BD1">
        <w:rPr>
          <w:rFonts w:ascii="Calibri" w:eastAsiaTheme="minorHAnsi" w:hAnsi="Calibri" w:cs="Calibri"/>
          <w:b w:val="0"/>
          <w:bCs w:val="0"/>
          <w:sz w:val="22"/>
          <w:szCs w:val="22"/>
        </w:rPr>
        <w:t>Various, local Min Wage Notices (See California Section of June HR WIRE)</w:t>
      </w:r>
    </w:p>
    <w:p w14:paraId="3F8D3A9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DC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104" w:history="1">
        <w:r w:rsidRPr="00DD7BD1">
          <w:rPr>
            <w:rStyle w:val="Hyperlink"/>
            <w:rFonts w:ascii="Calibri" w:eastAsiaTheme="minorHAnsi" w:hAnsi="Calibri" w:cs="Calibri"/>
            <w:b w:val="0"/>
            <w:bCs w:val="0"/>
            <w:sz w:val="22"/>
            <w:szCs w:val="22"/>
          </w:rPr>
          <w:t>D.C. Minimum Wage Amendment Act</w:t>
        </w:r>
      </w:hyperlink>
      <w:r w:rsidRPr="00DD7BD1">
        <w:rPr>
          <w:rFonts w:ascii="Calibri" w:eastAsiaTheme="minorHAnsi" w:hAnsi="Calibri" w:cs="Calibri"/>
          <w:b w:val="0"/>
          <w:bCs w:val="0"/>
          <w:sz w:val="22"/>
          <w:szCs w:val="22"/>
        </w:rPr>
        <w:t xml:space="preserve">, the </w:t>
      </w:r>
      <w:hyperlink r:id="rId105" w:history="1">
        <w:r w:rsidRPr="00DD7BD1">
          <w:rPr>
            <w:rStyle w:val="Hyperlink"/>
            <w:rFonts w:ascii="Calibri" w:eastAsiaTheme="minorHAnsi" w:hAnsi="Calibri" w:cs="Calibri"/>
            <w:b w:val="0"/>
            <w:bCs w:val="0"/>
            <w:sz w:val="22"/>
            <w:szCs w:val="22"/>
          </w:rPr>
          <w:t>D.C. Living Wage Act Notice</w:t>
        </w:r>
      </w:hyperlink>
      <w:r w:rsidRPr="00DD7BD1">
        <w:rPr>
          <w:rFonts w:ascii="Calibri" w:eastAsiaTheme="minorHAnsi" w:hAnsi="Calibri" w:cs="Calibri"/>
          <w:b w:val="0"/>
          <w:bCs w:val="0"/>
          <w:sz w:val="22"/>
          <w:szCs w:val="22"/>
        </w:rPr>
        <w:t xml:space="preserve">, and the </w:t>
      </w:r>
      <w:hyperlink r:id="rId106" w:history="1">
        <w:r w:rsidRPr="00DD7BD1">
          <w:rPr>
            <w:rStyle w:val="Hyperlink"/>
            <w:rFonts w:ascii="Calibri" w:eastAsiaTheme="minorHAnsi" w:hAnsi="Calibri" w:cs="Calibri"/>
            <w:b w:val="0"/>
            <w:bCs w:val="0"/>
            <w:sz w:val="22"/>
            <w:szCs w:val="22"/>
          </w:rPr>
          <w:t>D.C. Universal Paid Leave Act</w:t>
        </w:r>
      </w:hyperlink>
      <w:r w:rsidRPr="00DD7BD1">
        <w:rPr>
          <w:rFonts w:ascii="Calibri" w:eastAsiaTheme="minorHAnsi" w:hAnsi="Calibri" w:cs="Calibri"/>
          <w:b w:val="0"/>
          <w:bCs w:val="0"/>
          <w:sz w:val="22"/>
          <w:szCs w:val="22"/>
        </w:rPr>
        <w:t>.</w:t>
      </w:r>
    </w:p>
    <w:p w14:paraId="280E944B"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NY City – </w:t>
      </w:r>
      <w:r w:rsidRPr="00DD7BD1">
        <w:rPr>
          <w:rFonts w:ascii="Calibri" w:eastAsiaTheme="minorHAnsi" w:hAnsi="Calibri" w:cs="Calibri"/>
          <w:b w:val="0"/>
          <w:bCs w:val="0"/>
          <w:sz w:val="22"/>
          <w:szCs w:val="22"/>
        </w:rPr>
        <w:t>The State</w:t>
      </w:r>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has released an updated </w:t>
      </w:r>
      <w:hyperlink r:id="rId107" w:history="1">
        <w:r w:rsidRPr="00DD7BD1">
          <w:rPr>
            <w:rStyle w:val="Hyperlink"/>
            <w:rFonts w:ascii="Calibri" w:eastAsiaTheme="minorHAnsi" w:hAnsi="Calibri" w:cs="Calibri"/>
            <w:b w:val="0"/>
            <w:bCs w:val="0"/>
            <w:sz w:val="22"/>
            <w:szCs w:val="22"/>
          </w:rPr>
          <w:t>Paid Safe and Sick Leave Notice</w:t>
        </w:r>
      </w:hyperlink>
      <w:r w:rsidRPr="00DD7BD1">
        <w:rPr>
          <w:rFonts w:ascii="Calibri" w:eastAsiaTheme="minorHAnsi" w:hAnsi="Calibri" w:cs="Calibri"/>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OR –</w:t>
      </w:r>
      <w:r w:rsidRPr="00DD7BD1">
        <w:rPr>
          <w:rFonts w:ascii="Calibri" w:eastAsiaTheme="minorHAnsi" w:hAnsi="Calibri" w:cs="Calibri"/>
          <w:b w:val="0"/>
          <w:bCs w:val="0"/>
          <w:sz w:val="22"/>
          <w:szCs w:val="22"/>
        </w:rPr>
        <w:t xml:space="preserve"> updated labor notices:  </w:t>
      </w:r>
      <w:r w:rsidRPr="00DD7BD1">
        <w:rPr>
          <w:rStyle w:val="Hyperlink"/>
          <w:rFonts w:ascii="Calibri" w:hAnsi="Calibri" w:cs="Calibri"/>
          <w:b w:val="0"/>
          <w:bCs w:val="0"/>
          <w:i/>
          <w:iCs/>
          <w:sz w:val="22"/>
          <w:szCs w:val="22"/>
        </w:rPr>
        <w:t>https://www.oregon.gov/boli/employers/Pages/required-worksite-postings.aspx</w:t>
      </w:r>
    </w:p>
    <w:p w14:paraId="27C899FD"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08" w:history="1">
        <w:r w:rsidRPr="00DD7BD1">
          <w:rPr>
            <w:rStyle w:val="Hyperlink"/>
            <w:rFonts w:ascii="Calibri" w:eastAsiaTheme="minorHAnsi" w:hAnsi="Calibri" w:cs="Calibri"/>
            <w:b w:val="0"/>
            <w:bCs w:val="0"/>
            <w:sz w:val="22"/>
            <w:szCs w:val="22"/>
          </w:rPr>
          <w:t>Minimum Wage Notice</w:t>
        </w:r>
      </w:hyperlink>
    </w:p>
    <w:p w14:paraId="55C83468"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09" w:history="1">
        <w:r w:rsidRPr="00DD7BD1">
          <w:rPr>
            <w:rStyle w:val="Hyperlink"/>
            <w:rFonts w:ascii="Calibri" w:eastAsiaTheme="minorHAnsi" w:hAnsi="Calibri" w:cs="Calibri"/>
            <w:b w:val="0"/>
            <w:bCs w:val="0"/>
            <w:sz w:val="22"/>
            <w:szCs w:val="22"/>
          </w:rPr>
          <w:t>Breaks, Meals &amp; Overtime Notice</w:t>
        </w:r>
      </w:hyperlink>
    </w:p>
    <w:p w14:paraId="7C8F6E24"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10" w:history="1">
        <w:r w:rsidRPr="00DD7BD1">
          <w:rPr>
            <w:rStyle w:val="Hyperlink"/>
            <w:rFonts w:ascii="Calibri" w:eastAsiaTheme="minorHAnsi" w:hAnsi="Calibri" w:cs="Calibri"/>
            <w:b w:val="0"/>
            <w:bCs w:val="0"/>
            <w:sz w:val="22"/>
            <w:szCs w:val="22"/>
          </w:rPr>
          <w:t>Equal Pay Notice</w:t>
        </w:r>
      </w:hyperlink>
    </w:p>
    <w:p w14:paraId="25815EA7"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11" w:history="1">
        <w:r w:rsidRPr="00DD7BD1">
          <w:rPr>
            <w:rStyle w:val="Hyperlink"/>
            <w:rFonts w:ascii="Calibri" w:eastAsiaTheme="minorHAnsi" w:hAnsi="Calibri" w:cs="Calibri"/>
            <w:b w:val="0"/>
            <w:bCs w:val="0"/>
            <w:sz w:val="22"/>
            <w:szCs w:val="22"/>
          </w:rPr>
          <w:t>Family Leave Notice</w:t>
        </w:r>
      </w:hyperlink>
    </w:p>
    <w:p w14:paraId="0A5D74EA" w14:textId="4DA602BD"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Calibri" w:eastAsiaTheme="minorHAnsi" w:hAnsi="Calibri" w:cs="Calibri"/>
          <w:b w:val="0"/>
          <w:bCs w:val="0"/>
          <w:color w:val="auto"/>
          <w:sz w:val="22"/>
          <w:szCs w:val="22"/>
          <w:u w:val="none"/>
        </w:rPr>
      </w:pPr>
      <w:hyperlink r:id="rId112" w:history="1">
        <w:r w:rsidRPr="00DD7BD1">
          <w:rPr>
            <w:rStyle w:val="Hyperlink"/>
            <w:rFonts w:ascii="Calibri" w:eastAsiaTheme="minorHAnsi" w:hAnsi="Calibri" w:cs="Calibri"/>
            <w:b w:val="0"/>
            <w:bCs w:val="0"/>
            <w:sz w:val="22"/>
            <w:szCs w:val="22"/>
          </w:rPr>
          <w:t>Sexual Harassment &amp; Domestic Violence Notice</w:t>
        </w:r>
      </w:hyperlink>
    </w:p>
    <w:p w14:paraId="79D3FDB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16"/>
          <w:szCs w:val="16"/>
          <w:u w:val="none"/>
        </w:rPr>
      </w:pPr>
    </w:p>
    <w:p w14:paraId="535F721E" w14:textId="1BDF3723" w:rsidR="009D1F57" w:rsidRPr="00DD7BD1" w:rsidRDefault="009D1F57"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May</w:t>
      </w:r>
    </w:p>
    <w:p w14:paraId="3C39DA7F" w14:textId="0D3F564F" w:rsidR="009D1F57" w:rsidRPr="00DD7BD1" w:rsidRDefault="009D1F57" w:rsidP="009D1F57">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Fonts w:ascii="Calibri" w:eastAsiaTheme="minorHAnsi" w:hAnsi="Calibri" w:cs="Calibri"/>
          <w:b w:val="0"/>
          <w:bCs w:val="0"/>
          <w:sz w:val="22"/>
          <w:szCs w:val="22"/>
        </w:rPr>
        <w:t xml:space="preserve">updated </w:t>
      </w:r>
      <w:hyperlink r:id="rId113" w:history="1">
        <w:r w:rsidRPr="00DD7BD1">
          <w:rPr>
            <w:rStyle w:val="Hyperlink"/>
            <w:rFonts w:ascii="Calibri" w:eastAsiaTheme="minorHAnsi" w:hAnsi="Calibri" w:cs="Calibri"/>
            <w:sz w:val="22"/>
            <w:szCs w:val="22"/>
          </w:rPr>
          <w:t>Louisiana Unemployment Insurance Notice</w:t>
        </w:r>
      </w:hyperlink>
    </w:p>
    <w:p w14:paraId="128008D1" w14:textId="77777777" w:rsidR="009D1F57" w:rsidRPr="00DD7BD1" w:rsidRDefault="009D1F57" w:rsidP="009D1F57">
      <w:pPr>
        <w:pStyle w:val="Heading1"/>
        <w:shd w:val="clear" w:color="auto" w:fill="FFFFFF"/>
        <w:tabs>
          <w:tab w:val="left" w:pos="1080"/>
        </w:tabs>
        <w:spacing w:before="0" w:beforeAutospacing="0" w:after="0" w:afterAutospacing="0"/>
        <w:ind w:left="1080" w:hanging="450"/>
        <w:rPr>
          <w:rFonts w:ascii="Calibri" w:hAnsi="Calibri" w:cs="Calibri"/>
        </w:rPr>
      </w:pPr>
      <w:r w:rsidRPr="00DD7BD1">
        <w:rPr>
          <w:rStyle w:val="Hyperlink"/>
          <w:rFonts w:ascii="Calibri" w:eastAsiaTheme="minorHAnsi" w:hAnsi="Calibri" w:cs="Calibri"/>
          <w:color w:val="auto"/>
          <w:sz w:val="22"/>
          <w:szCs w:val="22"/>
          <w:u w:val="none"/>
        </w:rPr>
        <w:t xml:space="preserve">MA – </w:t>
      </w:r>
      <w:r w:rsidRPr="00DD7BD1">
        <w:rPr>
          <w:rFonts w:ascii="Calibri" w:eastAsiaTheme="minorHAnsi" w:hAnsi="Calibri" w:cs="Calibri"/>
          <w:b w:val="0"/>
          <w:bCs w:val="0"/>
          <w:sz w:val="22"/>
          <w:szCs w:val="22"/>
        </w:rPr>
        <w:t xml:space="preserve">updated </w:t>
      </w:r>
      <w:hyperlink r:id="rId114" w:history="1">
        <w:r w:rsidRPr="00DD7BD1">
          <w:rPr>
            <w:rStyle w:val="Hyperlink"/>
            <w:rFonts w:ascii="Calibri" w:eastAsiaTheme="minorHAnsi" w:hAnsi="Calibri" w:cs="Calibri"/>
            <w:sz w:val="22"/>
            <w:szCs w:val="22"/>
          </w:rPr>
          <w:t>Fair Employment Notice </w:t>
        </w:r>
      </w:hyperlink>
      <w:r w:rsidRPr="00DD7BD1">
        <w:rPr>
          <w:rFonts w:ascii="Calibri" w:eastAsiaTheme="minorHAnsi" w:hAnsi="Calibri" w:cs="Calibri"/>
          <w:sz w:val="22"/>
          <w:szCs w:val="22"/>
        </w:rPr>
        <w:t xml:space="preserve">and </w:t>
      </w:r>
      <w:hyperlink r:id="rId115" w:history="1">
        <w:r w:rsidRPr="00DD7BD1">
          <w:rPr>
            <w:rStyle w:val="Hyperlink"/>
            <w:rFonts w:ascii="Calibri" w:eastAsiaTheme="minorHAnsi" w:hAnsi="Calibri" w:cs="Calibri"/>
            <w:sz w:val="22"/>
            <w:szCs w:val="22"/>
          </w:rPr>
          <w:t>Unemployment Insurance Notice</w:t>
        </w:r>
      </w:hyperlink>
    </w:p>
    <w:p w14:paraId="3F14C98D" w14:textId="2AFF6236"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6"/>
          <w:szCs w:val="26"/>
        </w:rPr>
      </w:pPr>
      <w:r w:rsidRPr="00DD7BD1">
        <w:rPr>
          <w:rStyle w:val="Hyperlink"/>
          <w:rFonts w:ascii="Calibri" w:eastAsiaTheme="minorHAnsi" w:hAnsi="Calibri" w:cs="Calibri"/>
          <w:color w:val="auto"/>
          <w:sz w:val="26"/>
          <w:szCs w:val="26"/>
          <w:u w:val="none"/>
        </w:rPr>
        <w:t xml:space="preserve">VA </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 xml:space="preserve">As of </w:t>
      </w:r>
      <w:r w:rsidRPr="00DD7BD1">
        <w:rPr>
          <w:rFonts w:ascii="Calibri" w:eastAsiaTheme="minorHAnsi" w:hAnsi="Calibri" w:cs="Calibri"/>
          <w:b w:val="0"/>
          <w:bCs w:val="0"/>
          <w:sz w:val="22"/>
          <w:szCs w:val="22"/>
        </w:rPr>
        <w:t xml:space="preserve">July 1, 2025, employers are required to post a copy of Virginia Code § 40.1-28.7:8 or an approved summary in the workplace as the result of revised state law regarding non-competes broadening the definition to include all employees eligible for overtime under federal law, regardless of their income level.  Access to the state’s covenants accessible </w:t>
      </w:r>
      <w:hyperlink r:id="rId116"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Attached file will serve as Notice.  Impacted employers should post the Notice by the effective date.</w:t>
      </w:r>
    </w:p>
    <w:p w14:paraId="6D465AC3" w14:textId="76FB4F14"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6"/>
          <w:szCs w:val="26"/>
          <w:u w:val="none"/>
        </w:rPr>
        <w:t xml:space="preserve">WA - </w:t>
      </w:r>
      <w:r w:rsidRPr="00DD7BD1">
        <w:rPr>
          <w:rFonts w:ascii="Calibri" w:eastAsiaTheme="minorHAnsi" w:hAnsi="Calibri" w:cs="Calibri"/>
          <w:b w:val="0"/>
          <w:bCs w:val="0"/>
          <w:sz w:val="22"/>
          <w:szCs w:val="22"/>
        </w:rPr>
        <w:t>The Washington Workers’ Compensation Notices have been updated to reflect recent changes. Beginning July 1 2025,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DD7BD1" w:rsidRDefault="008631FB" w:rsidP="008631FB">
      <w:pPr>
        <w:pStyle w:val="Heading1"/>
        <w:shd w:val="clear" w:color="auto" w:fill="FFFFFF"/>
        <w:tabs>
          <w:tab w:val="left" w:pos="1080"/>
        </w:tabs>
        <w:spacing w:before="0" w:beforeAutospacing="0" w:after="0" w:afterAutospacing="0"/>
        <w:ind w:left="1080"/>
        <w:rPr>
          <w:rStyle w:val="Hyperlink"/>
          <w:rFonts w:ascii="Calibri" w:eastAsiaTheme="minorHAnsi" w:hAnsi="Calibri" w:cs="Calibri"/>
          <w:b w:val="0"/>
          <w:bCs w:val="0"/>
          <w:color w:val="auto"/>
          <w:sz w:val="22"/>
          <w:szCs w:val="22"/>
          <w:u w:val="none"/>
        </w:rPr>
      </w:pPr>
      <w:hyperlink r:id="rId117" w:history="1">
        <w:r w:rsidRPr="00DD7BD1">
          <w:rPr>
            <w:rStyle w:val="Hyperlink"/>
            <w:rFonts w:ascii="Calibri" w:eastAsiaTheme="minorHAnsi" w:hAnsi="Calibri" w:cs="Calibri"/>
            <w:b w:val="0"/>
            <w:bCs w:val="0"/>
            <w:sz w:val="22"/>
            <w:szCs w:val="22"/>
          </w:rPr>
          <w:t>Work Comp Notice – State Insured Businesses (WA04E)</w:t>
        </w:r>
      </w:hyperlink>
    </w:p>
    <w:p w14:paraId="7F167907" w14:textId="2F7F6513" w:rsidR="009D1F57" w:rsidRPr="00DD7BD1" w:rsidRDefault="008631FB" w:rsidP="008631FB">
      <w:pPr>
        <w:pStyle w:val="Heading1"/>
        <w:shd w:val="clear" w:color="auto" w:fill="FFFFFF"/>
        <w:tabs>
          <w:tab w:val="left" w:pos="1080"/>
        </w:tabs>
        <w:spacing w:before="0" w:beforeAutospacing="0" w:after="0" w:afterAutospacing="0"/>
        <w:ind w:left="1080"/>
        <w:rPr>
          <w:rFonts w:ascii="Calibri" w:hAnsi="Calibri" w:cs="Calibri"/>
        </w:rPr>
      </w:pPr>
      <w:hyperlink r:id="rId118" w:history="1">
        <w:r w:rsidRPr="00DD7BD1">
          <w:rPr>
            <w:rStyle w:val="Hyperlink"/>
            <w:rFonts w:ascii="Calibri" w:eastAsiaTheme="minorHAnsi" w:hAnsi="Calibri" w:cs="Calibri"/>
            <w:b w:val="0"/>
            <w:bCs w:val="0"/>
            <w:sz w:val="22"/>
            <w:szCs w:val="22"/>
          </w:rPr>
          <w:t>Work Comp Notice – Self-Insured Businesses (WA05E)</w:t>
        </w:r>
      </w:hyperlink>
    </w:p>
    <w:p w14:paraId="4DEF9A86" w14:textId="77777777" w:rsidR="00AB5BE1" w:rsidRPr="00DD7BD1" w:rsidRDefault="00AB5BE1" w:rsidP="002C701F">
      <w:pPr>
        <w:pStyle w:val="ParagraphBasic"/>
        <w:spacing w:after="0" w:line="240" w:lineRule="auto"/>
        <w:rPr>
          <w:rStyle w:val="Hyperlink"/>
          <w:rFonts w:ascii="Calibri" w:hAnsi="Calibri" w:cs="Calibri"/>
          <w:b/>
          <w:bCs/>
          <w:color w:val="auto"/>
          <w:kern w:val="36"/>
          <w:sz w:val="16"/>
          <w:szCs w:val="16"/>
          <w:u w:val="none"/>
        </w:rPr>
      </w:pPr>
    </w:p>
    <w:p w14:paraId="1EB887A4" w14:textId="0B837A18"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April</w:t>
      </w:r>
    </w:p>
    <w:p w14:paraId="1E809432"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ME – 1) </w:t>
      </w:r>
      <w:r w:rsidRPr="00DD7BD1">
        <w:rPr>
          <w:rFonts w:ascii="Calibri" w:eastAsiaTheme="minorHAnsi" w:hAnsi="Calibri" w:cs="Calibri"/>
          <w:b w:val="0"/>
          <w:bCs w:val="0"/>
          <w:sz w:val="22"/>
          <w:szCs w:val="22"/>
        </w:rPr>
        <w:t>Revised </w:t>
      </w:r>
      <w:hyperlink r:id="rId119" w:history="1">
        <w:r w:rsidRPr="00DD7BD1">
          <w:rPr>
            <w:rStyle w:val="Hyperlink"/>
            <w:rFonts w:ascii="Calibri" w:eastAsiaTheme="minorHAnsi" w:hAnsi="Calibri" w:cs="Calibri"/>
            <w:sz w:val="22"/>
            <w:szCs w:val="22"/>
          </w:rPr>
          <w:t>Paid Family and Medical Leave Notice </w:t>
        </w:r>
      </w:hyperlink>
      <w:r w:rsidRPr="00DD7BD1">
        <w:rPr>
          <w:rFonts w:ascii="Calibri" w:eastAsiaTheme="minorHAnsi" w:hAnsi="Calibri" w:cs="Calibri"/>
          <w:b w:val="0"/>
          <w:bCs w:val="0"/>
          <w:sz w:val="22"/>
          <w:szCs w:val="22"/>
        </w:rPr>
        <w:t>now includes the expanded list of qualifying reasons for taking family leave.</w:t>
      </w:r>
    </w:p>
    <w:p w14:paraId="45C20C45"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2) </w:t>
      </w:r>
      <w:r w:rsidRPr="00DD7BD1">
        <w:rPr>
          <w:rFonts w:ascii="Calibri" w:eastAsiaTheme="minorHAnsi" w:hAnsi="Calibri" w:cs="Calibri"/>
          <w:b w:val="0"/>
          <w:bCs w:val="0"/>
          <w:sz w:val="22"/>
          <w:szCs w:val="22"/>
        </w:rPr>
        <w:t xml:space="preserve">newly released </w:t>
      </w:r>
      <w:hyperlink r:id="rId120" w:history="1">
        <w:r w:rsidRPr="00DD7BD1">
          <w:rPr>
            <w:rStyle w:val="Hyperlink"/>
            <w:rFonts w:ascii="Calibri" w:eastAsiaTheme="minorHAnsi" w:hAnsi="Calibri" w:cs="Calibri"/>
            <w:sz w:val="22"/>
            <w:szCs w:val="22"/>
          </w:rPr>
          <w:t>Sexual Harassment Education and Training Notice</w:t>
        </w:r>
      </w:hyperlink>
    </w:p>
    <w:p w14:paraId="405D7F32"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color w:val="C00000"/>
          <w:sz w:val="22"/>
          <w:szCs w:val="22"/>
          <w:u w:val="none"/>
        </w:rPr>
        <w:t xml:space="preserve">New! </w:t>
      </w:r>
      <w:r w:rsidRPr="00DD7BD1">
        <w:rPr>
          <w:rFonts w:ascii="Calibri" w:eastAsiaTheme="minorHAnsi" w:hAnsi="Calibri" w:cs="Calibri"/>
          <w:b w:val="0"/>
          <w:bCs w:val="0"/>
          <w:sz w:val="22"/>
          <w:szCs w:val="22"/>
        </w:rPr>
        <w:t>Effective April 2, 2025, Michigan employers are required under HB 5736 to display the new </w:t>
      </w:r>
      <w:hyperlink r:id="rId121" w:history="1">
        <w:r w:rsidRPr="00DD7BD1">
          <w:rPr>
            <w:rStyle w:val="Hyperlink"/>
            <w:rFonts w:ascii="Calibri" w:eastAsiaTheme="minorHAnsi" w:hAnsi="Calibri" w:cs="Calibri"/>
            <w:sz w:val="22"/>
            <w:szCs w:val="22"/>
          </w:rPr>
          <w:t>Resources for Michigan Veterans Notice</w:t>
        </w:r>
      </w:hyperlink>
      <w:r w:rsidRPr="00DD7BD1">
        <w:rPr>
          <w:rFonts w:ascii="Calibri" w:eastAsiaTheme="minorHAnsi" w:hAnsi="Calibri" w:cs="Calibri"/>
          <w:b w:val="0"/>
          <w:bCs w:val="0"/>
          <w:sz w:val="22"/>
          <w:szCs w:val="22"/>
        </w:rPr>
        <w:t>.</w:t>
      </w:r>
      <w:r w:rsidRPr="00DD7BD1">
        <w:rPr>
          <w:rFonts w:ascii="Calibri" w:eastAsiaTheme="minorHAnsi" w:hAnsi="Calibri" w:cs="Calibri"/>
          <w:sz w:val="22"/>
          <w:szCs w:val="22"/>
        </w:rPr>
        <w:t> </w:t>
      </w:r>
    </w:p>
    <w:p w14:paraId="5DE5699E"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C00000"/>
          <w:sz w:val="22"/>
          <w:szCs w:val="22"/>
          <w:u w:val="none"/>
        </w:rPr>
        <w:t>Reminder</w:t>
      </w:r>
      <w:r w:rsidRPr="00DD7BD1">
        <w:rPr>
          <w:rStyle w:val="Hyperlink"/>
          <w:rFonts w:ascii="Calibri" w:eastAsiaTheme="minorHAnsi" w:hAnsi="Calibri" w:cs="Calibri"/>
          <w:b w:val="0"/>
          <w:bCs w:val="0"/>
          <w:color w:val="auto"/>
          <w:sz w:val="22"/>
          <w:szCs w:val="22"/>
          <w:u w:val="none"/>
        </w:rPr>
        <w:t xml:space="preserve"> State’s </w:t>
      </w:r>
      <w:hyperlink r:id="rId122"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C00000"/>
          <w:sz w:val="22"/>
          <w:szCs w:val="22"/>
          <w:u w:val="none"/>
        </w:rPr>
        <w:t>April 15</w:t>
      </w:r>
    </w:p>
    <w:p w14:paraId="5D09830A" w14:textId="755D3790"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NYC – New York City</w:t>
      </w:r>
      <w:r w:rsidRPr="00DD7BD1">
        <w:rPr>
          <w:rStyle w:val="Hyperlink"/>
          <w:rFonts w:ascii="Calibri" w:eastAsiaTheme="minorHAnsi" w:hAnsi="Calibri" w:cs="Calibri"/>
          <w:b w:val="0"/>
          <w:bCs w:val="0"/>
          <w:color w:val="auto"/>
          <w:sz w:val="22"/>
          <w:szCs w:val="22"/>
          <w:u w:val="none"/>
        </w:rPr>
        <w:t xml:space="preserve"> – Updated </w:t>
      </w:r>
      <w:hyperlink r:id="rId123" w:history="1">
        <w:r w:rsidRPr="00DD7BD1">
          <w:rPr>
            <w:rStyle w:val="Hyperlink"/>
            <w:rFonts w:ascii="Calibri" w:eastAsiaTheme="minorHAnsi" w:hAnsi="Calibri" w:cs="Calibri"/>
            <w:sz w:val="22"/>
            <w:szCs w:val="22"/>
          </w:rPr>
          <w:t>Pregnancy Accommodation Notice</w:t>
        </w:r>
      </w:hyperlink>
      <w:r w:rsidRPr="00DD7BD1">
        <w:rPr>
          <w:rStyle w:val="Hyperlink"/>
          <w:rFonts w:ascii="Calibri" w:eastAsiaTheme="minorHAnsi" w:hAnsi="Calibri" w:cs="Calibri"/>
          <w:b w:val="0"/>
          <w:bCs w:val="0"/>
          <w:color w:val="auto"/>
          <w:sz w:val="22"/>
          <w:szCs w:val="22"/>
          <w:u w:val="none"/>
        </w:rPr>
        <w:t xml:space="preserve"> with Paid Lactation Break information, post or provide may</w:t>
      </w:r>
      <w:r w:rsidRPr="00DD7BD1">
        <w:rPr>
          <w:rStyle w:val="Hyperlink"/>
          <w:rFonts w:ascii="Calibri" w:eastAsiaTheme="minorHAnsi" w:hAnsi="Calibri" w:cs="Calibri"/>
          <w:b w:val="0"/>
          <w:bCs w:val="0"/>
          <w:color w:val="C00000"/>
          <w:sz w:val="22"/>
          <w:szCs w:val="22"/>
          <w:u w:val="none"/>
        </w:rPr>
        <w:t xml:space="preserve"> May 8</w:t>
      </w:r>
    </w:p>
    <w:p w14:paraId="18CF79CA" w14:textId="77777777"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A06B3E0" w14:textId="28387439" w:rsidR="00052D10" w:rsidRPr="00DD7BD1" w:rsidRDefault="00052D10"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Mar</w:t>
      </w:r>
    </w:p>
    <w:p w14:paraId="0CFB8DC3"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IL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Illinois issued an updated </w:t>
      </w:r>
      <w:hyperlink r:id="rId124" w:history="1">
        <w:r w:rsidRPr="00DD7BD1">
          <w:rPr>
            <w:rStyle w:val="Hyperlink"/>
            <w:rFonts w:ascii="Calibri" w:eastAsiaTheme="minorHAnsi" w:hAnsi="Calibri" w:cs="Calibri"/>
            <w:sz w:val="22"/>
            <w:szCs w:val="22"/>
          </w:rPr>
          <w:t>Victim's Economic Security and Safety Act (VESSA) Notice</w:t>
        </w:r>
      </w:hyperlink>
      <w:r w:rsidRPr="00DD7BD1">
        <w:rPr>
          <w:rFonts w:ascii="Calibri" w:eastAsiaTheme="minorHAnsi" w:hAnsi="Calibri" w:cs="Calibri"/>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b w:val="0"/>
          <w:bCs w:val="0"/>
          <w:color w:val="auto"/>
          <w:sz w:val="22"/>
          <w:szCs w:val="22"/>
          <w:u w:val="none"/>
        </w:rPr>
        <w:t xml:space="preserve">Reminder </w:t>
      </w:r>
      <w:r w:rsidRPr="00DD7BD1">
        <w:rPr>
          <w:rFonts w:ascii="Calibri" w:eastAsiaTheme="minorHAnsi" w:hAnsi="Calibri" w:cs="Calibri"/>
          <w:b w:val="0"/>
          <w:bCs w:val="0"/>
          <w:sz w:val="22"/>
          <w:szCs w:val="22"/>
        </w:rPr>
        <w:t>Sate’s</w:t>
      </w:r>
      <w:r w:rsidRPr="00DD7BD1">
        <w:rPr>
          <w:rStyle w:val="Hyperlink"/>
          <w:rFonts w:ascii="Calibri" w:eastAsiaTheme="minorHAnsi" w:hAnsi="Calibri" w:cs="Calibri"/>
          <w:color w:val="auto"/>
          <w:sz w:val="22"/>
          <w:szCs w:val="22"/>
          <w:u w:val="none"/>
        </w:rPr>
        <w:t xml:space="preserve"> </w:t>
      </w:r>
      <w:hyperlink r:id="rId125"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b w:val="0"/>
          <w:bCs w:val="0"/>
          <w:sz w:val="22"/>
          <w:szCs w:val="22"/>
        </w:rPr>
        <w:t xml:space="preserve"> to be distributed to MI employees by March 23.</w:t>
      </w:r>
    </w:p>
    <w:p w14:paraId="3A327CB3" w14:textId="6F83B07B" w:rsidR="00052D10" w:rsidRPr="00DD7BD1" w:rsidRDefault="00052D10" w:rsidP="00B03A9C">
      <w:pPr>
        <w:pStyle w:val="Heading1"/>
        <w:shd w:val="clear" w:color="auto" w:fill="FFFFFF"/>
        <w:tabs>
          <w:tab w:val="left" w:pos="1080"/>
        </w:tabs>
        <w:spacing w:before="0" w:beforeAutospacing="0" w:after="0" w:afterAutospacing="0"/>
        <w:ind w:left="117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auto"/>
          <w:sz w:val="22"/>
          <w:szCs w:val="22"/>
          <w:u w:val="none"/>
        </w:rPr>
        <w:t xml:space="preserve">Reminder State’s </w:t>
      </w:r>
      <w:hyperlink r:id="rId126"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April 15</w:t>
      </w:r>
    </w:p>
    <w:p w14:paraId="3DCD9894" w14:textId="77777777" w:rsidR="00B53287" w:rsidRPr="00DD7BD1" w:rsidRDefault="00B53287"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4704E83" w14:textId="2FCBF047"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w:t>
      </w:r>
    </w:p>
    <w:p w14:paraId="7E73F87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CA – </w:t>
      </w:r>
      <w:r w:rsidRPr="00DD7BD1">
        <w:rPr>
          <w:rFonts w:ascii="Calibri" w:eastAsiaTheme="minorHAnsi" w:hAnsi="Calibri" w:cs="Calibri"/>
          <w:b w:val="0"/>
          <w:bCs w:val="0"/>
          <w:sz w:val="22"/>
          <w:szCs w:val="22"/>
        </w:rPr>
        <w:t>Updated Family &amp; Medical Leave &amp; Pregnancy Disability</w:t>
      </w:r>
      <w:r w:rsidRPr="00DD7BD1">
        <w:rPr>
          <w:rFonts w:ascii="Calibri" w:eastAsiaTheme="minorHAnsi" w:hAnsi="Calibri" w:cs="Calibri"/>
          <w:sz w:val="22"/>
          <w:szCs w:val="22"/>
        </w:rPr>
        <w:t xml:space="preserve"> </w:t>
      </w:r>
      <w:hyperlink r:id="rId127" w:history="1">
        <w:r w:rsidRPr="00DD7BD1">
          <w:rPr>
            <w:rStyle w:val="Hyperlink"/>
            <w:rFonts w:ascii="Calibri" w:eastAsiaTheme="minorHAnsi" w:hAnsi="Calibri" w:cs="Calibri"/>
            <w:sz w:val="22"/>
            <w:szCs w:val="22"/>
          </w:rPr>
          <w:t>Employee Leave Poster</w:t>
        </w:r>
      </w:hyperlink>
      <w:r w:rsidRPr="00DD7BD1">
        <w:rPr>
          <w:rFonts w:ascii="Calibri" w:eastAsiaTheme="minorHAnsi" w:hAnsi="Calibri" w:cs="Calibri"/>
          <w:sz w:val="22"/>
          <w:szCs w:val="22"/>
        </w:rPr>
        <w:t xml:space="preserve"> </w:t>
      </w:r>
    </w:p>
    <w:p w14:paraId="420FA80D" w14:textId="77777777" w:rsidR="009A459C" w:rsidRPr="00DD7BD1" w:rsidRDefault="009A459C" w:rsidP="00B03A9C">
      <w:pPr>
        <w:pStyle w:val="Heading1"/>
        <w:shd w:val="clear" w:color="auto" w:fill="FFFFFF"/>
        <w:spacing w:before="0" w:beforeAutospacing="0" w:after="0" w:afterAutospacing="0" w:line="264" w:lineRule="atLeast"/>
        <w:ind w:left="1260"/>
        <w:rPr>
          <w:rFonts w:ascii="Calibri" w:eastAsiaTheme="minorHAnsi" w:hAnsi="Calibri" w:cs="Calibri"/>
          <w:sz w:val="22"/>
          <w:szCs w:val="22"/>
        </w:rPr>
      </w:pPr>
      <w:r w:rsidRPr="00DD7BD1">
        <w:rPr>
          <w:rFonts w:ascii="Calibri" w:eastAsiaTheme="minorHAnsi" w:hAnsi="Calibri" w:cs="Calibri"/>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DC – Employers must post the state’s Universal Paid Leave/ Paud Family Leave Act Notice by Feb 2025 AND provide the Notice to Covered Employees - </w:t>
      </w:r>
      <w:hyperlink r:id="rId128" w:history="1">
        <w:r w:rsidRPr="00DD7BD1">
          <w:rPr>
            <w:rStyle w:val="Hyperlink"/>
            <w:rFonts w:ascii="Calibri" w:eastAsiaTheme="minorHAnsi" w:hAnsi="Calibri" w:cs="Calibri"/>
            <w:sz w:val="22"/>
            <w:szCs w:val="22"/>
          </w:rPr>
          <w:t>Paid Family Leave Notice</w:t>
        </w:r>
        <w:r w:rsidRPr="00DD7BD1">
          <w:rPr>
            <w:rStyle w:val="Hyperlink"/>
            <w:rFonts w:ascii="Calibri" w:eastAsiaTheme="minorHAnsi" w:hAnsi="Calibri" w:cs="Calibri"/>
            <w:b w:val="0"/>
            <w:bCs w:val="0"/>
            <w:sz w:val="22"/>
            <w:szCs w:val="22"/>
          </w:rPr>
          <w:t> </w:t>
        </w:r>
      </w:hyperlink>
      <w:r w:rsidRPr="00DD7BD1">
        <w:rPr>
          <w:rFonts w:ascii="Calibri" w:hAnsi="Calibri" w:cs="Calibri"/>
          <w:sz w:val="22"/>
          <w:szCs w:val="22"/>
        </w:rPr>
        <w:t xml:space="preserve"> </w:t>
      </w:r>
      <w:r w:rsidRPr="00DD7BD1">
        <w:rPr>
          <w:rFonts w:ascii="Calibri" w:eastAsiaTheme="minorHAnsi" w:hAnsi="Calibri" w:cs="Calibri"/>
          <w:b w:val="0"/>
          <w:bCs w:val="0"/>
          <w:sz w:val="22"/>
          <w:szCs w:val="22"/>
        </w:rPr>
        <w:t>(previously published)</w:t>
      </w:r>
    </w:p>
    <w:p w14:paraId="64C1C524"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lastRenderedPageBreak/>
        <w:t xml:space="preserve">MA – </w:t>
      </w:r>
      <w:r w:rsidRPr="00DD7BD1">
        <w:rPr>
          <w:rFonts w:ascii="Calibri" w:eastAsiaTheme="minorHAnsi" w:hAnsi="Calibri" w:cs="Calibri"/>
          <w:b w:val="0"/>
          <w:bCs w:val="0"/>
          <w:sz w:val="22"/>
          <w:szCs w:val="22"/>
        </w:rPr>
        <w:t>Updated</w:t>
      </w:r>
      <w:r w:rsidRPr="00DD7BD1">
        <w:rPr>
          <w:rFonts w:ascii="Calibri" w:eastAsiaTheme="minorHAnsi" w:hAnsi="Calibri" w:cs="Calibri"/>
          <w:sz w:val="22"/>
          <w:szCs w:val="22"/>
        </w:rPr>
        <w:t xml:space="preserve"> </w:t>
      </w:r>
      <w:hyperlink r:id="rId129" w:history="1">
        <w:r w:rsidRPr="00DD7BD1">
          <w:rPr>
            <w:rStyle w:val="Hyperlink"/>
            <w:rFonts w:ascii="Calibri" w:eastAsiaTheme="minorHAnsi" w:hAnsi="Calibri" w:cs="Calibri"/>
            <w:sz w:val="22"/>
            <w:szCs w:val="22"/>
          </w:rPr>
          <w:t>Veterans Services Poster</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(distributed/posted by employers with 51 or more full-time employees.)</w:t>
      </w:r>
      <w:r w:rsidRPr="00DD7BD1">
        <w:rPr>
          <w:rFonts w:ascii="Calibri" w:eastAsiaTheme="minorHAnsi" w:hAnsi="Calibri" w:cs="Calibri"/>
          <w:sz w:val="22"/>
          <w:szCs w:val="22"/>
        </w:rPr>
        <w:t xml:space="preserve"> and </w:t>
      </w:r>
      <w:hyperlink r:id="rId130"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sz w:val="22"/>
          <w:szCs w:val="22"/>
        </w:rPr>
        <w:t xml:space="preserve"> </w:t>
      </w:r>
    </w:p>
    <w:p w14:paraId="78B4E4E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MI – updated </w:t>
      </w:r>
      <w:hyperlink r:id="rId131" w:history="1">
        <w:r w:rsidRPr="00DD7BD1">
          <w:rPr>
            <w:rStyle w:val="Hyperlink"/>
            <w:rFonts w:ascii="Calibri" w:eastAsiaTheme="minorHAnsi" w:hAnsi="Calibri" w:cs="Calibri"/>
            <w:sz w:val="22"/>
            <w:szCs w:val="22"/>
          </w:rPr>
          <w:t>Earned Sick Time Act Notice</w:t>
        </w:r>
      </w:hyperlink>
      <w:r w:rsidRPr="00DD7BD1">
        <w:rPr>
          <w:rFonts w:ascii="Calibri" w:eastAsiaTheme="minorHAnsi" w:hAnsi="Calibri" w:cs="Calibri"/>
          <w:sz w:val="22"/>
          <w:szCs w:val="22"/>
        </w:rPr>
        <w:t xml:space="preserve"> &amp; </w:t>
      </w:r>
      <w:hyperlink r:id="rId132" w:history="1">
        <w:r w:rsidRPr="00DD7BD1">
          <w:rPr>
            <w:rStyle w:val="Hyperlink"/>
            <w:rFonts w:ascii="Calibri" w:eastAsiaTheme="minorHAnsi" w:hAnsi="Calibri" w:cs="Calibri"/>
            <w:sz w:val="22"/>
            <w:szCs w:val="22"/>
          </w:rPr>
          <w:t>Minimum Wage Notice</w:t>
        </w:r>
      </w:hyperlink>
    </w:p>
    <w:p w14:paraId="4EBE17D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RI</w:t>
      </w:r>
      <w:r w:rsidRPr="00DD7BD1">
        <w:rPr>
          <w:rFonts w:ascii="Calibri" w:eastAsiaTheme="minorHAnsi" w:hAnsi="Calibri" w:cs="Calibri"/>
          <w:b w:val="0"/>
          <w:bCs w:val="0"/>
          <w:sz w:val="22"/>
          <w:szCs w:val="22"/>
        </w:rPr>
        <w:t xml:space="preserve"> – New </w:t>
      </w:r>
      <w:hyperlink r:id="rId133" w:history="1">
        <w:r w:rsidRPr="00DD7BD1">
          <w:rPr>
            <w:rStyle w:val="Hyperlink"/>
            <w:rFonts w:ascii="Calibri" w:eastAsiaTheme="minorHAnsi" w:hAnsi="Calibri" w:cs="Calibri"/>
            <w:sz w:val="22"/>
            <w:szCs w:val="22"/>
          </w:rPr>
          <w:t>Veterans Benefit &amp; Service Poster</w:t>
        </w:r>
      </w:hyperlink>
      <w:r w:rsidRPr="00DD7BD1">
        <w:rPr>
          <w:rFonts w:ascii="Calibri" w:eastAsiaTheme="minorHAnsi" w:hAnsi="Calibri" w:cs="Calibri"/>
          <w:b w:val="0"/>
          <w:bCs w:val="0"/>
          <w:sz w:val="22"/>
          <w:szCs w:val="22"/>
        </w:rPr>
        <w:t xml:space="preserve"> (distributed/posted by employers with 51 or more full-time equivalent employees.</w:t>
      </w:r>
    </w:p>
    <w:p w14:paraId="6DA51CEB" w14:textId="77777777" w:rsidR="009A459C" w:rsidRPr="00DD7BD1" w:rsidRDefault="009A459C" w:rsidP="00B03A9C">
      <w:pPr>
        <w:pStyle w:val="Heading1"/>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 xml:space="preserve">NV </w:t>
      </w:r>
      <w:r w:rsidRPr="00DD7BD1">
        <w:rPr>
          <w:rFonts w:ascii="Calibri" w:eastAsiaTheme="minorHAnsi" w:hAnsi="Calibri" w:cs="Calibri"/>
          <w:b w:val="0"/>
          <w:bCs w:val="0"/>
          <w:sz w:val="22"/>
          <w:szCs w:val="22"/>
        </w:rPr>
        <w:t xml:space="preserve">– updated notices: </w:t>
      </w:r>
      <w:hyperlink r:id="rId134" w:anchor="Required%20Notices%20and%20Bulletins" w:history="1">
        <w:r w:rsidRPr="00DD7BD1">
          <w:rPr>
            <w:rStyle w:val="Hyperlink"/>
            <w:rFonts w:ascii="Calibri" w:eastAsiaTheme="minorHAnsi" w:hAnsi="Calibri" w:cs="Calibri"/>
            <w:b w:val="0"/>
            <w:bCs w:val="0"/>
            <w:sz w:val="22"/>
            <w:szCs w:val="22"/>
          </w:rPr>
          <w:t>https://labor.nv.gov/Employer/Employer_Posters/#Required%20Notices%20and%20Bulletins</w:t>
        </w:r>
      </w:hyperlink>
      <w:r w:rsidRPr="00DD7BD1">
        <w:rPr>
          <w:rFonts w:ascii="Calibri" w:eastAsiaTheme="minorHAnsi" w:hAnsi="Calibri" w:cs="Calibri"/>
          <w:sz w:val="22"/>
          <w:szCs w:val="22"/>
        </w:rPr>
        <w:t xml:space="preserve">Rules to be Observed by Employers Notice; Domestic Violence Leave; AB 307 Training Programs Notice; </w:t>
      </w:r>
      <w:hyperlink r:id="rId135" w:history="1">
        <w:r w:rsidRPr="00DD7BD1">
          <w:rPr>
            <w:rStyle w:val="Hyperlink"/>
            <w:rFonts w:ascii="Calibri" w:eastAsiaTheme="minorHAnsi" w:hAnsi="Calibri" w:cs="Calibri"/>
            <w:sz w:val="22"/>
            <w:szCs w:val="22"/>
          </w:rPr>
          <w:t>The Pregnant Workers' Fairness Act Notice</w:t>
        </w:r>
      </w:hyperlink>
      <w:r w:rsidRPr="00DD7BD1">
        <w:rPr>
          <w:rFonts w:ascii="Calibri" w:eastAsiaTheme="minorHAnsi" w:hAnsi="Calibri" w:cs="Calibri"/>
          <w:sz w:val="22"/>
          <w:szCs w:val="22"/>
        </w:rPr>
        <w:t xml:space="preserve">; </w:t>
      </w:r>
      <w:hyperlink r:id="rId136" w:history="1">
        <w:r w:rsidRPr="00DD7BD1">
          <w:rPr>
            <w:rStyle w:val="Hyperlink"/>
            <w:rFonts w:ascii="Calibri" w:eastAsiaTheme="minorHAnsi" w:hAnsi="Calibri" w:cs="Calibri"/>
            <w:sz w:val="22"/>
            <w:szCs w:val="22"/>
          </w:rPr>
          <w:t>Nevada OSHA Notice</w:t>
        </w:r>
      </w:hyperlink>
      <w:r w:rsidRPr="00DD7BD1">
        <w:rPr>
          <w:rFonts w:ascii="Calibri" w:eastAsiaTheme="minorHAnsi" w:hAnsi="Calibri" w:cs="Calibri"/>
          <w:sz w:val="22"/>
          <w:szCs w:val="22"/>
        </w:rPr>
        <w:t xml:space="preserve">; </w:t>
      </w:r>
    </w:p>
    <w:p w14:paraId="0CC86268" w14:textId="764269FA" w:rsidR="009A459C" w:rsidRPr="00DD7BD1" w:rsidRDefault="009A459C" w:rsidP="00B03A9C">
      <w:pPr>
        <w:pStyle w:val="Heading1"/>
        <w:shd w:val="clear" w:color="auto" w:fill="FFFFFF"/>
        <w:spacing w:before="0" w:beforeAutospacing="0" w:after="0" w:afterAutospacing="0" w:line="264" w:lineRule="atLeast"/>
        <w:ind w:left="1260" w:hanging="54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CT </w:t>
      </w:r>
      <w:r w:rsidRPr="00DD7BD1">
        <w:rPr>
          <w:rFonts w:ascii="Calibri" w:eastAsiaTheme="minorHAnsi" w:hAnsi="Calibri" w:cs="Calibri"/>
          <w:b w:val="0"/>
          <w:bCs w:val="0"/>
          <w:sz w:val="22"/>
          <w:szCs w:val="22"/>
        </w:rPr>
        <w:t xml:space="preserve">– updated </w:t>
      </w:r>
      <w:hyperlink r:id="rId137" w:history="1">
        <w:r w:rsidRPr="00DD7BD1">
          <w:rPr>
            <w:rStyle w:val="Hyperlink"/>
            <w:rFonts w:ascii="Calibri" w:eastAsiaTheme="minorHAnsi" w:hAnsi="Calibri" w:cs="Calibri"/>
            <w:sz w:val="22"/>
            <w:szCs w:val="22"/>
          </w:rPr>
          <w:t>Discrimination is Illegal</w:t>
        </w:r>
      </w:hyperlink>
      <w:r w:rsidRPr="00DD7BD1">
        <w:rPr>
          <w:rFonts w:ascii="Calibri" w:eastAsiaTheme="minorHAnsi" w:hAnsi="Calibri" w:cs="Calibri"/>
          <w:b w:val="0"/>
          <w:bCs w:val="0"/>
          <w:sz w:val="22"/>
          <w:szCs w:val="22"/>
        </w:rPr>
        <w:t xml:space="preserve"> Notice</w:t>
      </w:r>
    </w:p>
    <w:p w14:paraId="0217EF83" w14:textId="77777777" w:rsidR="00B03A9C" w:rsidRPr="00DD7BD1" w:rsidRDefault="00B03A9C" w:rsidP="009A459C">
      <w:pPr>
        <w:pStyle w:val="ParagraphBasic"/>
        <w:spacing w:after="0" w:line="240" w:lineRule="auto"/>
        <w:ind w:firstLine="360"/>
        <w:rPr>
          <w:rStyle w:val="Hyperlink"/>
          <w:rFonts w:ascii="Calibri" w:hAnsi="Calibri" w:cs="Calibri"/>
          <w:b/>
          <w:bCs/>
          <w:color w:val="auto"/>
          <w:kern w:val="36"/>
          <w:sz w:val="28"/>
          <w:szCs w:val="28"/>
          <w:u w:val="none"/>
        </w:rPr>
      </w:pPr>
    </w:p>
    <w:p w14:paraId="59076A2B" w14:textId="6929C282"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Jan:</w:t>
      </w:r>
    </w:p>
    <w:p w14:paraId="04136CA0"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IL – </w:t>
      </w:r>
      <w:hyperlink r:id="rId138" w:history="1">
        <w:r w:rsidRPr="00DD7BD1">
          <w:rPr>
            <w:rStyle w:val="Hyperlink"/>
            <w:rFonts w:ascii="Calibri" w:eastAsiaTheme="minorHAnsi" w:hAnsi="Calibri" w:cs="Calibri"/>
            <w:b w:val="0"/>
            <w:bCs w:val="0"/>
            <w:sz w:val="22"/>
            <w:szCs w:val="22"/>
          </w:rPr>
          <w:t>Min Wage Notice</w:t>
        </w:r>
      </w:hyperlink>
      <w:r w:rsidRPr="00DD7BD1">
        <w:rPr>
          <w:rFonts w:ascii="Calibri" w:eastAsiaTheme="minorHAnsi" w:hAnsi="Calibri" w:cs="Calibri"/>
          <w:b w:val="0"/>
          <w:bCs w:val="0"/>
          <w:sz w:val="22"/>
          <w:szCs w:val="22"/>
        </w:rPr>
        <w:t xml:space="preserve">, </w:t>
      </w:r>
      <w:hyperlink r:id="rId139" w:history="1">
        <w:r w:rsidRPr="00DD7BD1">
          <w:rPr>
            <w:rStyle w:val="Hyperlink"/>
            <w:rFonts w:ascii="Calibri" w:eastAsiaTheme="minorHAnsi" w:hAnsi="Calibri" w:cs="Calibri"/>
            <w:b w:val="0"/>
            <w:bCs w:val="0"/>
            <w:sz w:val="22"/>
            <w:szCs w:val="22"/>
          </w:rPr>
          <w:t>Pay Transparency Notice</w:t>
        </w:r>
      </w:hyperlink>
      <w:r w:rsidRPr="00DD7BD1">
        <w:rPr>
          <w:rFonts w:ascii="Calibri" w:eastAsiaTheme="minorHAnsi" w:hAnsi="Calibri" w:cs="Calibri"/>
          <w:b w:val="0"/>
          <w:bCs w:val="0"/>
          <w:sz w:val="22"/>
          <w:szCs w:val="22"/>
        </w:rPr>
        <w:t xml:space="preserve">, </w:t>
      </w:r>
      <w:hyperlink r:id="rId140" w:history="1">
        <w:r w:rsidRPr="00DD7BD1">
          <w:rPr>
            <w:rStyle w:val="Hyperlink"/>
            <w:rFonts w:ascii="Calibri" w:eastAsiaTheme="minorHAnsi" w:hAnsi="Calibri" w:cs="Calibri"/>
            <w:b w:val="0"/>
            <w:bCs w:val="0"/>
            <w:sz w:val="22"/>
            <w:szCs w:val="22"/>
          </w:rPr>
          <w:t>E-Verify Notice</w:t>
        </w:r>
      </w:hyperlink>
    </w:p>
    <w:p w14:paraId="783AD8E3"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b w:val="0"/>
          <w:bCs w:val="0"/>
          <w:sz w:val="22"/>
          <w:szCs w:val="22"/>
        </w:rPr>
      </w:pPr>
      <w:r w:rsidRPr="00DD7BD1">
        <w:rPr>
          <w:rFonts w:ascii="Calibri" w:eastAsiaTheme="minorHAnsi" w:hAnsi="Calibri" w:cs="Calibri"/>
          <w:sz w:val="22"/>
          <w:szCs w:val="22"/>
        </w:rPr>
        <w:t>NE -  </w:t>
      </w:r>
      <w:hyperlink r:id="rId141" w:history="1">
        <w:r w:rsidRPr="00DD7BD1">
          <w:rPr>
            <w:rStyle w:val="Hyperlink"/>
            <w:rFonts w:ascii="Calibri" w:eastAsiaTheme="minorHAnsi" w:hAnsi="Calibri" w:cs="Calibri"/>
            <w:b w:val="0"/>
            <w:bCs w:val="0"/>
            <w:sz w:val="22"/>
            <w:szCs w:val="22"/>
          </w:rPr>
          <w:t>Nebraska Equal Pay</w:t>
        </w:r>
      </w:hyperlink>
      <w:r w:rsidRPr="00DD7BD1">
        <w:rPr>
          <w:rFonts w:ascii="Calibri" w:eastAsiaTheme="minorHAnsi" w:hAnsi="Calibri" w:cs="Calibri"/>
          <w:b w:val="0"/>
          <w:bCs w:val="0"/>
          <w:sz w:val="22"/>
          <w:szCs w:val="22"/>
        </w:rPr>
        <w:t xml:space="preserve"> regulations and an updated office address. </w:t>
      </w:r>
    </w:p>
    <w:p w14:paraId="049F8776"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MI – </w:t>
      </w:r>
      <w:hyperlink r:id="rId142" w:history="1">
        <w:r w:rsidRPr="00DD7BD1">
          <w:rPr>
            <w:rStyle w:val="Hyperlink"/>
            <w:rFonts w:ascii="Calibri" w:eastAsiaTheme="minorHAnsi" w:hAnsi="Calibri" w:cs="Calibri"/>
            <w:b w:val="0"/>
            <w:bCs w:val="0"/>
            <w:sz w:val="22"/>
            <w:szCs w:val="22"/>
          </w:rPr>
          <w:t>Paid Sick Leave Model Notice</w:t>
        </w:r>
      </w:hyperlink>
      <w:r w:rsidRPr="00DD7BD1">
        <w:rPr>
          <w:rFonts w:ascii="Calibri" w:eastAsiaTheme="minorHAnsi" w:hAnsi="Calibri" w:cs="Calibri"/>
          <w:sz w:val="22"/>
          <w:szCs w:val="22"/>
        </w:rPr>
        <w:t xml:space="preserve"> </w:t>
      </w:r>
    </w:p>
    <w:p w14:paraId="53F96834" w14:textId="0DBF6A4E" w:rsidR="00BD445F" w:rsidRPr="00DD7BD1" w:rsidRDefault="00BD445F" w:rsidP="00B03A9C">
      <w:pPr>
        <w:pStyle w:val="Heading1"/>
        <w:tabs>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CA – </w:t>
      </w:r>
      <w:hyperlink r:id="rId143" w:history="1">
        <w:r w:rsidRPr="00DD7BD1">
          <w:rPr>
            <w:rStyle w:val="Hyperlink"/>
            <w:rFonts w:ascii="Calibri" w:eastAsiaTheme="minorHAnsi" w:hAnsi="Calibri" w:cs="Calibri"/>
            <w:b w:val="0"/>
            <w:bCs w:val="0"/>
            <w:sz w:val="22"/>
            <w:szCs w:val="22"/>
          </w:rPr>
          <w:t>Model Whistle Blowers Notice</w:t>
        </w:r>
      </w:hyperlink>
      <w:r w:rsidRPr="00DD7BD1">
        <w:rPr>
          <w:rFonts w:ascii="Calibri" w:eastAsiaTheme="minorHAnsi" w:hAnsi="Calibri" w:cs="Calibri"/>
          <w:b w:val="0"/>
          <w:bCs w:val="0"/>
          <w:sz w:val="22"/>
          <w:szCs w:val="22"/>
        </w:rPr>
        <w:t xml:space="preserve">   </w:t>
      </w:r>
    </w:p>
    <w:p w14:paraId="7E6DEA8F" w14:textId="77777777" w:rsidR="009A459C" w:rsidRPr="00DD7BD1" w:rsidRDefault="009A459C" w:rsidP="009A459C">
      <w:pPr>
        <w:pStyle w:val="Heading1"/>
        <w:shd w:val="clear" w:color="auto" w:fill="FFFFFF"/>
        <w:spacing w:before="0" w:beforeAutospacing="0" w:after="0" w:afterAutospacing="0" w:line="264" w:lineRule="atLeast"/>
        <w:rPr>
          <w:rFonts w:ascii="Calibri" w:eastAsiaTheme="minorHAnsi" w:hAnsi="Calibri" w:cs="Calibri"/>
          <w:sz w:val="20"/>
          <w:szCs w:val="20"/>
          <w:u w:val="single"/>
        </w:rPr>
      </w:pPr>
    </w:p>
    <w:p w14:paraId="12F759EB" w14:textId="6193597D" w:rsidR="009A459C" w:rsidRPr="00DD7BD1" w:rsidRDefault="009A459C" w:rsidP="009A459C">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Resources:</w:t>
      </w:r>
    </w:p>
    <w:p w14:paraId="33BC88D0" w14:textId="5A2CA761" w:rsidR="009A459C" w:rsidRPr="00DD7BD1" w:rsidRDefault="009A459C" w:rsidP="009A459C">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Feb</w:t>
      </w:r>
      <w:r w:rsidR="00344D2E" w:rsidRPr="00DD7BD1">
        <w:rPr>
          <w:rStyle w:val="Hyperlink"/>
          <w:rFonts w:ascii="Calibri" w:eastAsiaTheme="minorHAnsi" w:hAnsi="Calibri" w:cs="Calibri"/>
          <w:color w:val="auto"/>
          <w:sz w:val="28"/>
          <w:szCs w:val="28"/>
          <w:u w:val="none"/>
        </w:rPr>
        <w:t xml:space="preserve"> 2025</w:t>
      </w:r>
      <w:r w:rsidRPr="00DD7BD1">
        <w:rPr>
          <w:rStyle w:val="Hyperlink"/>
          <w:rFonts w:ascii="Calibri" w:eastAsiaTheme="minorHAnsi" w:hAnsi="Calibri" w:cs="Calibri"/>
          <w:color w:val="auto"/>
          <w:sz w:val="28"/>
          <w:szCs w:val="28"/>
          <w:u w:val="none"/>
        </w:rPr>
        <w:t>:</w:t>
      </w:r>
    </w:p>
    <w:p w14:paraId="210E5564"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Reducing Wage &amp; Hour Claims</w:t>
      </w:r>
    </w:p>
    <w:p w14:paraId="3DEE94C7"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Immigration Raids</w:t>
      </w:r>
    </w:p>
    <w:p w14:paraId="04CE59A8"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SHRM Checklists: What to Do to Prepare For &amp; During an ICE Immigration Visit</w:t>
      </w:r>
    </w:p>
    <w:p w14:paraId="6C9E9E91" w14:textId="77777777" w:rsidR="00BD445F" w:rsidRPr="00DD7BD1" w:rsidRDefault="00BD445F" w:rsidP="009A459C">
      <w:pPr>
        <w:pStyle w:val="Heading1"/>
        <w:shd w:val="clear" w:color="auto" w:fill="FFFFFF"/>
        <w:spacing w:before="0" w:beforeAutospacing="0" w:after="0" w:afterAutospacing="0" w:line="264" w:lineRule="atLeast"/>
        <w:ind w:left="360"/>
        <w:rPr>
          <w:rStyle w:val="Hyperlink"/>
          <w:rFonts w:ascii="Calibri" w:eastAsiaTheme="minorHAnsi" w:hAnsi="Calibri" w:cs="Calibri"/>
          <w:color w:val="auto"/>
          <w:sz w:val="20"/>
          <w:szCs w:val="20"/>
        </w:rPr>
      </w:pPr>
    </w:p>
    <w:p w14:paraId="3811A59A" w14:textId="7C07DC2B" w:rsidR="009040C5" w:rsidRPr="00DD7BD1" w:rsidRDefault="002833B7"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Updated State Handbook Addendums</w:t>
      </w:r>
    </w:p>
    <w:p w14:paraId="6B5FEA39" w14:textId="6F4355DC"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 xml:space="preserve">Released </w:t>
      </w:r>
      <w:r w:rsidRPr="00AD75E7">
        <w:rPr>
          <w:rStyle w:val="Hyperlink"/>
          <w:rFonts w:ascii="Calibri" w:eastAsiaTheme="minorHAnsi" w:hAnsi="Calibri" w:cs="Calibri"/>
          <w:color w:val="C00000"/>
          <w:sz w:val="22"/>
          <w:szCs w:val="22"/>
          <w:u w:val="none"/>
        </w:rPr>
        <w:t>April 2026</w:t>
      </w:r>
    </w:p>
    <w:p w14:paraId="6B121068"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California State Handbook Addendum</w:t>
      </w:r>
    </w:p>
    <w:p w14:paraId="2F0C5D85" w14:textId="77777777" w:rsidR="00ED6400" w:rsidRPr="00A70D1E" w:rsidRDefault="00ED6400">
      <w:pPr>
        <w:pStyle w:val="ListParagraph"/>
        <w:numPr>
          <w:ilvl w:val="0"/>
          <w:numId w:val="335"/>
        </w:numPr>
        <w:spacing w:after="0" w:line="240" w:lineRule="auto"/>
        <w:rPr>
          <w:b/>
          <w:bCs/>
          <w:caps/>
          <w:noProof/>
        </w:rPr>
      </w:pPr>
      <w:r w:rsidRPr="00A70D1E">
        <w:rPr>
          <w:b/>
          <w:bCs/>
        </w:rPr>
        <w:t>Family Medical Leave Policy</w:t>
      </w:r>
      <w:r w:rsidRPr="00A70D1E">
        <w:t xml:space="preserve"> updated to reflect recommended clarification verbiage edits</w:t>
      </w:r>
    </w:p>
    <w:p w14:paraId="086C74FC" w14:textId="77777777" w:rsidR="00ED6400" w:rsidRPr="00A70D1E" w:rsidRDefault="00ED6400" w:rsidP="00ED6400">
      <w:pPr>
        <w:pStyle w:val="ListParagraph"/>
        <w:spacing w:after="0" w:line="240" w:lineRule="auto"/>
        <w:ind w:left="1440"/>
        <w:rPr>
          <w:b/>
          <w:bCs/>
          <w:caps/>
          <w:noProof/>
        </w:rPr>
      </w:pPr>
    </w:p>
    <w:p w14:paraId="43D0ADD4"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Maine State Handbook Addendum</w:t>
      </w:r>
    </w:p>
    <w:p w14:paraId="37A98664" w14:textId="77777777" w:rsidR="00ED6400" w:rsidRPr="00A70D1E" w:rsidRDefault="00ED6400">
      <w:pPr>
        <w:pStyle w:val="ListParagraph"/>
        <w:numPr>
          <w:ilvl w:val="0"/>
          <w:numId w:val="335"/>
        </w:numPr>
        <w:spacing w:after="0" w:line="240" w:lineRule="auto"/>
        <w:rPr>
          <w:b/>
          <w:bCs/>
          <w:caps/>
          <w:noProof/>
          <w:color w:val="0E425C"/>
        </w:rPr>
      </w:pPr>
      <w:r w:rsidRPr="00A70D1E">
        <w:rPr>
          <w:b/>
          <w:bCs/>
        </w:rPr>
        <w:t xml:space="preserve">Paid Family and Medical Leave (for </w:t>
      </w:r>
      <w:r w:rsidRPr="00A70D1E">
        <w:rPr>
          <w:b/>
          <w:bCs/>
          <w:color w:val="C00000"/>
          <w:u w:val="single"/>
        </w:rPr>
        <w:t>State Plans</w:t>
      </w:r>
      <w:r w:rsidRPr="00A70D1E">
        <w:rPr>
          <w:b/>
          <w:bCs/>
        </w:rPr>
        <w:t>)</w:t>
      </w:r>
      <w:r w:rsidRPr="00A70D1E">
        <w:t xml:space="preserve"> </w:t>
      </w:r>
      <w:r w:rsidRPr="00A70D1E">
        <w:rPr>
          <w:b/>
          <w:bCs/>
        </w:rPr>
        <w:t>Policy</w:t>
      </w:r>
      <w:r w:rsidRPr="00A70D1E">
        <w:t xml:space="preserve"> added. Employers have the option to choose Private Insurance Plan or a State Plan.  As such Policies addressing each are now included in the State Addendum for employers to review and adopt as applicable to themselves</w:t>
      </w:r>
    </w:p>
    <w:p w14:paraId="7D958523" w14:textId="77777777" w:rsidR="00ED6400" w:rsidRPr="00A70D1E" w:rsidRDefault="00ED6400" w:rsidP="00ED6400">
      <w:pPr>
        <w:pStyle w:val="ListParagraph"/>
        <w:spacing w:after="0" w:line="240" w:lineRule="auto"/>
        <w:ind w:left="1440"/>
        <w:rPr>
          <w:b/>
          <w:bCs/>
          <w:caps/>
          <w:noProof/>
          <w:color w:val="0E425C"/>
        </w:rPr>
      </w:pPr>
    </w:p>
    <w:p w14:paraId="6C21959C"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Massachusetts State Handbook Addendum</w:t>
      </w:r>
    </w:p>
    <w:p w14:paraId="5F75724A" w14:textId="77777777" w:rsidR="00ED6400" w:rsidRDefault="00ED6400">
      <w:pPr>
        <w:pStyle w:val="ListParagraph"/>
        <w:numPr>
          <w:ilvl w:val="0"/>
          <w:numId w:val="335"/>
        </w:numPr>
        <w:suppressAutoHyphens/>
        <w:autoSpaceDN w:val="0"/>
        <w:spacing w:after="0" w:line="240" w:lineRule="auto"/>
      </w:pPr>
      <w:r w:rsidRPr="00A70D1E">
        <w:rPr>
          <w:b/>
          <w:bCs/>
        </w:rPr>
        <w:t xml:space="preserve">Harassment &amp; Discrimination State Policy </w:t>
      </w:r>
      <w:r w:rsidRPr="00A70D1E">
        <w:t>updated to include updated contact details</w:t>
      </w:r>
    </w:p>
    <w:p w14:paraId="37AE5B06" w14:textId="77777777" w:rsidR="00ED6400" w:rsidRPr="00A70D1E" w:rsidRDefault="00ED6400" w:rsidP="00ED6400">
      <w:pPr>
        <w:pStyle w:val="ListParagraph"/>
        <w:suppressAutoHyphens/>
        <w:autoSpaceDN w:val="0"/>
        <w:spacing w:after="0" w:line="240" w:lineRule="auto"/>
        <w:ind w:left="1440"/>
      </w:pPr>
    </w:p>
    <w:p w14:paraId="36E6BC5D"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New York State Handbook Addendum</w:t>
      </w:r>
    </w:p>
    <w:p w14:paraId="4CD504B1" w14:textId="77777777" w:rsidR="00ED6400" w:rsidRDefault="00ED6400">
      <w:pPr>
        <w:pStyle w:val="ListParagraph"/>
        <w:numPr>
          <w:ilvl w:val="0"/>
          <w:numId w:val="335"/>
        </w:numPr>
        <w:suppressAutoHyphens/>
        <w:autoSpaceDN w:val="0"/>
        <w:spacing w:after="0" w:line="240" w:lineRule="auto"/>
      </w:pPr>
      <w:r w:rsidRPr="00A70D1E">
        <w:rPr>
          <w:b/>
          <w:bCs/>
        </w:rPr>
        <w:t xml:space="preserve">New York City Safe &amp; Sick Time Policy </w:t>
      </w:r>
      <w:r w:rsidRPr="00A70D1E">
        <w:t>updated to include 2 points of clarity</w:t>
      </w:r>
    </w:p>
    <w:p w14:paraId="2321CA07" w14:textId="77777777" w:rsidR="00ED6400" w:rsidRPr="00A70D1E" w:rsidRDefault="00ED6400" w:rsidP="00ED6400">
      <w:pPr>
        <w:pStyle w:val="ListParagraph"/>
        <w:suppressAutoHyphens/>
        <w:autoSpaceDN w:val="0"/>
        <w:spacing w:after="0" w:line="240" w:lineRule="auto"/>
        <w:ind w:left="1440"/>
      </w:pPr>
    </w:p>
    <w:p w14:paraId="62502C35"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Tennessee State Handbook Addendum</w:t>
      </w:r>
    </w:p>
    <w:p w14:paraId="38BCD9E7" w14:textId="77777777" w:rsidR="00ED6400" w:rsidRDefault="00ED6400">
      <w:pPr>
        <w:pStyle w:val="ListParagraph"/>
        <w:numPr>
          <w:ilvl w:val="0"/>
          <w:numId w:val="335"/>
        </w:numPr>
        <w:suppressAutoHyphens/>
        <w:autoSpaceDN w:val="0"/>
        <w:spacing w:after="0" w:line="240" w:lineRule="auto"/>
      </w:pPr>
      <w:r w:rsidRPr="00576597">
        <w:rPr>
          <w:b/>
          <w:bCs/>
        </w:rPr>
        <w:t>Organ Donation  Leave Policy</w:t>
      </w:r>
      <w:r w:rsidRPr="00576597">
        <w:t xml:space="preserve"> added due to newly adopted state regulations</w:t>
      </w:r>
    </w:p>
    <w:p w14:paraId="400034EE" w14:textId="77777777" w:rsidR="00ED6400" w:rsidRPr="00576597" w:rsidRDefault="00ED6400" w:rsidP="00ED6400">
      <w:pPr>
        <w:pStyle w:val="ListParagraph"/>
        <w:suppressAutoHyphens/>
        <w:autoSpaceDN w:val="0"/>
        <w:spacing w:after="0" w:line="240" w:lineRule="auto"/>
        <w:ind w:left="1440"/>
      </w:pPr>
    </w:p>
    <w:p w14:paraId="62FB6946"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Washington State Handbook Addendum</w:t>
      </w:r>
    </w:p>
    <w:p w14:paraId="620281F6" w14:textId="77777777" w:rsidR="00ED6400" w:rsidRPr="00A70D1E" w:rsidRDefault="00ED6400">
      <w:pPr>
        <w:pStyle w:val="ListParagraph"/>
        <w:numPr>
          <w:ilvl w:val="0"/>
          <w:numId w:val="335"/>
        </w:numPr>
        <w:suppressAutoHyphens/>
        <w:autoSpaceDN w:val="0"/>
        <w:spacing w:after="0" w:line="240" w:lineRule="auto"/>
      </w:pPr>
      <w:r w:rsidRPr="00A70D1E">
        <w:rPr>
          <w:b/>
          <w:bCs/>
        </w:rPr>
        <w:t>Paid &amp; Family Medical Leave Policy</w:t>
      </w:r>
      <w:r w:rsidRPr="00A70D1E">
        <w:t xml:space="preserve"> updated to reflect updated job protection eligibility language</w:t>
      </w:r>
    </w:p>
    <w:p w14:paraId="456249ED" w14:textId="77777777"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556ABC9A" w14:textId="77777777"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5770B5DD" w14:textId="59A977EE"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C00000"/>
          <w:sz w:val="22"/>
          <w:szCs w:val="22"/>
          <w:u w:val="none"/>
        </w:rPr>
      </w:pPr>
      <w:r>
        <w:rPr>
          <w:rStyle w:val="Hyperlink"/>
          <w:rFonts w:ascii="Calibri" w:eastAsiaTheme="minorHAnsi" w:hAnsi="Calibri" w:cs="Calibri"/>
          <w:color w:val="auto"/>
          <w:sz w:val="22"/>
          <w:szCs w:val="22"/>
          <w:u w:val="none"/>
        </w:rPr>
        <w:t xml:space="preserve">Released </w:t>
      </w:r>
      <w:r w:rsidRPr="0086685D">
        <w:rPr>
          <w:rStyle w:val="Hyperlink"/>
          <w:rFonts w:ascii="Calibri" w:eastAsiaTheme="minorHAnsi" w:hAnsi="Calibri" w:cs="Calibri"/>
          <w:color w:val="C00000"/>
          <w:sz w:val="22"/>
          <w:szCs w:val="22"/>
          <w:u w:val="none"/>
        </w:rPr>
        <w:t>March 2026</w:t>
      </w:r>
    </w:p>
    <w:p w14:paraId="6C2F1D61" w14:textId="77777777" w:rsidR="009E63A8" w:rsidRPr="00CD0D12" w:rsidRDefault="009E63A8">
      <w:pPr>
        <w:pStyle w:val="ListParagraph"/>
        <w:numPr>
          <w:ilvl w:val="0"/>
          <w:numId w:val="328"/>
        </w:numPr>
        <w:spacing w:after="100" w:line="276" w:lineRule="auto"/>
        <w:ind w:left="810"/>
        <w:rPr>
          <w:b/>
          <w:bCs/>
          <w:caps/>
          <w:noProof/>
          <w:color w:val="0E425C"/>
        </w:rPr>
      </w:pPr>
      <w:r w:rsidRPr="00CD0D12">
        <w:rPr>
          <w:b/>
          <w:bCs/>
          <w:caps/>
          <w:noProof/>
          <w:color w:val="0E425C"/>
        </w:rPr>
        <w:t xml:space="preserve">Minnesota STATE HANDBOOK ADDENDUM – </w:t>
      </w:r>
    </w:p>
    <w:p w14:paraId="6686F2AB" w14:textId="77777777" w:rsidR="009E63A8" w:rsidRPr="00530B66" w:rsidRDefault="009E63A8" w:rsidP="009E63A8">
      <w:pPr>
        <w:pStyle w:val="ListParagraph"/>
        <w:numPr>
          <w:ilvl w:val="1"/>
          <w:numId w:val="5"/>
        </w:numPr>
        <w:spacing w:after="100" w:line="276" w:lineRule="auto"/>
      </w:pPr>
      <w:r w:rsidRPr="00530B66">
        <w:rPr>
          <w:b/>
          <w:bCs/>
        </w:rPr>
        <w:lastRenderedPageBreak/>
        <w:t xml:space="preserve">Minneapolis Sick &amp; Safe Time Policy </w:t>
      </w:r>
      <w:r w:rsidRPr="00530B66">
        <w:t xml:space="preserve">– policy updated to reflect carryover of Earned Sick &amp; Safe Time at year’s end up to the maximum allowable under he regulations. </w:t>
      </w:r>
    </w:p>
    <w:p w14:paraId="24AA4CFE" w14:textId="77777777"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400986A3" w14:textId="211255C2" w:rsidR="00344D2E" w:rsidRPr="00FB465A" w:rsidRDefault="00344D2E" w:rsidP="00FB465A">
      <w:pPr>
        <w:pStyle w:val="Heading1"/>
        <w:shd w:val="clear" w:color="auto" w:fill="FFFFFF"/>
        <w:spacing w:before="0" w:beforeAutospacing="0" w:after="0" w:afterAutospacing="0" w:line="264" w:lineRule="atLeast"/>
        <w:ind w:firstLine="360"/>
        <w:rPr>
          <w:rFonts w:ascii="Calibri" w:eastAsiaTheme="minorHAnsi" w:hAnsi="Calibri" w:cs="Calibri"/>
          <w:sz w:val="22"/>
          <w:szCs w:val="22"/>
        </w:rPr>
      </w:pPr>
      <w:r w:rsidRPr="00DD7BD1">
        <w:rPr>
          <w:rStyle w:val="Hyperlink"/>
          <w:rFonts w:ascii="Calibri" w:eastAsiaTheme="minorHAnsi" w:hAnsi="Calibri" w:cs="Calibri"/>
          <w:color w:val="auto"/>
          <w:sz w:val="22"/>
          <w:szCs w:val="22"/>
          <w:u w:val="none"/>
        </w:rPr>
        <w:t xml:space="preserve">Released </w:t>
      </w:r>
      <w:r w:rsidRPr="00DD7BD1">
        <w:rPr>
          <w:rStyle w:val="Hyperlink"/>
          <w:rFonts w:ascii="Calibri" w:eastAsiaTheme="minorHAnsi" w:hAnsi="Calibri" w:cs="Calibri"/>
          <w:color w:val="C00000"/>
          <w:sz w:val="22"/>
          <w:szCs w:val="22"/>
          <w:u w:val="none"/>
        </w:rPr>
        <w:t>February 2026</w:t>
      </w:r>
    </w:p>
    <w:p w14:paraId="393644AA"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1F50D4A" w14:textId="77777777" w:rsidR="00F6549C" w:rsidRPr="00DD7BD1" w:rsidRDefault="00F6549C">
      <w:pPr>
        <w:pStyle w:val="ListParagraph"/>
        <w:numPr>
          <w:ilvl w:val="0"/>
          <w:numId w:val="315"/>
        </w:numPr>
        <w:suppressAutoHyphens/>
        <w:autoSpaceDN w:val="0"/>
        <w:spacing w:after="0" w:line="276" w:lineRule="auto"/>
        <w:ind w:left="1620"/>
        <w:rPr>
          <w:rFonts w:ascii="Calibri" w:hAnsi="Calibri" w:cs="Calibri"/>
        </w:rPr>
      </w:pPr>
      <w:r w:rsidRPr="00DD7BD1">
        <w:rPr>
          <w:rFonts w:ascii="Calibri" w:hAnsi="Calibri" w:cs="Calibri"/>
          <w:b/>
          <w:bCs/>
        </w:rPr>
        <w:t>OR Sick Time Policy -</w:t>
      </w:r>
      <w:r w:rsidRPr="00DD7BD1">
        <w:rPr>
          <w:rFonts w:ascii="Calibri" w:hAnsi="Calibri" w:cs="Calibri"/>
        </w:rPr>
        <w:t xml:space="preserve"> Commentary added for applicability of Paid or Unpaid Sick Time; Policy must be edited by Employer where indicated based on how many OR employees the employer has</w:t>
      </w:r>
    </w:p>
    <w:p w14:paraId="610BC06C" w14:textId="77777777" w:rsidR="00F6549C" w:rsidRPr="00DD7BD1" w:rsidRDefault="00F6549C">
      <w:pPr>
        <w:pStyle w:val="ListParagraph"/>
        <w:numPr>
          <w:ilvl w:val="0"/>
          <w:numId w:val="315"/>
        </w:numPr>
        <w:suppressAutoHyphens/>
        <w:autoSpaceDN w:val="0"/>
        <w:spacing w:after="0" w:line="276" w:lineRule="auto"/>
        <w:ind w:left="1620"/>
        <w:rPr>
          <w:rFonts w:ascii="Calibri" w:hAnsi="Calibri" w:cs="Calibri"/>
        </w:rPr>
      </w:pPr>
      <w:r w:rsidRPr="00DD7BD1">
        <w:rPr>
          <w:rFonts w:ascii="Calibri" w:hAnsi="Calibri" w:cs="Calibri"/>
          <w:b/>
          <w:bCs/>
        </w:rPr>
        <w:t>Family &amp; Medical Leave for Employers Covered by the FMLA Policy</w:t>
      </w:r>
      <w:r w:rsidRPr="00DD7BD1">
        <w:rPr>
          <w:rFonts w:ascii="Calibri" w:hAnsi="Calibri" w:cs="Calibri"/>
        </w:rPr>
        <w:t xml:space="preserve"> - Added Policy commentary &amp; updated medical Certifications Supporting the Need for Leave policy language revision</w:t>
      </w:r>
    </w:p>
    <w:p w14:paraId="1AE1E8D8"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ME State Handbook Addendum</w:t>
      </w:r>
    </w:p>
    <w:p w14:paraId="67AE78BD" w14:textId="77777777" w:rsidR="00F6549C" w:rsidRPr="00DD7BD1" w:rsidRDefault="00F6549C">
      <w:pPr>
        <w:pStyle w:val="ListParagraph"/>
        <w:numPr>
          <w:ilvl w:val="1"/>
          <w:numId w:val="316"/>
        </w:numPr>
        <w:suppressAutoHyphens/>
        <w:autoSpaceDN w:val="0"/>
        <w:spacing w:after="0" w:line="276" w:lineRule="auto"/>
        <w:rPr>
          <w:rFonts w:ascii="Calibri" w:hAnsi="Calibri" w:cs="Calibri"/>
          <w:b/>
          <w:bCs/>
        </w:rPr>
      </w:pPr>
      <w:r w:rsidRPr="00DD7BD1">
        <w:rPr>
          <w:rFonts w:ascii="Calibri" w:hAnsi="Calibri" w:cs="Calibri"/>
          <w:b/>
          <w:bCs/>
        </w:rPr>
        <w:t xml:space="preserve">Paid Family &amp; Medical Leave Policy - </w:t>
      </w:r>
      <w:r w:rsidRPr="00DD7BD1">
        <w:rPr>
          <w:rFonts w:ascii="Calibri" w:hAnsi="Calibri" w:cs="Calibri"/>
        </w:rPr>
        <w:t>Revised language added in regard to Supplementation of PFML Benefits with COMPANY Benefits</w:t>
      </w:r>
    </w:p>
    <w:p w14:paraId="346ABEE2" w14:textId="77777777" w:rsidR="00344D2E" w:rsidRPr="00DD7BD1" w:rsidRDefault="00344D2E" w:rsidP="000D71D3">
      <w:pPr>
        <w:pStyle w:val="Heading1"/>
        <w:shd w:val="clear" w:color="auto" w:fill="FFFFFF"/>
        <w:spacing w:before="0" w:beforeAutospacing="0" w:after="0" w:afterAutospacing="0"/>
        <w:rPr>
          <w:rFonts w:ascii="Calibri" w:hAnsi="Calibri" w:cs="Calibri"/>
          <w:kern w:val="0"/>
          <w:sz w:val="22"/>
          <w:szCs w:val="22"/>
          <w:shd w:val="clear" w:color="auto" w:fill="FFFFFF"/>
        </w:rPr>
      </w:pPr>
    </w:p>
    <w:p w14:paraId="54038695" w14:textId="50CC1334" w:rsidR="002C701F" w:rsidRPr="00DD7BD1" w:rsidRDefault="002C701F" w:rsidP="002C701F">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January 2026</w:t>
      </w:r>
    </w:p>
    <w:p w14:paraId="41B017B3"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CO State Handbook Addendum</w:t>
      </w:r>
    </w:p>
    <w:p w14:paraId="1B89F3CA" w14:textId="77777777" w:rsidR="003B41EF" w:rsidRPr="00DD7BD1" w:rsidRDefault="003B41EF" w:rsidP="003B41EF">
      <w:pPr>
        <w:pStyle w:val="ListParagraph"/>
        <w:numPr>
          <w:ilvl w:val="0"/>
          <w:numId w:val="297"/>
        </w:numPr>
        <w:suppressAutoHyphens/>
        <w:autoSpaceDN w:val="0"/>
        <w:spacing w:line="276" w:lineRule="auto"/>
        <w:ind w:left="1620"/>
        <w:rPr>
          <w:rFonts w:ascii="Calibri" w:hAnsi="Calibri" w:cs="Calibri"/>
        </w:rPr>
      </w:pPr>
      <w:r w:rsidRPr="00DD7BD1">
        <w:rPr>
          <w:rFonts w:ascii="Calibri" w:hAnsi="Calibri" w:cs="Calibri"/>
        </w:rPr>
        <w:t>Updates Overtime Policy reflective of 2026 changes/updates</w:t>
      </w:r>
    </w:p>
    <w:p w14:paraId="165A43FC"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MD – State Handbook Addendum</w:t>
      </w:r>
    </w:p>
    <w:p w14:paraId="1FEEC57C" w14:textId="77777777" w:rsidR="003B41EF" w:rsidRPr="00DD7BD1" w:rsidRDefault="003B41EF" w:rsidP="003B41EF">
      <w:pPr>
        <w:pStyle w:val="ListParagraph"/>
        <w:numPr>
          <w:ilvl w:val="0"/>
          <w:numId w:val="296"/>
        </w:numPr>
        <w:suppressAutoHyphens/>
        <w:autoSpaceDN w:val="0"/>
        <w:spacing w:after="0" w:line="240" w:lineRule="auto"/>
        <w:ind w:left="1620"/>
        <w:rPr>
          <w:rFonts w:ascii="Calibri" w:hAnsi="Calibri" w:cs="Calibri"/>
        </w:rPr>
      </w:pPr>
      <w:r w:rsidRPr="00DD7BD1">
        <w:rPr>
          <w:rFonts w:ascii="Calibri" w:hAnsi="Calibri" w:cs="Calibri"/>
        </w:rPr>
        <w:t>Optional, more simplified Baltimore City Lactation Accommodation policy released</w:t>
      </w:r>
    </w:p>
    <w:p w14:paraId="261ADC99"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6F8D960C" w14:textId="77777777" w:rsidR="003B41EF" w:rsidRPr="00DD7BD1" w:rsidRDefault="003B41EF" w:rsidP="003B41EF">
      <w:pPr>
        <w:pStyle w:val="ListParagraph"/>
        <w:numPr>
          <w:ilvl w:val="1"/>
          <w:numId w:val="294"/>
        </w:numPr>
        <w:suppressAutoHyphens/>
        <w:autoSpaceDN w:val="0"/>
        <w:spacing w:line="276" w:lineRule="auto"/>
        <w:ind w:left="1620"/>
        <w:rPr>
          <w:rFonts w:ascii="Calibri" w:hAnsi="Calibri" w:cs="Calibri"/>
        </w:rPr>
      </w:pPr>
      <w:r w:rsidRPr="00DD7BD1">
        <w:rPr>
          <w:rFonts w:ascii="Calibri" w:hAnsi="Calibri" w:cs="Calibri"/>
        </w:rPr>
        <w:t xml:space="preserve">Updated Nursing Mothers, Lactating Employees &amp; Pregnancy Accommodations Policy adding language clarification </w:t>
      </w:r>
    </w:p>
    <w:p w14:paraId="25C23A9B"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PA State Handbook Addendum</w:t>
      </w:r>
    </w:p>
    <w:p w14:paraId="274F03AF" w14:textId="77777777" w:rsidR="003B41E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Updated Pittsburg Paid Sick Leave Policy</w:t>
      </w:r>
    </w:p>
    <w:p w14:paraId="48D8F568" w14:textId="2A465310" w:rsidR="002C701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Removal of Allegany County Paid Sick Leave Policy</w:t>
      </w:r>
    </w:p>
    <w:p w14:paraId="1A0AB219" w14:textId="77777777"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71C353A2" w14:textId="17CE5315" w:rsidR="00AB5BE1" w:rsidRPr="00DD7BD1" w:rsidRDefault="00AB5BE1"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December 2025 </w:t>
      </w:r>
    </w:p>
    <w:p w14:paraId="0587CF92"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CA State Handbook Addendum</w:t>
      </w:r>
    </w:p>
    <w:p w14:paraId="4632D14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Sick &amp; Safe Leave - policy language cleaned up and made more concise, includes newly covered reasons just as juror, witness and crime victim applicability</w:t>
      </w:r>
    </w:p>
    <w:p w14:paraId="269293D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Local Sick &amp; Safe Time Policies - Berkeley, Emeryville, Los Angeles, Oakland, San Diego, San Franscisco, Santa Monica &amp; West Hollywood - edited to also clean up leave reasons, make more concise and newly covered reasons just as juror, witness and crime victim applicability</w:t>
      </w:r>
    </w:p>
    <w:p w14:paraId="603D6D4D"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Paid Family Leave Policy- edited to remove language no longer applicable.</w:t>
      </w:r>
    </w:p>
    <w:p w14:paraId="2F96FB8A"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DE State Handbook Addendum</w:t>
      </w:r>
    </w:p>
    <w:p w14:paraId="4E3CAB6F" w14:textId="77777777" w:rsidR="00032870" w:rsidRPr="00DD7BD1" w:rsidRDefault="00032870" w:rsidP="00032870">
      <w:pPr>
        <w:pStyle w:val="ListParagraph"/>
        <w:numPr>
          <w:ilvl w:val="1"/>
          <w:numId w:val="268"/>
        </w:numPr>
        <w:suppressAutoHyphens/>
        <w:autoSpaceDN w:val="0"/>
        <w:spacing w:line="276" w:lineRule="auto"/>
        <w:ind w:left="720" w:firstLine="900"/>
        <w:rPr>
          <w:rFonts w:ascii="Calibri" w:hAnsi="Calibri" w:cs="Calibri"/>
        </w:rPr>
      </w:pPr>
      <w:r w:rsidRPr="00DD7BD1">
        <w:rPr>
          <w:rFonts w:ascii="Calibri" w:hAnsi="Calibri" w:cs="Calibri"/>
        </w:rPr>
        <w:t>New policy added: State Paid Family Medical Leave - effective 1.1.26 for employers with 25 or more employees in DE.</w:t>
      </w:r>
    </w:p>
    <w:p w14:paraId="0889940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IL State Handbook Addendum</w:t>
      </w:r>
    </w:p>
    <w:p w14:paraId="21015838"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Lactation Break Policy language revised</w:t>
      </w:r>
    </w:p>
    <w:p w14:paraId="4BA2173D"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LEAVE FOR DOMESTIC, SEXUAL AND GENDER VIOLENCE OR OTHER CRIMES OF VIOLENCE</w:t>
      </w:r>
      <w:r w:rsidRPr="00DD7BD1">
        <w:rPr>
          <w:rFonts w:ascii="Calibri" w:hAnsi="Calibri" w:cs="Calibri"/>
        </w:rPr>
        <w:t xml:space="preserve"> policy revised</w:t>
      </w:r>
    </w:p>
    <w:p w14:paraId="24625029"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Blood &amp; Organ Donation Leave</w:t>
      </w:r>
      <w:r w:rsidRPr="00DD7BD1">
        <w:rPr>
          <w:rFonts w:ascii="Calibri" w:hAnsi="Calibri" w:cs="Calibri"/>
        </w:rPr>
        <w:t xml:space="preserve"> policy updated to include protected leave for part time employees under the organ donation aspect of policy</w:t>
      </w:r>
    </w:p>
    <w:p w14:paraId="6AA9F5EE"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 xml:space="preserve">New Policy added: </w:t>
      </w:r>
      <w:r w:rsidRPr="00DD7BD1">
        <w:rPr>
          <w:rFonts w:ascii="Calibri" w:hAnsi="Calibri" w:cs="Calibri"/>
          <w:b/>
          <w:bCs/>
        </w:rPr>
        <w:t xml:space="preserve">FAMILY NEONATAL INTENSIVE CARE LEAVE </w:t>
      </w:r>
      <w:r w:rsidRPr="00DD7BD1">
        <w:rPr>
          <w:rFonts w:ascii="Calibri" w:hAnsi="Calibri" w:cs="Calibri"/>
        </w:rPr>
        <w:t>ahead of 6.2026 enactment effective date</w:t>
      </w:r>
    </w:p>
    <w:p w14:paraId="154C9EC7"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Cook County Paid Leave policy revised to include labor notice image</w:t>
      </w:r>
    </w:p>
    <w:p w14:paraId="377400AD"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NH State Handbook Addendum</w:t>
      </w:r>
    </w:p>
    <w:p w14:paraId="784AB227" w14:textId="77777777" w:rsidR="00032870" w:rsidRPr="00DD7BD1" w:rsidRDefault="00032870" w:rsidP="00032870">
      <w:pPr>
        <w:pStyle w:val="ListParagraph"/>
        <w:numPr>
          <w:ilvl w:val="1"/>
          <w:numId w:val="268"/>
        </w:numPr>
        <w:suppressAutoHyphens/>
        <w:autoSpaceDN w:val="0"/>
        <w:spacing w:after="0" w:line="240" w:lineRule="auto"/>
        <w:ind w:left="720" w:firstLine="900"/>
        <w:rPr>
          <w:rFonts w:ascii="Calibri" w:hAnsi="Calibri" w:cs="Calibri"/>
        </w:rPr>
      </w:pPr>
      <w:r w:rsidRPr="00DD7BD1">
        <w:rPr>
          <w:rFonts w:ascii="Calibri" w:hAnsi="Calibri" w:cs="Calibri"/>
        </w:rPr>
        <w:lastRenderedPageBreak/>
        <w:t>New policy added: LEAVE OF ABSENCE TO ATTEND MEDICAL APPOINTMENTS FOR CHILDBIRTH, POSTPARTUM CARE, AND INFANT PEDIATRIC MEDICAL APPOINTMENTS</w:t>
      </w:r>
    </w:p>
    <w:p w14:paraId="64A1830B"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New Policy added: Leave for Military Spouses (in effect 1.1.26)</w:t>
      </w:r>
    </w:p>
    <w:p w14:paraId="232D270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NY State Handbook Addendum</w:t>
      </w:r>
    </w:p>
    <w:p w14:paraId="163EC57C" w14:textId="77777777" w:rsidR="00032870" w:rsidRPr="00DD7BD1" w:rsidRDefault="00032870" w:rsidP="00032870">
      <w:pPr>
        <w:pStyle w:val="ListParagraph"/>
        <w:numPr>
          <w:ilvl w:val="0"/>
          <w:numId w:val="268"/>
        </w:numPr>
        <w:suppressAutoHyphens/>
        <w:autoSpaceDN w:val="0"/>
        <w:spacing w:line="276" w:lineRule="auto"/>
        <w:ind w:firstLine="900"/>
        <w:rPr>
          <w:rFonts w:ascii="Calibri" w:hAnsi="Calibri" w:cs="Calibri"/>
        </w:rPr>
      </w:pPr>
      <w:r w:rsidRPr="00DD7BD1">
        <w:rPr>
          <w:rFonts w:ascii="Calibri" w:hAnsi="Calibri" w:cs="Calibri"/>
        </w:rPr>
        <w:t>NY City’s temporary Schedule change Policy – commentary added to Addendum, no policy changes</w:t>
      </w:r>
    </w:p>
    <w:p w14:paraId="012AD149"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 xml:space="preserve">ME State Handbook Addendum </w:t>
      </w:r>
    </w:p>
    <w:p w14:paraId="62AB8993" w14:textId="77777777" w:rsidR="00032870" w:rsidRPr="00DD7BD1" w:rsidRDefault="00032870" w:rsidP="00032870">
      <w:pPr>
        <w:pStyle w:val="ListParagraph"/>
        <w:numPr>
          <w:ilvl w:val="1"/>
          <w:numId w:val="269"/>
        </w:numPr>
        <w:suppressAutoHyphens/>
        <w:autoSpaceDN w:val="0"/>
        <w:spacing w:line="276" w:lineRule="auto"/>
        <w:ind w:left="810" w:firstLine="900"/>
        <w:rPr>
          <w:rFonts w:ascii="Calibri" w:hAnsi="Calibri" w:cs="Calibri"/>
        </w:rPr>
      </w:pPr>
      <w:r w:rsidRPr="00DD7BD1">
        <w:rPr>
          <w:rFonts w:ascii="Calibri" w:hAnsi="Calibri" w:cs="Calibri"/>
        </w:rPr>
        <w:t>Paid Family &amp; Medical Leave Policy added (For Employers using a Private Plan) ahead of 5.2026 entitlement effective date.</w:t>
      </w:r>
    </w:p>
    <w:p w14:paraId="69C9C51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7C9BC060"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Minneapolis &amp; St. Paul Sick &amp; Safe Time policy language</w:t>
      </w:r>
    </w:p>
    <w:p w14:paraId="7E3010B7"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New Policy: Meal &amp; Rest Breaks (eff 1.1.26)</w:t>
      </w:r>
    </w:p>
    <w:p w14:paraId="14FE47C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A14442D"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Sick Time Policy language to allow for such to be used for Blood, Bone Marrow and Organ Donation  (eff 1.1.26)</w:t>
      </w:r>
    </w:p>
    <w:p w14:paraId="76887CF6" w14:textId="77777777" w:rsidR="00032870" w:rsidRPr="00DD7BD1" w:rsidRDefault="00032870" w:rsidP="00032870">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WA State Handbook Addendum</w:t>
      </w:r>
    </w:p>
    <w:p w14:paraId="6D2EEB11"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New Disclaimer added</w:t>
      </w:r>
    </w:p>
    <w:p w14:paraId="3BFCD533"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policy language - Paid Sick Leave Policy</w:t>
      </w:r>
    </w:p>
    <w:p w14:paraId="18AD56CC"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LEAVE FOR VICTIMS OF DOMESTIC VIOLENCE, SEXUAL ASSAULT, STALKING, OR HATE CRIME Policy</w:t>
      </w:r>
    </w:p>
    <w:p w14:paraId="3F53EF2F" w14:textId="7AF80A3A" w:rsidR="00AB5BE1"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Pregnancy Accommodation Policy – commentary added addressing 1.1.2027 effective date of Paid lactation breaks for all employers</w:t>
      </w:r>
    </w:p>
    <w:p w14:paraId="4710519B" w14:textId="77777777" w:rsidR="00032870" w:rsidRPr="00DD7BD1" w:rsidRDefault="00032870" w:rsidP="00032870">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36F3C534" w14:textId="58C752E0"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November 2025 </w:t>
      </w:r>
      <w:r w:rsidRPr="00DD7BD1">
        <w:rPr>
          <w:rFonts w:ascii="Calibri" w:hAnsi="Calibri" w:cs="Calibri"/>
          <w:kern w:val="0"/>
          <w:sz w:val="22"/>
          <w:szCs w:val="22"/>
          <w:shd w:val="clear" w:color="auto" w:fill="FFFFFF"/>
        </w:rPr>
        <w:t>– NONE</w:t>
      </w:r>
    </w:p>
    <w:p w14:paraId="2793F0A8" w14:textId="77777777"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4335A606" w14:textId="6B22F3E7" w:rsidR="00D326EC" w:rsidRPr="00DD7BD1" w:rsidRDefault="00D326EC" w:rsidP="00D326EC">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October 2025</w:t>
      </w:r>
    </w:p>
    <w:p w14:paraId="67F9D15A"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CT State Handbook Addendum – </w:t>
      </w:r>
    </w:p>
    <w:p w14:paraId="75E16446"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 xml:space="preserve">Changes incorporated to addressed violence protection policy updated to reflect policy clarification language additions and expanded protections for victims of sexual assault and human trafficking </w:t>
      </w:r>
    </w:p>
    <w:p w14:paraId="62D0D7ED"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Maryland State Handbook Addendum – </w:t>
      </w:r>
    </w:p>
    <w:p w14:paraId="00F87ABD"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MONTGOMERY COUNTY EARNED SICK AND SAFE LEAVE POLICY - commentary added along with updated language under the Enforcement &amp; Retaliation section of this policy</w:t>
      </w:r>
    </w:p>
    <w:p w14:paraId="57895DC1" w14:textId="77777777" w:rsidR="00D326EC" w:rsidRPr="00DD7BD1" w:rsidRDefault="00D326EC" w:rsidP="00D326EC">
      <w:pPr>
        <w:pStyle w:val="ListParagraph"/>
        <w:numPr>
          <w:ilvl w:val="0"/>
          <w:numId w:val="249"/>
        </w:numPr>
        <w:spacing w:after="0" w:line="240" w:lineRule="auto"/>
        <w:ind w:left="2070"/>
        <w:rPr>
          <w:rFonts w:ascii="Calibri" w:hAnsi="Calibri" w:cs="Calibri"/>
          <w:sz w:val="20"/>
          <w:szCs w:val="20"/>
        </w:rPr>
      </w:pPr>
      <w:r w:rsidRPr="00DD7BD1">
        <w:rPr>
          <w:rFonts w:ascii="Calibri" w:hAnsi="Calibri" w:cs="Calibri"/>
        </w:rPr>
        <w:t>EARNED SICK AND SAFE LEAVE Policy updated language added to Enforcement &amp; Retaliation section of this policy</w:t>
      </w:r>
    </w:p>
    <w:p w14:paraId="4BDE9EB0"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Minnesota State Handbook Addendum – </w:t>
      </w:r>
    </w:p>
    <w:p w14:paraId="367AA89E"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Update MN Paid Leave Policy added ahead of 1.1.26 effective date</w:t>
      </w:r>
    </w:p>
    <w:p w14:paraId="1AA397B5"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RI State Handbook Addendum - </w:t>
      </w:r>
    </w:p>
    <w:p w14:paraId="330BD512" w14:textId="72210BBF" w:rsidR="00D326EC" w:rsidRPr="00DD7BD1" w:rsidRDefault="00D326EC" w:rsidP="00D326EC">
      <w:pPr>
        <w:pStyle w:val="pf0"/>
        <w:numPr>
          <w:ilvl w:val="0"/>
          <w:numId w:val="249"/>
        </w:numPr>
        <w:spacing w:before="0" w:beforeAutospacing="0" w:after="0" w:afterAutospacing="0"/>
        <w:ind w:left="2070"/>
        <w:rPr>
          <w:rFonts w:ascii="Calibri" w:hAnsi="Calibri" w:cs="Calibri"/>
          <w:sz w:val="22"/>
          <w:szCs w:val="22"/>
        </w:rPr>
      </w:pPr>
      <w:r w:rsidRPr="00DD7BD1">
        <w:rPr>
          <w:rFonts w:ascii="Calibri" w:hAnsi="Calibri" w:cs="Calibri"/>
          <w:sz w:val="22"/>
          <w:szCs w:val="22"/>
        </w:rPr>
        <w:t>Paid Temporary Caregiver Insurance Benefits and Leave policy updated policy language ahead of 1.1.2026 release to allow for “sibling” under family members.</w:t>
      </w:r>
    </w:p>
    <w:p w14:paraId="6FA4FD08" w14:textId="77777777" w:rsidR="00D326EC" w:rsidRPr="00DD7BD1" w:rsidRDefault="00D326EC"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0E7508F3" w14:textId="08CB05AA"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Aug/September 2025</w:t>
      </w:r>
      <w:r w:rsidR="002C1B32" w:rsidRPr="00DD7BD1">
        <w:rPr>
          <w:rFonts w:ascii="Calibri" w:hAnsi="Calibri" w:cs="Calibri"/>
          <w:color w:val="C00000"/>
          <w:kern w:val="0"/>
          <w:sz w:val="22"/>
          <w:szCs w:val="22"/>
          <w:shd w:val="clear" w:color="auto" w:fill="FFFFFF"/>
        </w:rPr>
        <w:tab/>
      </w:r>
    </w:p>
    <w:p w14:paraId="46913828"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bookmarkStart w:id="3" w:name="_Hlk212641690"/>
      <w:r w:rsidRPr="00DD7BD1">
        <w:rPr>
          <w:rFonts w:ascii="Calibri" w:eastAsiaTheme="minorHAnsi" w:hAnsi="Calibri" w:cs="Calibri"/>
          <w:b/>
          <w:bCs/>
          <w:i w:val="0"/>
          <w:iCs w:val="0"/>
          <w:color w:val="2E74B5" w:themeColor="accent5" w:themeShade="BF"/>
        </w:rPr>
        <w:t>AK State Handbook Addendum</w:t>
      </w:r>
      <w:bookmarkEnd w:id="3"/>
    </w:p>
    <w:p w14:paraId="4C2423B5" w14:textId="77777777" w:rsidR="00E43496" w:rsidRPr="00DD7BD1" w:rsidRDefault="00E43496">
      <w:pPr>
        <w:pStyle w:val="ListParagraph"/>
        <w:numPr>
          <w:ilvl w:val="1"/>
          <w:numId w:val="241"/>
        </w:numPr>
        <w:spacing w:after="0" w:line="240" w:lineRule="auto"/>
        <w:rPr>
          <w:rFonts w:ascii="Calibri" w:hAnsi="Calibri" w:cs="Calibri"/>
          <w:b/>
        </w:rPr>
      </w:pPr>
      <w:r w:rsidRPr="00DD7BD1">
        <w:rPr>
          <w:rFonts w:ascii="Calibri" w:hAnsi="Calibri" w:cs="Calibri"/>
          <w:w w:val="110"/>
        </w:rPr>
        <w:t>Edited State</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Sick</w:t>
      </w:r>
      <w:r w:rsidRPr="00DD7BD1">
        <w:rPr>
          <w:rFonts w:ascii="Calibri" w:hAnsi="Calibri" w:cs="Calibri"/>
          <w:spacing w:val="-7"/>
          <w:w w:val="110"/>
        </w:rPr>
        <w:t xml:space="preserve"> </w:t>
      </w:r>
      <w:r w:rsidRPr="00DD7BD1">
        <w:rPr>
          <w:rFonts w:ascii="Calibri" w:hAnsi="Calibri" w:cs="Calibri"/>
          <w:w w:val="110"/>
        </w:rPr>
        <w:t>Leave</w:t>
      </w:r>
      <w:r w:rsidRPr="00DD7BD1">
        <w:rPr>
          <w:rFonts w:ascii="Calibri" w:hAnsi="Calibri" w:cs="Calibri"/>
          <w:spacing w:val="-7"/>
          <w:w w:val="110"/>
        </w:rPr>
        <w:t xml:space="preserve"> </w:t>
      </w:r>
      <w:r w:rsidRPr="00DD7BD1">
        <w:rPr>
          <w:rFonts w:ascii="Calibri" w:hAnsi="Calibri" w:cs="Calibri"/>
          <w:w w:val="110"/>
        </w:rPr>
        <w:t>Policy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provide</w:t>
      </w:r>
      <w:r w:rsidRPr="00DD7BD1">
        <w:rPr>
          <w:rFonts w:ascii="Calibri" w:hAnsi="Calibri" w:cs="Calibri"/>
          <w:spacing w:val="-4"/>
          <w:w w:val="110"/>
        </w:rPr>
        <w:t xml:space="preserve"> </w:t>
      </w:r>
      <w:r w:rsidRPr="00DD7BD1">
        <w:rPr>
          <w:rFonts w:ascii="Calibri" w:hAnsi="Calibri" w:cs="Calibri"/>
          <w:w w:val="110"/>
        </w:rPr>
        <w:t>clarification</w:t>
      </w:r>
      <w:r w:rsidRPr="00DD7BD1">
        <w:rPr>
          <w:rFonts w:ascii="Calibri" w:hAnsi="Calibri" w:cs="Calibri"/>
          <w:spacing w:val="-5"/>
          <w:w w:val="110"/>
        </w:rPr>
        <w:t xml:space="preserve"> </w:t>
      </w:r>
      <w:r w:rsidRPr="00DD7BD1">
        <w:rPr>
          <w:rFonts w:ascii="Calibri" w:hAnsi="Calibri" w:cs="Calibri"/>
          <w:w w:val="110"/>
        </w:rPr>
        <w:t>language</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spacing w:val="-2"/>
          <w:w w:val="110"/>
        </w:rPr>
        <w:t>policy</w:t>
      </w:r>
    </w:p>
    <w:p w14:paraId="217AB40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CT State Handbook Addendum</w:t>
      </w:r>
    </w:p>
    <w:p w14:paraId="7B59C2F0" w14:textId="77777777" w:rsidR="00E43496" w:rsidRPr="00DD7BD1" w:rsidRDefault="00E43496">
      <w:pPr>
        <w:pStyle w:val="BodyText"/>
        <w:numPr>
          <w:ilvl w:val="1"/>
          <w:numId w:val="241"/>
        </w:numPr>
        <w:tabs>
          <w:tab w:val="left" w:pos="811"/>
        </w:tabs>
        <w:spacing w:after="0" w:line="240" w:lineRule="auto"/>
        <w:rPr>
          <w:rFonts w:cs="Calibri"/>
          <w:color w:val="auto"/>
          <w:w w:val="110"/>
          <w:szCs w:val="24"/>
        </w:rPr>
      </w:pPr>
      <w:r w:rsidRPr="00DD7BD1">
        <w:rPr>
          <w:rFonts w:cs="Calibri"/>
          <w:i/>
          <w:iCs/>
          <w:color w:val="auto"/>
          <w:w w:val="110"/>
          <w:szCs w:val="24"/>
        </w:rPr>
        <w:t>Updated LEAVE FOR FAMILY VIOELCE, DOMESTIC VIOLENCE OR SEXUAL ASSAULT Policy include</w:t>
      </w:r>
      <w:r w:rsidRPr="00DD7BD1">
        <w:rPr>
          <w:rFonts w:cs="Calibri"/>
          <w:i/>
          <w:iCs/>
          <w:color w:val="auto"/>
          <w:w w:val="110"/>
        </w:rPr>
        <w:t xml:space="preserve"> </w:t>
      </w:r>
      <w:r w:rsidRPr="00DD7BD1">
        <w:rPr>
          <w:rFonts w:cs="Calibri"/>
          <w:color w:val="auto"/>
          <w:w w:val="110"/>
          <w:szCs w:val="24"/>
        </w:rPr>
        <w:t>expanded protections for victims of sexual assault and human trafficking effective 10/1/25</w:t>
      </w:r>
    </w:p>
    <w:p w14:paraId="3D987330"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IL State Handbook Addendum</w:t>
      </w:r>
    </w:p>
    <w:p w14:paraId="1C87D7F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Calibri" w:hAnsi="Calibri" w:cs="Calibri"/>
        </w:rPr>
      </w:pPr>
      <w:r w:rsidRPr="00DD7BD1">
        <w:rPr>
          <w:rFonts w:ascii="Calibri" w:hAnsi="Calibri" w:cs="Calibri"/>
          <w:w w:val="110"/>
        </w:rPr>
        <w:t>Updated</w:t>
      </w:r>
      <w:r w:rsidRPr="00DD7BD1">
        <w:rPr>
          <w:rFonts w:ascii="Calibri" w:hAnsi="Calibri" w:cs="Calibri"/>
          <w:spacing w:val="-11"/>
          <w:w w:val="110"/>
        </w:rPr>
        <w:t xml:space="preserve"> </w:t>
      </w:r>
      <w:r w:rsidRPr="00DD7BD1">
        <w:rPr>
          <w:rFonts w:ascii="Calibri" w:hAnsi="Calibri" w:cs="Calibri"/>
          <w:w w:val="110"/>
        </w:rPr>
        <w:t>Military</w:t>
      </w:r>
      <w:r w:rsidRPr="00DD7BD1">
        <w:rPr>
          <w:rFonts w:ascii="Calibri" w:hAnsi="Calibri" w:cs="Calibri"/>
          <w:spacing w:val="-13"/>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address</w:t>
      </w:r>
      <w:r w:rsidRPr="00DD7BD1">
        <w:rPr>
          <w:rFonts w:ascii="Calibri" w:hAnsi="Calibri" w:cs="Calibri"/>
          <w:spacing w:val="-13"/>
          <w:w w:val="110"/>
        </w:rPr>
        <w:t xml:space="preserve"> </w:t>
      </w:r>
      <w:r w:rsidRPr="00DD7BD1">
        <w:rPr>
          <w:rFonts w:ascii="Calibri" w:hAnsi="Calibri" w:cs="Calibri"/>
          <w:w w:val="110"/>
        </w:rPr>
        <w:t>changes</w:t>
      </w:r>
      <w:r w:rsidRPr="00DD7BD1">
        <w:rPr>
          <w:rFonts w:ascii="Calibri" w:hAnsi="Calibri" w:cs="Calibri"/>
          <w:spacing w:val="-12"/>
          <w:w w:val="110"/>
        </w:rPr>
        <w:t xml:space="preserve"> </w:t>
      </w:r>
      <w:r w:rsidRPr="00DD7BD1">
        <w:rPr>
          <w:rFonts w:ascii="Calibri" w:hAnsi="Calibri" w:cs="Calibri"/>
          <w:w w:val="110"/>
        </w:rPr>
        <w:t>including</w:t>
      </w:r>
      <w:r w:rsidRPr="00DD7BD1">
        <w:rPr>
          <w:rFonts w:ascii="Calibri" w:hAnsi="Calibri" w:cs="Calibri"/>
          <w:spacing w:val="-13"/>
          <w:w w:val="110"/>
        </w:rPr>
        <w:t xml:space="preserve"> </w:t>
      </w:r>
      <w:r w:rsidRPr="00DD7BD1">
        <w:rPr>
          <w:rFonts w:ascii="Calibri" w:hAnsi="Calibri" w:cs="Calibri"/>
          <w:w w:val="110"/>
        </w:rPr>
        <w:t>Military</w:t>
      </w:r>
      <w:r w:rsidRPr="00DD7BD1">
        <w:rPr>
          <w:rFonts w:ascii="Calibri" w:hAnsi="Calibri" w:cs="Calibri"/>
          <w:spacing w:val="-11"/>
          <w:w w:val="110"/>
        </w:rPr>
        <w:t xml:space="preserve"> </w:t>
      </w:r>
      <w:r w:rsidRPr="00DD7BD1">
        <w:rPr>
          <w:rFonts w:ascii="Calibri" w:hAnsi="Calibri" w:cs="Calibri"/>
          <w:w w:val="110"/>
        </w:rPr>
        <w:t>Funeral</w:t>
      </w:r>
      <w:r w:rsidRPr="00DD7BD1">
        <w:rPr>
          <w:rFonts w:ascii="Calibri" w:hAnsi="Calibri" w:cs="Calibri"/>
          <w:spacing w:val="-13"/>
          <w:w w:val="110"/>
        </w:rPr>
        <w:t xml:space="preserve"> </w:t>
      </w:r>
      <w:r w:rsidRPr="00DD7BD1">
        <w:rPr>
          <w:rFonts w:ascii="Calibri" w:hAnsi="Calibri" w:cs="Calibri"/>
          <w:w w:val="110"/>
        </w:rPr>
        <w:t>Honors</w:t>
      </w:r>
      <w:r w:rsidRPr="00DD7BD1">
        <w:rPr>
          <w:rFonts w:ascii="Calibri" w:hAnsi="Calibri" w:cs="Calibri"/>
          <w:spacing w:val="-11"/>
          <w:w w:val="110"/>
        </w:rPr>
        <w:t xml:space="preserve"> </w:t>
      </w:r>
      <w:r w:rsidRPr="00DD7BD1">
        <w:rPr>
          <w:rFonts w:ascii="Calibri" w:hAnsi="Calibri" w:cs="Calibri"/>
          <w:w w:val="110"/>
        </w:rPr>
        <w:t>Detail provisions effective 8/2025</w:t>
      </w:r>
    </w:p>
    <w:p w14:paraId="227535A3"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lastRenderedPageBreak/>
        <w:t>MD State Handbook Addendum</w:t>
      </w:r>
    </w:p>
    <w:p w14:paraId="05978150"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rPr>
        <w:t>New</w:t>
      </w:r>
      <w:r w:rsidRPr="00DD7BD1">
        <w:rPr>
          <w:rFonts w:ascii="Calibri" w:hAnsi="Calibri" w:cs="Calibri"/>
          <w:spacing w:val="33"/>
        </w:rPr>
        <w:t xml:space="preserve"> </w:t>
      </w:r>
      <w:r w:rsidRPr="00DD7BD1">
        <w:rPr>
          <w:rFonts w:ascii="Calibri" w:hAnsi="Calibri" w:cs="Calibri"/>
          <w:spacing w:val="2"/>
        </w:rPr>
        <w:t>Family</w:t>
      </w:r>
      <w:r w:rsidRPr="00DD7BD1">
        <w:rPr>
          <w:rFonts w:ascii="Calibri" w:hAnsi="Calibri" w:cs="Calibri"/>
          <w:spacing w:val="34"/>
        </w:rPr>
        <w:t xml:space="preserve"> </w:t>
      </w:r>
      <w:r w:rsidRPr="00DD7BD1">
        <w:rPr>
          <w:rFonts w:ascii="Calibri" w:hAnsi="Calibri" w:cs="Calibri"/>
          <w:spacing w:val="2"/>
        </w:rPr>
        <w:t>Deployment</w:t>
      </w:r>
      <w:r w:rsidRPr="00DD7BD1">
        <w:rPr>
          <w:rFonts w:ascii="Calibri" w:hAnsi="Calibri" w:cs="Calibri"/>
          <w:spacing w:val="33"/>
        </w:rPr>
        <w:t xml:space="preserve"> </w:t>
      </w:r>
      <w:r w:rsidRPr="00DD7BD1">
        <w:rPr>
          <w:rFonts w:ascii="Calibri" w:hAnsi="Calibri" w:cs="Calibri"/>
          <w:spacing w:val="2"/>
        </w:rPr>
        <w:t>Leave</w:t>
      </w:r>
      <w:r w:rsidRPr="00DD7BD1">
        <w:rPr>
          <w:rFonts w:ascii="Calibri" w:hAnsi="Calibri" w:cs="Calibri"/>
          <w:spacing w:val="35"/>
        </w:rPr>
        <w:t xml:space="preserve"> </w:t>
      </w:r>
      <w:r w:rsidRPr="00DD7BD1">
        <w:rPr>
          <w:rFonts w:ascii="Calibri" w:hAnsi="Calibri" w:cs="Calibri"/>
          <w:spacing w:val="2"/>
        </w:rPr>
        <w:t>Policy</w:t>
      </w:r>
      <w:r w:rsidRPr="00DD7BD1">
        <w:rPr>
          <w:rFonts w:ascii="Calibri" w:hAnsi="Calibri" w:cs="Calibri"/>
          <w:spacing w:val="35"/>
        </w:rPr>
        <w:t xml:space="preserve"> </w:t>
      </w:r>
      <w:r w:rsidRPr="00DD7BD1">
        <w:rPr>
          <w:rFonts w:ascii="Calibri" w:hAnsi="Calibri" w:cs="Calibri"/>
          <w:spacing w:val="-4"/>
        </w:rPr>
        <w:t>added</w:t>
      </w:r>
    </w:p>
    <w:p w14:paraId="20489E66"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9"/>
          <w:w w:val="110"/>
        </w:rPr>
        <w:t xml:space="preserve"> </w:t>
      </w:r>
      <w:r w:rsidRPr="00DD7BD1">
        <w:rPr>
          <w:rFonts w:ascii="Calibri" w:hAnsi="Calibri" w:cs="Calibri"/>
          <w:spacing w:val="-2"/>
          <w:w w:val="110"/>
        </w:rPr>
        <w:t>Commentary</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additional</w:t>
      </w:r>
      <w:r w:rsidRPr="00DD7BD1">
        <w:rPr>
          <w:rFonts w:ascii="Calibri" w:hAnsi="Calibri" w:cs="Calibri"/>
          <w:spacing w:val="-7"/>
          <w:w w:val="110"/>
        </w:rPr>
        <w:t xml:space="preserve"> </w:t>
      </w:r>
      <w:r w:rsidRPr="00DD7BD1">
        <w:rPr>
          <w:rFonts w:ascii="Calibri" w:hAnsi="Calibri" w:cs="Calibri"/>
          <w:spacing w:val="-2"/>
          <w:w w:val="110"/>
        </w:rPr>
        <w:t>clarity</w:t>
      </w:r>
      <w:r w:rsidRPr="00DD7BD1">
        <w:rPr>
          <w:rFonts w:ascii="Calibri" w:hAnsi="Calibri" w:cs="Calibri"/>
          <w:spacing w:val="-8"/>
          <w:w w:val="110"/>
        </w:rPr>
        <w:t xml:space="preserve"> </w:t>
      </w:r>
      <w:r w:rsidRPr="00DD7BD1">
        <w:rPr>
          <w:rFonts w:ascii="Calibri" w:hAnsi="Calibri" w:cs="Calibri"/>
          <w:spacing w:val="-2"/>
          <w:w w:val="110"/>
        </w:rPr>
        <w:t>as</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6"/>
          <w:w w:val="110"/>
        </w:rPr>
        <w:t xml:space="preserve"> </w:t>
      </w:r>
      <w:r w:rsidRPr="00DD7BD1">
        <w:rPr>
          <w:rFonts w:ascii="Calibri" w:hAnsi="Calibri" w:cs="Calibri"/>
          <w:spacing w:val="-2"/>
          <w:w w:val="110"/>
        </w:rPr>
        <w:t>applicability</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small</w:t>
      </w:r>
      <w:r w:rsidRPr="00DD7BD1">
        <w:rPr>
          <w:rFonts w:ascii="Calibri" w:hAnsi="Calibri" w:cs="Calibri"/>
          <w:spacing w:val="-9"/>
          <w:w w:val="110"/>
        </w:rPr>
        <w:t xml:space="preserve"> </w:t>
      </w:r>
      <w:r w:rsidRPr="00DD7BD1">
        <w:rPr>
          <w:rFonts w:ascii="Calibri" w:hAnsi="Calibri" w:cs="Calibri"/>
          <w:spacing w:val="-2"/>
          <w:w w:val="110"/>
        </w:rPr>
        <w:t>employers</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 xml:space="preserve">State’s </w:t>
      </w:r>
      <w:r w:rsidRPr="00DD7BD1">
        <w:rPr>
          <w:rFonts w:ascii="Calibri" w:hAnsi="Calibri" w:cs="Calibri"/>
          <w:w w:val="110"/>
        </w:rPr>
        <w:t>Parental Leave</w:t>
      </w:r>
      <w:r w:rsidRPr="00DD7BD1">
        <w:rPr>
          <w:rFonts w:ascii="Calibri" w:hAnsi="Calibri" w:cs="Calibri"/>
          <w:spacing w:val="2"/>
          <w:w w:val="110"/>
        </w:rPr>
        <w:t xml:space="preserve"> </w:t>
      </w:r>
      <w:r w:rsidRPr="00DD7BD1">
        <w:rPr>
          <w:rFonts w:ascii="Calibri" w:hAnsi="Calibri" w:cs="Calibri"/>
          <w:spacing w:val="-2"/>
          <w:w w:val="110"/>
        </w:rPr>
        <w:t>Policy</w:t>
      </w:r>
    </w:p>
    <w:p w14:paraId="1CF17BB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ME State Handbook Addendum</w:t>
      </w:r>
    </w:p>
    <w:p w14:paraId="7723A19F"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Calibri" w:hAnsi="Calibri" w:cs="Calibri"/>
        </w:rPr>
      </w:pPr>
      <w:r w:rsidRPr="00DD7BD1">
        <w:rPr>
          <w:rFonts w:ascii="Calibri" w:hAnsi="Calibri" w:cs="Calibri"/>
          <w:w w:val="110"/>
        </w:rPr>
        <w:t>Updated</w:t>
      </w:r>
      <w:r w:rsidRPr="00DD7BD1">
        <w:rPr>
          <w:rFonts w:ascii="Calibri" w:hAnsi="Calibri" w:cs="Calibri"/>
          <w:spacing w:val="-5"/>
          <w:w w:val="110"/>
        </w:rPr>
        <w:t xml:space="preserve"> </w:t>
      </w:r>
      <w:r w:rsidRPr="00DD7BD1">
        <w:rPr>
          <w:rFonts w:ascii="Calibri" w:hAnsi="Calibri" w:cs="Calibri"/>
          <w:w w:val="110"/>
        </w:rPr>
        <w:t>Earned</w:t>
      </w:r>
      <w:r w:rsidRPr="00DD7BD1">
        <w:rPr>
          <w:rFonts w:ascii="Calibri" w:hAnsi="Calibri" w:cs="Calibri"/>
          <w:spacing w:val="-9"/>
          <w:w w:val="110"/>
        </w:rPr>
        <w:t xml:space="preserve"> </w:t>
      </w:r>
      <w:r w:rsidRPr="00DD7BD1">
        <w:rPr>
          <w:rFonts w:ascii="Calibri" w:hAnsi="Calibri" w:cs="Calibri"/>
          <w:w w:val="110"/>
        </w:rPr>
        <w:t>Paid</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updated</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reflect</w:t>
      </w:r>
      <w:r w:rsidRPr="00DD7BD1">
        <w:rPr>
          <w:rFonts w:ascii="Calibri" w:hAnsi="Calibri" w:cs="Calibri"/>
          <w:spacing w:val="-7"/>
          <w:w w:val="110"/>
        </w:rPr>
        <w:t xml:space="preserve"> </w:t>
      </w:r>
      <w:r w:rsidRPr="00DD7BD1">
        <w:rPr>
          <w:rFonts w:ascii="Calibri" w:hAnsi="Calibri" w:cs="Calibri"/>
          <w:w w:val="110"/>
        </w:rPr>
        <w:t>new</w:t>
      </w:r>
      <w:r w:rsidRPr="00DD7BD1">
        <w:rPr>
          <w:rFonts w:ascii="Calibri" w:hAnsi="Calibri" w:cs="Calibri"/>
          <w:spacing w:val="-9"/>
          <w:w w:val="110"/>
        </w:rPr>
        <w:t xml:space="preserve"> </w:t>
      </w:r>
      <w:r w:rsidRPr="00DD7BD1">
        <w:rPr>
          <w:rFonts w:ascii="Calibri" w:hAnsi="Calibri" w:cs="Calibri"/>
          <w:w w:val="110"/>
        </w:rPr>
        <w:t>allowance</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employees</w:t>
      </w:r>
      <w:r w:rsidRPr="00DD7BD1">
        <w:rPr>
          <w:rFonts w:ascii="Calibri" w:hAnsi="Calibri" w:cs="Calibri"/>
          <w:spacing w:val="-5"/>
          <w:w w:val="110"/>
        </w:rPr>
        <w:t xml:space="preserve"> </w:t>
      </w:r>
      <w:r w:rsidRPr="00DD7BD1">
        <w:rPr>
          <w:rFonts w:ascii="Calibri" w:hAnsi="Calibri" w:cs="Calibri"/>
          <w:w w:val="110"/>
        </w:rPr>
        <w:t>to be</w:t>
      </w:r>
      <w:r w:rsidRPr="00DD7BD1">
        <w:rPr>
          <w:rFonts w:ascii="Calibri" w:hAnsi="Calibri" w:cs="Calibri"/>
          <w:spacing w:val="-5"/>
          <w:w w:val="110"/>
        </w:rPr>
        <w:t xml:space="preserve"> </w:t>
      </w:r>
      <w:r w:rsidRPr="00DD7BD1">
        <w:rPr>
          <w:rFonts w:ascii="Calibri" w:hAnsi="Calibri" w:cs="Calibri"/>
          <w:w w:val="110"/>
        </w:rPr>
        <w:t>able</w:t>
      </w:r>
      <w:r w:rsidRPr="00DD7BD1">
        <w:rPr>
          <w:rFonts w:ascii="Calibri" w:hAnsi="Calibri" w:cs="Calibri"/>
          <w:spacing w:val="-6"/>
          <w:w w:val="110"/>
        </w:rPr>
        <w:t xml:space="preserve"> </w:t>
      </w:r>
      <w:r w:rsidRPr="00DD7BD1">
        <w:rPr>
          <w:rFonts w:ascii="Calibri" w:hAnsi="Calibri" w:cs="Calibri"/>
          <w:w w:val="110"/>
        </w:rPr>
        <w:t>to accrue</w:t>
      </w:r>
      <w:r w:rsidRPr="00DD7BD1">
        <w:rPr>
          <w:rFonts w:ascii="Calibri" w:hAnsi="Calibri" w:cs="Calibri"/>
          <w:spacing w:val="-12"/>
          <w:w w:val="110"/>
        </w:rPr>
        <w:t xml:space="preserve"> </w:t>
      </w:r>
      <w:r w:rsidRPr="00DD7BD1">
        <w:rPr>
          <w:rFonts w:ascii="Calibri" w:hAnsi="Calibri" w:cs="Calibri"/>
          <w:w w:val="110"/>
        </w:rPr>
        <w:t>up</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40</w:t>
      </w:r>
      <w:r w:rsidRPr="00DD7BD1">
        <w:rPr>
          <w:rFonts w:ascii="Calibri" w:hAnsi="Calibri" w:cs="Calibri"/>
          <w:spacing w:val="-13"/>
          <w:w w:val="110"/>
        </w:rPr>
        <w:t xml:space="preserve"> </w:t>
      </w:r>
      <w:r w:rsidRPr="00DD7BD1">
        <w:rPr>
          <w:rFonts w:ascii="Calibri" w:hAnsi="Calibri" w:cs="Calibri"/>
          <w:w w:val="110"/>
        </w:rPr>
        <w:t>hrs./yr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carry</w:t>
      </w:r>
      <w:r w:rsidRPr="00DD7BD1">
        <w:rPr>
          <w:rFonts w:ascii="Calibri" w:hAnsi="Calibri" w:cs="Calibri"/>
          <w:spacing w:val="-12"/>
          <w:w w:val="110"/>
        </w:rPr>
        <w:t xml:space="preserve"> </w:t>
      </w:r>
      <w:r w:rsidRPr="00DD7BD1">
        <w:rPr>
          <w:rFonts w:ascii="Calibri" w:hAnsi="Calibri" w:cs="Calibri"/>
          <w:w w:val="110"/>
        </w:rPr>
        <w:t>over</w:t>
      </w:r>
      <w:r w:rsidRPr="00DD7BD1">
        <w:rPr>
          <w:rFonts w:ascii="Calibri" w:hAnsi="Calibri" w:cs="Calibri"/>
          <w:spacing w:val="-10"/>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into</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calendar</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change</w:t>
      </w:r>
      <w:r w:rsidRPr="00DD7BD1">
        <w:rPr>
          <w:rFonts w:ascii="Calibri" w:hAnsi="Calibri" w:cs="Calibri"/>
          <w:spacing w:val="-12"/>
          <w:w w:val="110"/>
        </w:rPr>
        <w:t xml:space="preserve"> </w:t>
      </w:r>
      <w:r w:rsidRPr="00DD7BD1">
        <w:rPr>
          <w:rFonts w:ascii="Calibri" w:hAnsi="Calibri" w:cs="Calibri"/>
          <w:w w:val="110"/>
        </w:rPr>
        <w:t>goes</w:t>
      </w:r>
      <w:r w:rsidRPr="00DD7BD1">
        <w:rPr>
          <w:rFonts w:ascii="Calibri" w:hAnsi="Calibri" w:cs="Calibri"/>
          <w:spacing w:val="-9"/>
          <w:w w:val="110"/>
        </w:rPr>
        <w:t xml:space="preserve"> </w:t>
      </w:r>
      <w:r w:rsidRPr="00DD7BD1">
        <w:rPr>
          <w:rFonts w:ascii="Calibri" w:hAnsi="Calibri" w:cs="Calibri"/>
          <w:w w:val="110"/>
        </w:rPr>
        <w:t>into effect</w:t>
      </w:r>
      <w:r w:rsidRPr="00DD7BD1">
        <w:rPr>
          <w:rFonts w:ascii="Calibri" w:hAnsi="Calibri" w:cs="Calibri"/>
          <w:spacing w:val="-4"/>
          <w:w w:val="110"/>
        </w:rPr>
        <w:t xml:space="preserve"> </w:t>
      </w:r>
      <w:r w:rsidRPr="00DD7BD1">
        <w:rPr>
          <w:rFonts w:ascii="Calibri" w:hAnsi="Calibri" w:cs="Calibri"/>
          <w:w w:val="110"/>
        </w:rPr>
        <w:t>9/24/25.</w:t>
      </w:r>
    </w:p>
    <w:p w14:paraId="2CFC4CE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MN State Handbook Addendum</w:t>
      </w:r>
    </w:p>
    <w:p w14:paraId="661FAC75"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St</w:t>
      </w:r>
      <w:r w:rsidRPr="00DD7BD1">
        <w:rPr>
          <w:rFonts w:ascii="Calibri" w:hAnsi="Calibri" w:cs="Calibri"/>
          <w:spacing w:val="-10"/>
          <w:w w:val="110"/>
        </w:rPr>
        <w:t xml:space="preserve"> </w:t>
      </w:r>
      <w:r w:rsidRPr="00DD7BD1">
        <w:rPr>
          <w:rFonts w:ascii="Calibri" w:hAnsi="Calibri" w:cs="Calibri"/>
          <w:spacing w:val="-2"/>
          <w:w w:val="110"/>
        </w:rPr>
        <w:t>Paul</w:t>
      </w:r>
      <w:r w:rsidRPr="00DD7BD1">
        <w:rPr>
          <w:rFonts w:ascii="Calibri" w:hAnsi="Calibri" w:cs="Calibri"/>
          <w:spacing w:val="-10"/>
          <w:w w:val="110"/>
        </w:rPr>
        <w:t xml:space="preserve"> </w:t>
      </w:r>
      <w:r w:rsidRPr="00DD7BD1">
        <w:rPr>
          <w:rFonts w:ascii="Calibri" w:hAnsi="Calibri" w:cs="Calibri"/>
          <w:spacing w:val="-2"/>
          <w:w w:val="110"/>
        </w:rPr>
        <w:t>Sick</w:t>
      </w:r>
      <w:r w:rsidRPr="00DD7BD1">
        <w:rPr>
          <w:rFonts w:ascii="Calibri" w:hAnsi="Calibri" w:cs="Calibri"/>
          <w:spacing w:val="-10"/>
          <w:w w:val="110"/>
        </w:rPr>
        <w:t xml:space="preserve"> </w:t>
      </w:r>
      <w:r w:rsidRPr="00DD7BD1">
        <w:rPr>
          <w:rFonts w:ascii="Calibri" w:hAnsi="Calibri" w:cs="Calibri"/>
          <w:spacing w:val="-2"/>
          <w:w w:val="110"/>
        </w:rPr>
        <w:t>&amp;</w:t>
      </w:r>
      <w:r w:rsidRPr="00DD7BD1">
        <w:rPr>
          <w:rFonts w:ascii="Calibri" w:hAnsi="Calibri" w:cs="Calibri"/>
          <w:spacing w:val="-8"/>
          <w:w w:val="110"/>
        </w:rPr>
        <w:t xml:space="preserve"> </w:t>
      </w:r>
      <w:r w:rsidRPr="00DD7BD1">
        <w:rPr>
          <w:rFonts w:ascii="Calibri" w:hAnsi="Calibri" w:cs="Calibri"/>
          <w:spacing w:val="-2"/>
          <w:w w:val="110"/>
        </w:rPr>
        <w:t>Safe</w:t>
      </w:r>
      <w:r w:rsidRPr="00DD7BD1">
        <w:rPr>
          <w:rFonts w:ascii="Calibri" w:hAnsi="Calibri" w:cs="Calibri"/>
          <w:spacing w:val="-8"/>
          <w:w w:val="110"/>
        </w:rPr>
        <w:t xml:space="preserve"> </w:t>
      </w:r>
      <w:r w:rsidRPr="00DD7BD1">
        <w:rPr>
          <w:rFonts w:ascii="Calibri" w:hAnsi="Calibri" w:cs="Calibri"/>
          <w:spacing w:val="-2"/>
          <w:w w:val="110"/>
        </w:rPr>
        <w:t>Policy</w:t>
      </w:r>
      <w:r w:rsidRPr="00DD7BD1">
        <w:rPr>
          <w:rFonts w:ascii="Calibri" w:hAnsi="Calibri" w:cs="Calibri"/>
          <w:spacing w:val="-7"/>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include</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City’s</w:t>
      </w:r>
      <w:r w:rsidRPr="00DD7BD1">
        <w:rPr>
          <w:rFonts w:ascii="Calibri" w:hAnsi="Calibri" w:cs="Calibri"/>
          <w:spacing w:val="-9"/>
          <w:w w:val="110"/>
        </w:rPr>
        <w:t xml:space="preserve"> </w:t>
      </w:r>
      <w:r w:rsidRPr="00DD7BD1">
        <w:rPr>
          <w:rFonts w:ascii="Calibri" w:hAnsi="Calibri" w:cs="Calibri"/>
          <w:spacing w:val="-2"/>
          <w:w w:val="110"/>
        </w:rPr>
        <w:t>Labor</w:t>
      </w:r>
      <w:r w:rsidRPr="00DD7BD1">
        <w:rPr>
          <w:rFonts w:ascii="Calibri" w:hAnsi="Calibri" w:cs="Calibri"/>
          <w:spacing w:val="-10"/>
          <w:w w:val="110"/>
        </w:rPr>
        <w:t xml:space="preserve"> </w:t>
      </w:r>
      <w:r w:rsidRPr="00DD7BD1">
        <w:rPr>
          <w:rFonts w:ascii="Calibri" w:hAnsi="Calibri" w:cs="Calibri"/>
          <w:spacing w:val="-2"/>
          <w:w w:val="110"/>
        </w:rPr>
        <w:t>Poster/Notice</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Policy</w:t>
      </w:r>
    </w:p>
    <w:p w14:paraId="6828039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MT State Handbook Addendum</w:t>
      </w:r>
    </w:p>
    <w:p w14:paraId="621E475D" w14:textId="77777777" w:rsidR="00E43496" w:rsidRPr="00DD7BD1"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Calibri" w:hAnsi="Calibri" w:cs="Calibri"/>
        </w:rPr>
      </w:pPr>
      <w:r w:rsidRPr="00DD7BD1">
        <w:rPr>
          <w:rFonts w:ascii="Calibri" w:hAnsi="Calibri" w:cs="Calibri"/>
          <w:w w:val="110"/>
        </w:rPr>
        <w:t>New</w:t>
      </w:r>
      <w:r w:rsidRPr="00DD7BD1">
        <w:rPr>
          <w:rFonts w:ascii="Calibri" w:hAnsi="Calibri" w:cs="Calibri"/>
          <w:spacing w:val="-5"/>
          <w:w w:val="110"/>
        </w:rPr>
        <w:t xml:space="preserve"> </w:t>
      </w:r>
      <w:r w:rsidRPr="00DD7BD1">
        <w:rPr>
          <w:rFonts w:ascii="Calibri" w:hAnsi="Calibri" w:cs="Calibri"/>
          <w:w w:val="110"/>
        </w:rPr>
        <w:t>Emergency</w:t>
      </w:r>
      <w:r w:rsidRPr="00DD7BD1">
        <w:rPr>
          <w:rFonts w:ascii="Calibri" w:hAnsi="Calibri" w:cs="Calibri"/>
          <w:spacing w:val="-7"/>
          <w:w w:val="110"/>
        </w:rPr>
        <w:t xml:space="preserve"> </w:t>
      </w:r>
      <w:r w:rsidRPr="00DD7BD1">
        <w:rPr>
          <w:rFonts w:ascii="Calibri" w:hAnsi="Calibri" w:cs="Calibri"/>
          <w:w w:val="110"/>
        </w:rPr>
        <w:t>Services</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added</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4"/>
          <w:w w:val="110"/>
        </w:rPr>
        <w:t xml:space="preserve"> </w:t>
      </w:r>
      <w:r w:rsidRPr="00DD7BD1">
        <w:rPr>
          <w:rFonts w:ascii="Calibri" w:hAnsi="Calibri" w:cs="Calibri"/>
          <w:spacing w:val="-2"/>
          <w:w w:val="110"/>
        </w:rPr>
        <w:t>10/1/2025</w:t>
      </w:r>
    </w:p>
    <w:p w14:paraId="3EA4ABA1"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NE State Handbook Addendum</w:t>
      </w:r>
    </w:p>
    <w:p w14:paraId="4E590818"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New</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Sick</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2"/>
          <w:w w:val="110"/>
        </w:rPr>
        <w:t xml:space="preserve"> </w:t>
      </w:r>
      <w:r w:rsidRPr="00DD7BD1">
        <w:rPr>
          <w:rFonts w:ascii="Calibri" w:hAnsi="Calibri" w:cs="Calibri"/>
          <w:w w:val="110"/>
        </w:rPr>
        <w:t>Policy</w:t>
      </w:r>
      <w:r w:rsidRPr="00DD7BD1">
        <w:rPr>
          <w:rFonts w:ascii="Calibri" w:hAnsi="Calibri" w:cs="Calibri"/>
          <w:spacing w:val="-2"/>
          <w:w w:val="110"/>
        </w:rPr>
        <w:t xml:space="preserve"> </w:t>
      </w:r>
      <w:r w:rsidRPr="00DD7BD1">
        <w:rPr>
          <w:rFonts w:ascii="Calibri" w:hAnsi="Calibri" w:cs="Calibri"/>
          <w:w w:val="110"/>
        </w:rPr>
        <w:t>ahead</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3"/>
          <w:w w:val="110"/>
        </w:rPr>
        <w:t xml:space="preserve"> </w:t>
      </w:r>
      <w:r w:rsidRPr="00DD7BD1">
        <w:rPr>
          <w:rFonts w:ascii="Calibri" w:hAnsi="Calibri" w:cs="Calibri"/>
          <w:w w:val="110"/>
        </w:rPr>
        <w:t>10/1/25</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6"/>
          <w:w w:val="110"/>
        </w:rPr>
        <w:t xml:space="preserve"> </w:t>
      </w:r>
      <w:r w:rsidRPr="00DD7BD1">
        <w:rPr>
          <w:rFonts w:ascii="Calibri" w:hAnsi="Calibri" w:cs="Calibri"/>
          <w:w w:val="110"/>
        </w:rPr>
        <w:t>date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regulatory</w:t>
      </w:r>
      <w:r w:rsidRPr="00DD7BD1">
        <w:rPr>
          <w:rFonts w:ascii="Calibri" w:hAnsi="Calibri" w:cs="Calibri"/>
          <w:spacing w:val="-5"/>
          <w:w w:val="110"/>
        </w:rPr>
        <w:t xml:space="preserve"> </w:t>
      </w:r>
      <w:r w:rsidRPr="00DD7BD1">
        <w:rPr>
          <w:rFonts w:ascii="Calibri" w:hAnsi="Calibri" w:cs="Calibri"/>
          <w:spacing w:val="-2"/>
          <w:w w:val="110"/>
        </w:rPr>
        <w:t>provision.</w:t>
      </w:r>
    </w:p>
    <w:p w14:paraId="48985AEF"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NV State Handbook Addendum</w:t>
      </w:r>
    </w:p>
    <w:p w14:paraId="17E550F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rPr>
        <w:t>New</w:t>
      </w:r>
      <w:r w:rsidRPr="00DD7BD1">
        <w:rPr>
          <w:rFonts w:ascii="Calibri" w:hAnsi="Calibri" w:cs="Calibri"/>
          <w:spacing w:val="27"/>
        </w:rPr>
        <w:t xml:space="preserve"> </w:t>
      </w:r>
      <w:r w:rsidRPr="00DD7BD1">
        <w:rPr>
          <w:rFonts w:ascii="Calibri" w:hAnsi="Calibri" w:cs="Calibri"/>
        </w:rPr>
        <w:t>Civil</w:t>
      </w:r>
      <w:r w:rsidRPr="00DD7BD1">
        <w:rPr>
          <w:rFonts w:ascii="Calibri" w:hAnsi="Calibri" w:cs="Calibri"/>
          <w:spacing w:val="29"/>
        </w:rPr>
        <w:t xml:space="preserve"> </w:t>
      </w:r>
      <w:r w:rsidRPr="00DD7BD1">
        <w:rPr>
          <w:rFonts w:ascii="Calibri" w:hAnsi="Calibri" w:cs="Calibri"/>
        </w:rPr>
        <w:t>Air</w:t>
      </w:r>
      <w:r w:rsidRPr="00DD7BD1">
        <w:rPr>
          <w:rFonts w:ascii="Calibri" w:hAnsi="Calibri" w:cs="Calibri"/>
          <w:spacing w:val="29"/>
        </w:rPr>
        <w:t xml:space="preserve"> </w:t>
      </w:r>
      <w:r w:rsidRPr="00DD7BD1">
        <w:rPr>
          <w:rFonts w:ascii="Calibri" w:hAnsi="Calibri" w:cs="Calibri"/>
        </w:rPr>
        <w:t>Patrol</w:t>
      </w:r>
      <w:r w:rsidRPr="00DD7BD1">
        <w:rPr>
          <w:rFonts w:ascii="Calibri" w:hAnsi="Calibri" w:cs="Calibri"/>
          <w:spacing w:val="29"/>
        </w:rPr>
        <w:t xml:space="preserve"> </w:t>
      </w:r>
      <w:r w:rsidRPr="00DD7BD1">
        <w:rPr>
          <w:rFonts w:ascii="Calibri" w:hAnsi="Calibri" w:cs="Calibri"/>
        </w:rPr>
        <w:t>Leave</w:t>
      </w:r>
      <w:r w:rsidRPr="00DD7BD1">
        <w:rPr>
          <w:rFonts w:ascii="Calibri" w:hAnsi="Calibri" w:cs="Calibri"/>
          <w:spacing w:val="32"/>
        </w:rPr>
        <w:t xml:space="preserve"> </w:t>
      </w:r>
      <w:r w:rsidRPr="00DD7BD1">
        <w:rPr>
          <w:rFonts w:ascii="Calibri" w:hAnsi="Calibri" w:cs="Calibri"/>
        </w:rPr>
        <w:t>Policy</w:t>
      </w:r>
      <w:r w:rsidRPr="00DD7BD1">
        <w:rPr>
          <w:rFonts w:ascii="Calibri" w:hAnsi="Calibri" w:cs="Calibri"/>
          <w:spacing w:val="33"/>
        </w:rPr>
        <w:t xml:space="preserve"> </w:t>
      </w:r>
      <w:r w:rsidRPr="00DD7BD1">
        <w:rPr>
          <w:rFonts w:ascii="Calibri" w:hAnsi="Calibri" w:cs="Calibri"/>
        </w:rPr>
        <w:t>effective</w:t>
      </w:r>
      <w:r w:rsidRPr="00DD7BD1">
        <w:rPr>
          <w:rFonts w:ascii="Calibri" w:hAnsi="Calibri" w:cs="Calibri"/>
          <w:spacing w:val="29"/>
        </w:rPr>
        <w:t xml:space="preserve"> </w:t>
      </w:r>
      <w:r w:rsidRPr="00DD7BD1">
        <w:rPr>
          <w:rFonts w:ascii="Calibri" w:hAnsi="Calibri" w:cs="Calibri"/>
          <w:spacing w:val="-2"/>
        </w:rPr>
        <w:t>10/1/25</w:t>
      </w:r>
    </w:p>
    <w:p w14:paraId="53604B9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PA State Handbook Addendum</w:t>
      </w:r>
    </w:p>
    <w:p w14:paraId="3041496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Sick</w:t>
      </w:r>
      <w:r w:rsidRPr="00DD7BD1">
        <w:rPr>
          <w:rFonts w:ascii="Calibri" w:hAnsi="Calibri" w:cs="Calibri"/>
          <w:spacing w:val="-3"/>
          <w:w w:val="110"/>
        </w:rPr>
        <w:t xml:space="preserve"> </w:t>
      </w:r>
      <w:r w:rsidRPr="00DD7BD1">
        <w:rPr>
          <w:rFonts w:ascii="Calibri" w:hAnsi="Calibri" w:cs="Calibri"/>
          <w:w w:val="110"/>
        </w:rPr>
        <w:t>Time</w:t>
      </w:r>
      <w:r w:rsidRPr="00DD7BD1">
        <w:rPr>
          <w:rFonts w:ascii="Calibri" w:hAnsi="Calibri" w:cs="Calibri"/>
          <w:spacing w:val="3"/>
          <w:w w:val="110"/>
        </w:rPr>
        <w:t xml:space="preserve"> </w:t>
      </w:r>
      <w:r w:rsidRPr="00DD7BD1">
        <w:rPr>
          <w:rFonts w:ascii="Calibri" w:hAnsi="Calibri" w:cs="Calibri"/>
          <w:w w:val="110"/>
        </w:rPr>
        <w:t>Policy</w:t>
      </w:r>
      <w:r w:rsidRPr="00DD7BD1">
        <w:rPr>
          <w:rFonts w:ascii="Calibri" w:hAnsi="Calibri" w:cs="Calibri"/>
          <w:spacing w:val="3"/>
          <w:w w:val="110"/>
        </w:rPr>
        <w:t xml:space="preserve"> </w:t>
      </w:r>
      <w:r w:rsidRPr="00DD7BD1">
        <w:rPr>
          <w:rFonts w:ascii="Calibri" w:hAnsi="Calibri" w:cs="Calibri"/>
          <w:w w:val="110"/>
        </w:rPr>
        <w:t>verbiage</w:t>
      </w:r>
      <w:r w:rsidRPr="00DD7BD1">
        <w:rPr>
          <w:rFonts w:ascii="Calibri" w:hAnsi="Calibri" w:cs="Calibri"/>
          <w:spacing w:val="1"/>
          <w:w w:val="110"/>
        </w:rPr>
        <w:t xml:space="preserve"> </w:t>
      </w:r>
      <w:r w:rsidRPr="00DD7BD1">
        <w:rPr>
          <w:rFonts w:ascii="Calibri" w:hAnsi="Calibri" w:cs="Calibri"/>
          <w:spacing w:val="-2"/>
          <w:w w:val="110"/>
        </w:rPr>
        <w:t>updated</w:t>
      </w:r>
    </w:p>
    <w:p w14:paraId="53A9FB4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Pittsburg</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4"/>
          <w:w w:val="110"/>
        </w:rPr>
        <w:t xml:space="preserve"> </w:t>
      </w:r>
      <w:r w:rsidRPr="00DD7BD1">
        <w:rPr>
          <w:rFonts w:ascii="Calibri" w:hAnsi="Calibri" w:cs="Calibri"/>
          <w:w w:val="110"/>
        </w:rPr>
        <w:t>Sick</w:t>
      </w:r>
      <w:r w:rsidRPr="00DD7BD1">
        <w:rPr>
          <w:rFonts w:ascii="Calibri" w:hAnsi="Calibri" w:cs="Calibri"/>
          <w:spacing w:val="9"/>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verbiage</w:t>
      </w:r>
      <w:r w:rsidRPr="00DD7BD1">
        <w:rPr>
          <w:rFonts w:ascii="Calibri" w:hAnsi="Calibri" w:cs="Calibri"/>
          <w:spacing w:val="8"/>
          <w:w w:val="110"/>
        </w:rPr>
        <w:t xml:space="preserve"> </w:t>
      </w:r>
      <w:r w:rsidRPr="00DD7BD1">
        <w:rPr>
          <w:rFonts w:ascii="Calibri" w:hAnsi="Calibri" w:cs="Calibri"/>
          <w:w w:val="110"/>
        </w:rPr>
        <w:t>updated</w:t>
      </w:r>
      <w:r w:rsidRPr="00DD7BD1">
        <w:rPr>
          <w:rFonts w:ascii="Calibri" w:hAnsi="Calibri" w:cs="Calibri"/>
          <w:spacing w:val="8"/>
          <w:w w:val="110"/>
        </w:rPr>
        <w:t xml:space="preserve"> </w:t>
      </w:r>
      <w:r w:rsidRPr="00DD7BD1">
        <w:rPr>
          <w:rFonts w:ascii="Calibri" w:hAnsi="Calibri" w:cs="Calibri"/>
          <w:w w:val="110"/>
        </w:rPr>
        <w:t>ahead</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7"/>
          <w:w w:val="110"/>
        </w:rPr>
        <w:t xml:space="preserve"> </w:t>
      </w:r>
      <w:r w:rsidRPr="00DD7BD1">
        <w:rPr>
          <w:rFonts w:ascii="Calibri" w:hAnsi="Calibri" w:cs="Calibri"/>
          <w:w w:val="110"/>
        </w:rPr>
        <w:t>1/1/2026</w:t>
      </w:r>
      <w:r w:rsidRPr="00DD7BD1">
        <w:rPr>
          <w:rFonts w:ascii="Calibri" w:hAnsi="Calibri" w:cs="Calibri"/>
          <w:spacing w:val="6"/>
          <w:w w:val="110"/>
        </w:rPr>
        <w:t xml:space="preserve"> </w:t>
      </w:r>
      <w:r w:rsidRPr="00DD7BD1">
        <w:rPr>
          <w:rFonts w:ascii="Calibri" w:hAnsi="Calibri" w:cs="Calibri"/>
          <w:w w:val="110"/>
        </w:rPr>
        <w:t>effective</w:t>
      </w:r>
      <w:r w:rsidRPr="00DD7BD1">
        <w:rPr>
          <w:rFonts w:ascii="Calibri" w:hAnsi="Calibri" w:cs="Calibri"/>
          <w:spacing w:val="8"/>
          <w:w w:val="110"/>
        </w:rPr>
        <w:t xml:space="preserve"> </w:t>
      </w:r>
      <w:r w:rsidRPr="00DD7BD1">
        <w:rPr>
          <w:rFonts w:ascii="Calibri" w:hAnsi="Calibri" w:cs="Calibri"/>
          <w:spacing w:val="-4"/>
          <w:w w:val="110"/>
        </w:rPr>
        <w:t>date</w:t>
      </w:r>
    </w:p>
    <w:p w14:paraId="7DFB1BB7" w14:textId="659DE283"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Paid Sick</w:t>
      </w:r>
      <w:r w:rsidRPr="00DD7BD1">
        <w:rPr>
          <w:rFonts w:ascii="Calibri" w:hAnsi="Calibri" w:cs="Calibri"/>
          <w:spacing w:val="1"/>
          <w:w w:val="110"/>
        </w:rPr>
        <w:t xml:space="preserve"> </w:t>
      </w:r>
      <w:r w:rsidRPr="00DD7BD1">
        <w:rPr>
          <w:rFonts w:ascii="Calibri" w:hAnsi="Calibri" w:cs="Calibri"/>
          <w:w w:val="110"/>
        </w:rPr>
        <w:t>&amp;</w:t>
      </w:r>
      <w:r w:rsidRPr="00DD7BD1">
        <w:rPr>
          <w:rFonts w:ascii="Calibri" w:hAnsi="Calibri" w:cs="Calibri"/>
          <w:spacing w:val="-3"/>
          <w:w w:val="110"/>
        </w:rPr>
        <w:t xml:space="preserve"> </w:t>
      </w:r>
      <w:r w:rsidRPr="00DD7BD1">
        <w:rPr>
          <w:rFonts w:ascii="Calibri" w:hAnsi="Calibri" w:cs="Calibri"/>
          <w:w w:val="110"/>
        </w:rPr>
        <w:t>Allegheny</w:t>
      </w:r>
      <w:r w:rsidRPr="00DD7BD1">
        <w:rPr>
          <w:rFonts w:ascii="Calibri" w:hAnsi="Calibri" w:cs="Calibri"/>
          <w:spacing w:val="-1"/>
          <w:w w:val="110"/>
        </w:rPr>
        <w:t xml:space="preserve"> </w:t>
      </w:r>
      <w:r w:rsidRPr="00DD7BD1">
        <w:rPr>
          <w:rFonts w:ascii="Calibri" w:hAnsi="Calibri" w:cs="Calibri"/>
          <w:w w:val="110"/>
        </w:rPr>
        <w:t>County</w:t>
      </w:r>
      <w:r w:rsidRPr="00DD7BD1">
        <w:rPr>
          <w:rFonts w:ascii="Calibri" w:hAnsi="Calibri" w:cs="Calibri"/>
          <w:spacing w:val="-1"/>
          <w:w w:val="110"/>
        </w:rPr>
        <w:t xml:space="preserve"> </w:t>
      </w:r>
      <w:r w:rsidRPr="00DD7BD1">
        <w:rPr>
          <w:rFonts w:ascii="Calibri" w:hAnsi="Calibri" w:cs="Calibri"/>
          <w:w w:val="110"/>
        </w:rPr>
        <w:t>Paid</w:t>
      </w:r>
      <w:r w:rsidRPr="00DD7BD1">
        <w:rPr>
          <w:rFonts w:ascii="Calibri" w:hAnsi="Calibri" w:cs="Calibri"/>
          <w:spacing w:val="-3"/>
          <w:w w:val="110"/>
        </w:rPr>
        <w:t xml:space="preserve"> </w:t>
      </w:r>
      <w:r w:rsidRPr="00DD7BD1">
        <w:rPr>
          <w:rFonts w:ascii="Calibri" w:hAnsi="Calibri" w:cs="Calibri"/>
          <w:w w:val="110"/>
        </w:rPr>
        <w:t>Sick</w:t>
      </w:r>
      <w:r w:rsidRPr="00DD7BD1">
        <w:rPr>
          <w:rFonts w:ascii="Calibri" w:hAnsi="Calibri" w:cs="Calibri"/>
          <w:spacing w:val="-4"/>
          <w:w w:val="110"/>
        </w:rPr>
        <w:t xml:space="preserve"> </w:t>
      </w:r>
      <w:r w:rsidRPr="00DD7BD1">
        <w:rPr>
          <w:rFonts w:ascii="Calibri" w:hAnsi="Calibri" w:cs="Calibri"/>
          <w:w w:val="110"/>
        </w:rPr>
        <w:t>Time</w:t>
      </w:r>
      <w:r w:rsidRPr="00DD7BD1">
        <w:rPr>
          <w:rFonts w:ascii="Calibri" w:hAnsi="Calibri" w:cs="Calibri"/>
          <w:spacing w:val="1"/>
          <w:w w:val="110"/>
        </w:rPr>
        <w:t xml:space="preserve"> </w:t>
      </w:r>
      <w:r w:rsidRPr="00DD7BD1">
        <w:rPr>
          <w:rFonts w:ascii="Calibri" w:hAnsi="Calibri" w:cs="Calibri"/>
          <w:w w:val="110"/>
        </w:rPr>
        <w:t>clarifying</w:t>
      </w:r>
      <w:r w:rsidRPr="00DD7BD1">
        <w:rPr>
          <w:rFonts w:ascii="Calibri" w:hAnsi="Calibri" w:cs="Calibri"/>
          <w:spacing w:val="-1"/>
          <w:w w:val="110"/>
        </w:rPr>
        <w:t xml:space="preserve"> </w:t>
      </w:r>
      <w:r w:rsidRPr="00DD7BD1">
        <w:rPr>
          <w:rFonts w:ascii="Calibri" w:hAnsi="Calibri" w:cs="Calibri"/>
          <w:w w:val="110"/>
        </w:rPr>
        <w:t>policy</w:t>
      </w:r>
      <w:r w:rsidRPr="00DD7BD1">
        <w:rPr>
          <w:rFonts w:ascii="Calibri" w:hAnsi="Calibri" w:cs="Calibri"/>
          <w:spacing w:val="-1"/>
          <w:w w:val="110"/>
        </w:rPr>
        <w:t xml:space="preserve"> </w:t>
      </w:r>
      <w:r w:rsidRPr="00DD7BD1">
        <w:rPr>
          <w:rFonts w:ascii="Calibri" w:hAnsi="Calibri" w:cs="Calibri"/>
          <w:w w:val="110"/>
        </w:rPr>
        <w:t>language</w:t>
      </w:r>
      <w:r w:rsidRPr="00DD7BD1">
        <w:rPr>
          <w:rFonts w:ascii="Calibri" w:hAnsi="Calibri" w:cs="Calibri"/>
          <w:spacing w:val="-3"/>
          <w:w w:val="110"/>
        </w:rPr>
        <w:t xml:space="preserve"> </w:t>
      </w:r>
      <w:r w:rsidRPr="00DD7BD1">
        <w:rPr>
          <w:rFonts w:ascii="Calibri" w:hAnsi="Calibri" w:cs="Calibri"/>
          <w:spacing w:val="-2"/>
          <w:w w:val="110"/>
        </w:rPr>
        <w:t>added</w:t>
      </w:r>
    </w:p>
    <w:p w14:paraId="105B4242" w14:textId="77777777" w:rsidR="00E43496" w:rsidRPr="00DD7BD1" w:rsidRDefault="00E43496"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p>
    <w:p w14:paraId="71130E75" w14:textId="3CF14E72" w:rsidR="002C1B32" w:rsidRPr="00DD7BD1" w:rsidRDefault="002C1B32"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July 2025</w:t>
      </w:r>
    </w:p>
    <w:p w14:paraId="5FB1A891" w14:textId="77777777" w:rsidR="002C1B32" w:rsidRPr="00DD7BD1" w:rsidRDefault="002C1B32">
      <w:pPr>
        <w:pStyle w:val="Heading1"/>
        <w:numPr>
          <w:ilvl w:val="0"/>
          <w:numId w:val="227"/>
        </w:numPr>
        <w:shd w:val="clear" w:color="auto" w:fill="FFFFFF"/>
        <w:spacing w:before="0" w:beforeAutospacing="0" w:after="0" w:afterAutospacing="0"/>
        <w:ind w:left="1440"/>
        <w:rPr>
          <w:rFonts w:ascii="Calibri" w:eastAsiaTheme="minorHAnsi" w:hAnsi="Calibri" w:cs="Calibri"/>
          <w:color w:val="0070C0"/>
          <w:kern w:val="0"/>
          <w:sz w:val="23"/>
          <w:szCs w:val="23"/>
        </w:rPr>
      </w:pPr>
      <w:r w:rsidRPr="00DD7BD1">
        <w:rPr>
          <w:rFonts w:ascii="Calibri" w:eastAsiaTheme="minorHAnsi" w:hAnsi="Calibri" w:cs="Calibri"/>
          <w:color w:val="0070C0"/>
          <w:kern w:val="0"/>
          <w:sz w:val="23"/>
          <w:szCs w:val="23"/>
        </w:rPr>
        <w:t>AK State Handbook Addendum</w:t>
      </w:r>
    </w:p>
    <w:p w14:paraId="5AB4A5A9" w14:textId="7F9DB18F"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color w:val="0070C0"/>
          <w:kern w:val="0"/>
          <w:sz w:val="23"/>
          <w:szCs w:val="23"/>
        </w:rPr>
      </w:pPr>
      <w:r w:rsidRPr="00DD7BD1">
        <w:rPr>
          <w:rFonts w:ascii="Calibri" w:hAnsi="Calibri" w:cs="Calibri"/>
          <w:b w:val="0"/>
          <w:bCs w:val="0"/>
          <w:sz w:val="22"/>
          <w:szCs w:val="22"/>
        </w:rPr>
        <w:t>Advisory Notes were included in the new State Paid Sick Leave Policy when published.  This updated version removes the Advisory Note from the policy.</w:t>
      </w:r>
    </w:p>
    <w:p w14:paraId="235F68A8"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color w:val="0070C0"/>
          <w:kern w:val="0"/>
          <w:sz w:val="23"/>
          <w:szCs w:val="23"/>
        </w:rPr>
        <w:t>DE State Handbook Addendum</w:t>
      </w:r>
    </w:p>
    <w:p w14:paraId="5362944E" w14:textId="3670E073"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MN</w:t>
      </w:r>
      <w:r w:rsidRPr="00DD7BD1">
        <w:rPr>
          <w:rFonts w:ascii="Calibri" w:hAnsi="Calibri" w:cs="Calibri"/>
          <w:b w:val="0"/>
          <w:bCs w:val="0"/>
          <w:sz w:val="22"/>
          <w:szCs w:val="22"/>
        </w:rPr>
        <w:t xml:space="preserve"> </w:t>
      </w:r>
      <w:r w:rsidRPr="00DD7BD1">
        <w:rPr>
          <w:rFonts w:ascii="Calibri" w:eastAsiaTheme="minorHAnsi" w:hAnsi="Calibri" w:cs="Calibri"/>
          <w:color w:val="0070C0"/>
          <w:kern w:val="0"/>
          <w:sz w:val="23"/>
          <w:szCs w:val="23"/>
        </w:rPr>
        <w:t>State Handbook Addendum</w:t>
      </w:r>
    </w:p>
    <w:p w14:paraId="43438499" w14:textId="42890E5E"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kern w:val="0"/>
          <w:sz w:val="23"/>
          <w:szCs w:val="23"/>
        </w:rPr>
      </w:pPr>
      <w:r w:rsidRPr="00DD7BD1">
        <w:rPr>
          <w:rFonts w:ascii="Calibri" w:eastAsiaTheme="minorHAnsi" w:hAnsi="Calibri" w:cs="Calibri"/>
          <w:b w:val="0"/>
          <w:bCs w:val="0"/>
          <w:kern w:val="0"/>
          <w:sz w:val="23"/>
          <w:szCs w:val="23"/>
        </w:rPr>
        <w:t>Updated Family Medical Leave Policy removing MN specific requirements which are no longer applicable.</w:t>
      </w:r>
    </w:p>
    <w:p w14:paraId="605D3B1B"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RI State Handbook Addendum</w:t>
      </w:r>
    </w:p>
    <w:p w14:paraId="28D2706E" w14:textId="77777777"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New Policy added replacing former Pregnancy Accommodation Policy- Accommodation of Pregnancy-related and Menopause-related Conditions </w:t>
      </w:r>
    </w:p>
    <w:p w14:paraId="1B14C65C" w14:textId="51FE8DBC"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Paid Temporary Caregiver Insurance Benefits &amp; Leave Policy updated ahead of </w:t>
      </w:r>
      <w:r w:rsidRPr="00DD7BD1">
        <w:rPr>
          <w:rFonts w:ascii="Calibri" w:hAnsi="Calibri" w:cs="Calibri"/>
          <w:b w:val="0"/>
          <w:bCs w:val="0"/>
          <w:color w:val="C00000"/>
          <w:sz w:val="22"/>
          <w:szCs w:val="22"/>
        </w:rPr>
        <w:t xml:space="preserve">1.1.26 </w:t>
      </w:r>
      <w:r w:rsidRPr="00DD7BD1">
        <w:rPr>
          <w:rFonts w:ascii="Calibri" w:hAnsi="Calibri" w:cs="Calibri"/>
          <w:b w:val="0"/>
          <w:bCs w:val="0"/>
          <w:sz w:val="22"/>
          <w:szCs w:val="22"/>
        </w:rPr>
        <w:t>changes</w:t>
      </w:r>
    </w:p>
    <w:p w14:paraId="156DA9E0" w14:textId="77777777" w:rsidR="002C1B32" w:rsidRPr="00DD7BD1" w:rsidRDefault="002C1B32" w:rsidP="002C1B32">
      <w:pPr>
        <w:pStyle w:val="Heading1"/>
        <w:shd w:val="clear" w:color="auto" w:fill="FFFFFF"/>
        <w:spacing w:before="0" w:beforeAutospacing="0" w:after="0" w:afterAutospacing="0"/>
        <w:ind w:left="2160"/>
        <w:rPr>
          <w:rFonts w:ascii="Calibri" w:eastAsiaTheme="minorHAnsi" w:hAnsi="Calibri" w:cs="Calibri"/>
          <w:b w:val="0"/>
          <w:bCs w:val="0"/>
          <w:color w:val="0070C0"/>
          <w:kern w:val="0"/>
          <w:sz w:val="23"/>
          <w:szCs w:val="23"/>
        </w:rPr>
      </w:pPr>
    </w:p>
    <w:p w14:paraId="7E6635F6" w14:textId="1CDB1080" w:rsidR="008631FB" w:rsidRPr="00DD7BD1" w:rsidRDefault="008631FB"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June 2025</w:t>
      </w:r>
    </w:p>
    <w:p w14:paraId="4AA2DD6A"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CO State Handbook Addendum</w:t>
      </w:r>
    </w:p>
    <w:p w14:paraId="75357993" w14:textId="0BBEBD98"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b w:val="0"/>
          <w:bCs w:val="0"/>
          <w:kern w:val="0"/>
          <w:sz w:val="22"/>
          <w:szCs w:val="22"/>
        </w:rPr>
      </w:pPr>
      <w:r w:rsidRPr="00DD7BD1">
        <w:rPr>
          <w:rFonts w:ascii="Calibri" w:eastAsiaTheme="minorHAnsi" w:hAnsi="Calibri" w:cs="Calibri"/>
          <w:i/>
          <w:iCs/>
          <w:kern w:val="0"/>
          <w:sz w:val="22"/>
          <w:szCs w:val="22"/>
        </w:rPr>
        <w:t>Paid Family Medical Leave Policy</w:t>
      </w:r>
      <w:r w:rsidRPr="00DD7BD1">
        <w:rPr>
          <w:rFonts w:ascii="Calibri" w:eastAsiaTheme="minorHAnsi" w:hAnsi="Calibri" w:cs="Calibr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MN State Handbook Addendum</w:t>
      </w:r>
    </w:p>
    <w:p w14:paraId="564EC6D0" w14:textId="25DFE5A1"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i/>
          <w:iCs/>
          <w:kern w:val="0"/>
          <w:sz w:val="22"/>
          <w:szCs w:val="22"/>
        </w:rPr>
        <w:t>State Sick &amp; Safe Leave/Paid Sick Leave Policy</w:t>
      </w:r>
      <w:r w:rsidRPr="00DD7BD1">
        <w:rPr>
          <w:rFonts w:ascii="Calibri" w:eastAsiaTheme="minorHAnsi" w:hAnsi="Calibri" w:cs="Calibri"/>
          <w:b w:val="0"/>
          <w:bCs w:val="0"/>
          <w:kern w:val="0"/>
          <w:sz w:val="22"/>
          <w:szCs w:val="22"/>
        </w:rPr>
        <w:t xml:space="preserve"> updated to reflect the recently amended regulations (see under the Minnesota header for details)</w:t>
      </w:r>
    </w:p>
    <w:p w14:paraId="272E0337"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NY State Handbook Addendum</w:t>
      </w:r>
    </w:p>
    <w:p w14:paraId="2B3E0CCE" w14:textId="77777777" w:rsidR="008631FB"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 Paid Parental Leave Policy</w:t>
      </w:r>
      <w:r w:rsidRPr="00DD7BD1">
        <w:rPr>
          <w:rFonts w:ascii="Calibri" w:hAnsi="Calibri" w:cs="Calibri"/>
          <w:sz w:val="18"/>
          <w:szCs w:val="18"/>
        </w:rPr>
        <w:t xml:space="preserve"> </w:t>
      </w:r>
      <w:r w:rsidRPr="00DD7BD1">
        <w:rPr>
          <w:rFonts w:ascii="Calibri" w:hAnsi="Calibri" w:cs="Calibri"/>
        </w:rPr>
        <w:t>updated to include New York City reference language updates</w:t>
      </w:r>
    </w:p>
    <w:p w14:paraId="41B23E9A" w14:textId="2782716B" w:rsidR="00A5438C"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w:t>
      </w:r>
      <w:r w:rsidRPr="00DD7BD1">
        <w:rPr>
          <w:rFonts w:ascii="Calibri" w:hAnsi="Calibri" w:cs="Calibri"/>
          <w:b/>
          <w:bCs/>
          <w:i/>
          <w:iCs/>
          <w:u w:val="single"/>
        </w:rPr>
        <w:t>C</w:t>
      </w:r>
      <w:r w:rsidRPr="00DD7BD1">
        <w:rPr>
          <w:rFonts w:ascii="Calibri" w:hAnsi="Calibri" w:cs="Calibri"/>
          <w:b/>
          <w:bCs/>
          <w:i/>
          <w:iCs/>
        </w:rPr>
        <w:t xml:space="preserve"> Sick &amp; Safe Time Policy</w:t>
      </w:r>
      <w:r w:rsidRPr="00DD7BD1">
        <w:rPr>
          <w:rFonts w:ascii="Calibri" w:hAnsi="Calibri" w:cs="Calibri"/>
        </w:rPr>
        <w:t xml:space="preserve"> updated to include new clarification language under the “Additional Paid Parental Leave” section of the polic</w:t>
      </w:r>
      <w:r w:rsidR="0020395B" w:rsidRPr="00DD7BD1">
        <w:rPr>
          <w:rFonts w:ascii="Calibri" w:hAnsi="Calibri" w:cs="Calibri"/>
        </w:rPr>
        <w:t>y</w:t>
      </w:r>
    </w:p>
    <w:p w14:paraId="38CBB276" w14:textId="68A041CB"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lastRenderedPageBreak/>
        <w:t>NH</w:t>
      </w:r>
    </w:p>
    <w:p w14:paraId="60E2A15C" w14:textId="6E978466"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VT</w:t>
      </w:r>
    </w:p>
    <w:p w14:paraId="32859B48" w14:textId="344ADBA0" w:rsidR="008631FB"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1E60E05F"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4AE5CA3E" w14:textId="1D878DB8" w:rsidR="00A5438C" w:rsidRPr="00DD7BD1" w:rsidRDefault="00A5438C">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May 2025</w:t>
      </w:r>
    </w:p>
    <w:p w14:paraId="5F02B9C1" w14:textId="693A1DD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AK</w:t>
      </w:r>
    </w:p>
    <w:p w14:paraId="2ECA5599" w14:textId="4A7B800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w:t>
      </w:r>
    </w:p>
    <w:p w14:paraId="7E156F54" w14:textId="61039AA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IN</w:t>
      </w:r>
    </w:p>
    <w:p w14:paraId="5F2A9B51" w14:textId="7EF9CC1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NY</w:t>
      </w:r>
    </w:p>
    <w:p w14:paraId="0BAEC359" w14:textId="7F8CDDB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0A4BBCE6" w14:textId="77777777" w:rsidR="00A5438C" w:rsidRPr="00DD7BD1" w:rsidRDefault="00A5438C" w:rsidP="00A5438C">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3EB6C35C" w14:textId="006A575B" w:rsidR="00217064" w:rsidRPr="00DD7BD1" w:rsidRDefault="00217064">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April 2025</w:t>
      </w:r>
    </w:p>
    <w:p w14:paraId="19165EA1" w14:textId="4903A1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AL</w:t>
      </w:r>
    </w:p>
    <w:p w14:paraId="620A646B" w14:textId="0250DD39"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AZ</w:t>
      </w:r>
    </w:p>
    <w:p w14:paraId="7E3903AE" w14:textId="4AE9F3F0"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AR</w:t>
      </w:r>
    </w:p>
    <w:p w14:paraId="136D84A1" w14:textId="0882C751"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DC</w:t>
      </w:r>
    </w:p>
    <w:p w14:paraId="586CE2C3" w14:textId="25702C8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60FFD8BF" w14:textId="599994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w:t>
      </w:r>
    </w:p>
    <w:p w14:paraId="6ECEBE99" w14:textId="2EA952AB"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7DD1463D"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b w:val="0"/>
          <w:bCs w:val="0"/>
          <w:kern w:val="0"/>
          <w:sz w:val="22"/>
          <w:szCs w:val="22"/>
          <w:shd w:val="clear" w:color="auto" w:fill="FFFFFF"/>
        </w:rPr>
      </w:pPr>
    </w:p>
    <w:p w14:paraId="1BA232F0" w14:textId="6AEDC54B" w:rsidR="00ED4076" w:rsidRPr="00DD7BD1" w:rsidRDefault="00ED4076">
      <w:pPr>
        <w:pStyle w:val="Heading1"/>
        <w:numPr>
          <w:ilvl w:val="0"/>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w:t>
      </w:r>
      <w:r w:rsidR="00BD445F" w:rsidRPr="00DD7BD1">
        <w:rPr>
          <w:rFonts w:ascii="Calibri" w:hAnsi="Calibri" w:cs="Calibri"/>
          <w:color w:val="C00000"/>
          <w:kern w:val="0"/>
          <w:sz w:val="22"/>
          <w:szCs w:val="22"/>
          <w:shd w:val="clear" w:color="auto" w:fill="FFFFFF"/>
        </w:rPr>
        <w:t>anuary</w:t>
      </w:r>
      <w:r w:rsidRPr="00DD7BD1">
        <w:rPr>
          <w:rFonts w:ascii="Calibri" w:hAnsi="Calibri" w:cs="Calibri"/>
          <w:color w:val="C00000"/>
          <w:kern w:val="0"/>
          <w:sz w:val="22"/>
          <w:szCs w:val="22"/>
          <w:shd w:val="clear" w:color="auto" w:fill="FFFFFF"/>
        </w:rPr>
        <w:t xml:space="preserve"> 202</w:t>
      </w:r>
      <w:r w:rsidR="00BD445F" w:rsidRPr="00DD7BD1">
        <w:rPr>
          <w:rFonts w:ascii="Calibri" w:hAnsi="Calibri" w:cs="Calibri"/>
          <w:color w:val="C00000"/>
          <w:kern w:val="0"/>
          <w:sz w:val="22"/>
          <w:szCs w:val="22"/>
          <w:shd w:val="clear" w:color="auto" w:fill="FFFFFF"/>
        </w:rPr>
        <w:t>5</w:t>
      </w:r>
      <w:r w:rsidRPr="00DD7BD1">
        <w:rPr>
          <w:rFonts w:ascii="Calibri" w:hAnsi="Calibri" w:cs="Calibri"/>
          <w:b w:val="0"/>
          <w:bCs w:val="0"/>
          <w:kern w:val="0"/>
          <w:sz w:val="22"/>
          <w:szCs w:val="22"/>
          <w:shd w:val="clear" w:color="auto" w:fill="FFFFFF"/>
        </w:rPr>
        <w:t>:</w:t>
      </w:r>
    </w:p>
    <w:p w14:paraId="0C75AE60" w14:textId="7895409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Federal EEO Policy recommended update</w:t>
      </w:r>
    </w:p>
    <w:p w14:paraId="3D6C8B29" w14:textId="655F1A02"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California</w:t>
      </w:r>
    </w:p>
    <w:p w14:paraId="6E6F7596" w14:textId="7D70E1D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Colorado</w:t>
      </w:r>
    </w:p>
    <w:p w14:paraId="7E13783C" w14:textId="36AE768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Connecticut</w:t>
      </w:r>
    </w:p>
    <w:p w14:paraId="6B70FB7D" w14:textId="328FF6E3"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Illinois</w:t>
      </w:r>
    </w:p>
    <w:p w14:paraId="255C172E" w14:textId="3F814B8A"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Massachusetts</w:t>
      </w:r>
    </w:p>
    <w:p w14:paraId="4EA19238" w14:textId="20B8E90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Michigan</w:t>
      </w:r>
    </w:p>
    <w:p w14:paraId="24818044" w14:textId="1516ECFB"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Montana</w:t>
      </w:r>
    </w:p>
    <w:p w14:paraId="02B6AA83" w14:textId="0DF6C8C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New York</w:t>
      </w:r>
    </w:p>
    <w:p w14:paraId="21489203" w14:textId="01DE26B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Oregon</w:t>
      </w:r>
    </w:p>
    <w:p w14:paraId="34EECAE5" w14:textId="21B92671"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Rhode Island</w:t>
      </w:r>
    </w:p>
    <w:p w14:paraId="624C2678" w14:textId="730D2CC9"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 xml:space="preserve">Washington </w:t>
      </w:r>
    </w:p>
    <w:p w14:paraId="66970A34" w14:textId="765DBEA0"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Wisconsin</w:t>
      </w:r>
    </w:p>
    <w:p w14:paraId="11C581F8" w14:textId="77777777" w:rsidR="00D42C42" w:rsidRPr="00DD7BD1" w:rsidRDefault="00D42C42" w:rsidP="00D42C42">
      <w:pPr>
        <w:pStyle w:val="Heading1"/>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p>
    <w:p w14:paraId="243B4AD8" w14:textId="77777777" w:rsidR="001A580B" w:rsidRPr="00DD7BD1" w:rsidRDefault="001A580B" w:rsidP="001A580B">
      <w:pPr>
        <w:pStyle w:val="NormalWeb"/>
        <w:pBdr>
          <w:bottom w:val="single" w:sz="6" w:space="1" w:color="auto"/>
        </w:pBdr>
        <w:shd w:val="clear" w:color="auto" w:fill="FFFFFF"/>
        <w:spacing w:before="0" w:beforeAutospacing="0" w:after="0" w:afterAutospacing="0"/>
        <w:ind w:left="360"/>
        <w:rPr>
          <w:rFonts w:ascii="Calibri" w:hAnsi="Calibri" w:cs="Calibri"/>
          <w:b/>
          <w:bCs/>
          <w:color w:val="222222"/>
          <w:sz w:val="16"/>
          <w:szCs w:val="16"/>
        </w:rPr>
      </w:pPr>
    </w:p>
    <w:p w14:paraId="5255FFCC" w14:textId="77777777" w:rsidR="00E43496" w:rsidRDefault="00E43496" w:rsidP="001558B8">
      <w:pPr>
        <w:pStyle w:val="BodyText"/>
        <w:spacing w:after="0" w:line="240" w:lineRule="auto"/>
        <w:ind w:right="274"/>
        <w:rPr>
          <w:rFonts w:eastAsiaTheme="minorHAnsi" w:cs="Calibri"/>
          <w:b/>
          <w:bCs/>
          <w:color w:val="auto"/>
          <w:kern w:val="36"/>
          <w:szCs w:val="22"/>
        </w:rPr>
      </w:pPr>
    </w:p>
    <w:p w14:paraId="2F275C00" w14:textId="33EA891A" w:rsidR="00FE503A" w:rsidRPr="00FE503A" w:rsidRDefault="00FE503A" w:rsidP="008F584F">
      <w:pPr>
        <w:pStyle w:val="BodyText"/>
        <w:spacing w:after="0" w:line="240" w:lineRule="auto"/>
        <w:ind w:right="274"/>
        <w:rPr>
          <w:rFonts w:eastAsiaTheme="minorHAnsi" w:cs="Calibri"/>
          <w:b/>
          <w:bCs/>
          <w:color w:val="C00000"/>
          <w:kern w:val="36"/>
          <w:sz w:val="28"/>
          <w:szCs w:val="28"/>
        </w:rPr>
      </w:pPr>
      <w:r w:rsidRPr="00FE503A">
        <w:rPr>
          <w:rFonts w:eastAsiaTheme="minorHAnsi" w:cs="Calibri"/>
          <w:b/>
          <w:bCs/>
          <w:color w:val="C00000"/>
          <w:kern w:val="36"/>
          <w:sz w:val="28"/>
          <w:szCs w:val="28"/>
        </w:rPr>
        <w:t>April 2026 Alerts/Reminders:</w:t>
      </w:r>
    </w:p>
    <w:p w14:paraId="4F60820B" w14:textId="77777777" w:rsidR="00906C4C" w:rsidRPr="009B6798" w:rsidRDefault="00906C4C" w:rsidP="00906C4C">
      <w:pPr>
        <w:pStyle w:val="MainSectionHead"/>
        <w:spacing w:before="0" w:after="0" w:line="240" w:lineRule="auto"/>
        <w:rPr>
          <w:caps/>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sidRPr="009A18DC">
        <w:rPr>
          <w:caps/>
          <w:color w:val="0070C0"/>
        </w:rPr>
        <w:t>April 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May</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4469C60C" w14:textId="77777777" w:rsidR="00906C4C" w:rsidRPr="00906C4C" w:rsidRDefault="00906C4C" w:rsidP="00906C4C">
      <w:pPr>
        <w:pStyle w:val="MainSectionHead"/>
        <w:spacing w:before="0" w:after="0" w:line="240" w:lineRule="auto"/>
        <w:rPr>
          <w:caps/>
          <w:sz w:val="12"/>
          <w:szCs w:val="12"/>
        </w:rPr>
      </w:pPr>
    </w:p>
    <w:p w14:paraId="28DFA356" w14:textId="77777777" w:rsidR="00906C4C" w:rsidRDefault="00906C4C" w:rsidP="00906C4C">
      <w:pPr>
        <w:pStyle w:val="MainSectionHead"/>
        <w:spacing w:before="0" w:after="0" w:line="240" w:lineRule="auto"/>
        <w:rPr>
          <w:caps/>
          <w:color w:val="0070C0"/>
        </w:rPr>
      </w:pPr>
      <w:r w:rsidRPr="00AB5D31">
        <w:rPr>
          <w:caps/>
          <w:color w:val="0070C0"/>
        </w:rPr>
        <w:t xml:space="preserve">Reminder: </w:t>
      </w:r>
      <w:r w:rsidRPr="009B6798">
        <w:rPr>
          <w:caps/>
        </w:rPr>
        <w:t>Preparing for 2025 RxDC Reporting –</w:t>
      </w:r>
      <w:r w:rsidRPr="009B6798">
        <w:rPr>
          <w:caps/>
          <w:color w:val="0070C0"/>
        </w:rPr>
        <w:t xml:space="preserve"> </w:t>
      </w:r>
    </w:p>
    <w:p w14:paraId="12661DD5" w14:textId="4B049706" w:rsidR="00906C4C" w:rsidRDefault="00906C4C" w:rsidP="00906C4C">
      <w:pPr>
        <w:pStyle w:val="MainSectionHead"/>
        <w:spacing w:before="0" w:after="0" w:line="240" w:lineRule="auto"/>
        <w:rPr>
          <w:caps/>
          <w:color w:val="0070C0"/>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6D2BDA47" w14:textId="77777777" w:rsidR="00906C4C" w:rsidRPr="00906C4C" w:rsidRDefault="00906C4C" w:rsidP="00906C4C">
      <w:pPr>
        <w:pStyle w:val="MainSectionHead"/>
        <w:spacing w:before="0" w:after="0" w:line="240" w:lineRule="auto"/>
        <w:rPr>
          <w:caps/>
          <w:sz w:val="12"/>
          <w:szCs w:val="12"/>
        </w:rPr>
      </w:pPr>
    </w:p>
    <w:p w14:paraId="7293418D" w14:textId="77777777" w:rsidR="00906C4C" w:rsidRPr="003C482D" w:rsidRDefault="00906C4C" w:rsidP="00906C4C">
      <w:pPr>
        <w:rPr>
          <w:b/>
          <w:bCs/>
          <w:caps/>
          <w:noProof/>
          <w:color w:val="0E425C"/>
          <w:sz w:val="28"/>
          <w:szCs w:val="28"/>
        </w:rPr>
      </w:pPr>
      <w:r w:rsidRPr="00F96283">
        <w:rPr>
          <w:b/>
          <w:bCs/>
          <w:caps/>
          <w:noProof/>
          <w:color w:val="0E425C"/>
          <w:sz w:val="28"/>
          <w:szCs w:val="28"/>
        </w:rPr>
        <w:t xml:space="preserve">Federal Contractor Minimum Wage Increase Effective </w:t>
      </w:r>
      <w:r w:rsidRPr="00F96283">
        <w:rPr>
          <w:b/>
          <w:bCs/>
          <w:caps/>
          <w:noProof/>
          <w:color w:val="0070C0"/>
          <w:sz w:val="28"/>
          <w:szCs w:val="28"/>
        </w:rPr>
        <w:t>May 11, 2026</w:t>
      </w:r>
    </w:p>
    <w:p w14:paraId="1646C1E0" w14:textId="77777777" w:rsidR="00906C4C" w:rsidRPr="00C2014F" w:rsidRDefault="00906C4C" w:rsidP="00906C4C">
      <w:r w:rsidRPr="00C2014F">
        <w:t xml:space="preserve">Employers performing work on certain federal contracts should also be aware of an upcoming wage change. The U.S. Department of Labor announced that the minimum wage for workers on federal contracts covered by Executive Order 13658 will increase to $13.65 per hour effective May 11, 2026. </w:t>
      </w:r>
    </w:p>
    <w:p w14:paraId="12F3704D" w14:textId="6D3B4543" w:rsidR="00906C4C" w:rsidRPr="00906C4C" w:rsidRDefault="00906C4C" w:rsidP="00906C4C">
      <w:r w:rsidRPr="00C2014F">
        <w:lastRenderedPageBreak/>
        <w:t>This wage rate applies to contracts that were entered into, renewed, or extended between January 1, 2015, and January 29, 2022.</w:t>
      </w:r>
      <w:r>
        <w:t xml:space="preserve"> </w:t>
      </w:r>
    </w:p>
    <w:p w14:paraId="2027EEF3" w14:textId="77777777" w:rsidR="00906C4C" w:rsidRPr="00582B5D" w:rsidRDefault="00906C4C" w:rsidP="00906C4C">
      <w:pPr>
        <w:rPr>
          <w:b/>
          <w:bCs/>
          <w:caps/>
          <w:noProof/>
          <w:color w:val="0E425C"/>
          <w:sz w:val="28"/>
          <w:szCs w:val="28"/>
        </w:rPr>
      </w:pPr>
      <w:r w:rsidRPr="00582B5D">
        <w:rPr>
          <w:b/>
          <w:bCs/>
          <w:caps/>
          <w:noProof/>
          <w:color w:val="0070C0"/>
          <w:sz w:val="28"/>
          <w:szCs w:val="28"/>
        </w:rPr>
        <w:t xml:space="preserve">New!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3706A3DD" w14:textId="77777777" w:rsidR="00906C4C" w:rsidRPr="00C2014F" w:rsidRDefault="00906C4C" w:rsidP="00906C4C">
      <w:r w:rsidRPr="00C2014F">
        <w:t>The PCORI fee was created by the Affordable Care Act (ACA) and first applied for plan or policy years ending on or after October 1, 2012, and before October 1, 2029.</w:t>
      </w:r>
    </w:p>
    <w:p w14:paraId="14C928FC" w14:textId="77777777" w:rsidR="00906C4C" w:rsidRPr="00C2014F" w:rsidRDefault="00906C4C" w:rsidP="00906C4C">
      <w:pPr>
        <w:rPr>
          <w:b/>
          <w:bCs/>
        </w:rPr>
      </w:pPr>
      <w:r w:rsidRPr="00C2014F">
        <w:rPr>
          <w:b/>
          <w:bCs/>
        </w:rPr>
        <w:t>Fee Applicability</w:t>
      </w:r>
    </w:p>
    <w:p w14:paraId="0435FAE8" w14:textId="77777777" w:rsidR="00906C4C" w:rsidRPr="00C2014F" w:rsidRDefault="00906C4C" w:rsidP="00906C4C">
      <w:r w:rsidRPr="00C2014F">
        <w:t xml:space="preserve">The fee is imposed on health insurance issuers and self-insured plan sponsors to fund comparative effectiveness research.  </w:t>
      </w:r>
    </w:p>
    <w:p w14:paraId="25E741F7" w14:textId="77777777" w:rsidR="00906C4C" w:rsidRPr="00C2014F" w:rsidRDefault="00906C4C" w:rsidP="00906C4C">
      <w:r w:rsidRPr="00C2014F">
        <w:rPr>
          <w:b/>
          <w:bCs/>
          <w:u w:val="single"/>
        </w:rPr>
        <w:t xml:space="preserve">Employers offering level funded or self-insured Plans which ENDED in 2025 have PCORI fees due by July 31, 2026. </w:t>
      </w:r>
      <w:r w:rsidRPr="00C2014F">
        <w:t xml:space="preserve"> </w:t>
      </w:r>
    </w:p>
    <w:p w14:paraId="33DA7699" w14:textId="77777777" w:rsidR="00906C4C" w:rsidRPr="00C2014F" w:rsidRDefault="00906C4C" w:rsidP="00906C4C">
      <w:r w:rsidRPr="00C2014F">
        <w:t>Ex: Employer A offers a level funded medical plan and has a benefits plan year that started July 1, 2024.  That Plan ended June 30, 2025.  With a Level Funded benefit Plan/Plan Year ENDING in 2025, the PCORI fees would become due and payable by July 1, 2026.</w:t>
      </w:r>
    </w:p>
    <w:p w14:paraId="5F04AB90" w14:textId="77777777" w:rsidR="00906C4C" w:rsidRPr="00AF4290" w:rsidRDefault="00906C4C" w:rsidP="00906C4C">
      <w:pPr>
        <w:rPr>
          <w:b/>
          <w:bCs/>
        </w:rPr>
      </w:pPr>
      <w:r w:rsidRPr="00AF4290">
        <w:rPr>
          <w:b/>
          <w:bCs/>
        </w:rPr>
        <w:t xml:space="preserve">Fee Payment &amp; Reporting Deadline </w:t>
      </w:r>
    </w:p>
    <w:p w14:paraId="5136A74D" w14:textId="77777777" w:rsidR="00906C4C" w:rsidRPr="00AF4290" w:rsidRDefault="00906C4C" w:rsidP="00906C4C">
      <w:r w:rsidRPr="00AF4290">
        <w:t>PCORI fees are reported and paid annually on IRS</w:t>
      </w:r>
      <w:r w:rsidRPr="00191743">
        <w:t xml:space="preserve"> </w:t>
      </w:r>
      <w:hyperlink r:id="rId144" w:history="1">
        <w:r w:rsidRPr="00AA0176">
          <w:rPr>
            <w:rStyle w:val="Hyperlink"/>
          </w:rPr>
          <w:t>Form 720</w:t>
        </w:r>
      </w:hyperlink>
      <w:r w:rsidRPr="00191743">
        <w:t xml:space="preserve"> </w:t>
      </w:r>
      <w:r w:rsidRPr="00AF4290">
        <w:t>(Quarterly Federal Excise Tax Return).</w:t>
      </w:r>
    </w:p>
    <w:p w14:paraId="38BD15B5" w14:textId="77777777" w:rsidR="00906C4C" w:rsidRPr="00AF4290" w:rsidRDefault="00906C4C" w:rsidP="00906C4C">
      <w:r w:rsidRPr="00AF4290">
        <w:t>2026 Fee Adjustment</w:t>
      </w:r>
    </w:p>
    <w:p w14:paraId="34B2CC21" w14:textId="21AC0ECA" w:rsidR="00906C4C" w:rsidRPr="00906C4C" w:rsidRDefault="00906C4C" w:rsidP="00906C4C">
      <w:r w:rsidRPr="00AF4290">
        <w:t xml:space="preserve">The Internal Revenue Service (IRS) has issued </w:t>
      </w:r>
      <w:hyperlink r:id="rId145" w:anchor="NOT-2025-61" w:history="1">
        <w:r w:rsidRPr="00CF173D">
          <w:rPr>
            <w:rStyle w:val="Hyperlink"/>
          </w:rPr>
          <w:t>Notice 2025-61</w:t>
        </w:r>
      </w:hyperlink>
      <w:r w:rsidRPr="00C25373">
        <w:t xml:space="preserve"> </w:t>
      </w:r>
      <w:r w:rsidRPr="00AF4290">
        <w:t>to increase the Patient-Centered Outcomes Research Institute (PCORI) fee amount for plan years ending on or after Oct. 1, 2025, and before Oct. 1, 2026.</w:t>
      </w:r>
    </w:p>
    <w:p w14:paraId="4A4DD851" w14:textId="77777777" w:rsidR="00906C4C" w:rsidRPr="00AF4290" w:rsidRDefault="00906C4C" w:rsidP="00906C4C">
      <w:pPr>
        <w:rPr>
          <w:b/>
          <w:bCs/>
        </w:rPr>
      </w:pPr>
      <w:r w:rsidRPr="00AF4290">
        <w:rPr>
          <w:b/>
          <w:bCs/>
        </w:rPr>
        <w:t>PCORI Fee Calculation</w:t>
      </w:r>
    </w:p>
    <w:p w14:paraId="27707C76" w14:textId="77777777" w:rsidR="00906C4C" w:rsidRPr="00AF4290" w:rsidRDefault="00906C4C" w:rsidP="00906C4C">
      <w:pPr>
        <w:spacing w:after="240"/>
        <w:rPr>
          <w:b/>
          <w:bCs/>
          <w:u w:val="single"/>
        </w:rPr>
      </w:pPr>
      <w:r w:rsidRPr="00AF4290">
        <w:t xml:space="preserve">The PCORI fees are calculated based on the average number of covered lives under the plan or policy. This generally includes employees and their enrolled spouses and dependents, unless the plan is an HRA or FSA. For 2026, the updated PCORI fee amount is </w:t>
      </w:r>
      <w:r w:rsidRPr="00AF4290">
        <w:rPr>
          <w:b/>
          <w:bCs/>
          <w:u w:val="single"/>
        </w:rPr>
        <w:t>$3.84 multiplied by the average number of lives covered under the plan.</w:t>
      </w:r>
    </w:p>
    <w:p w14:paraId="216376F6" w14:textId="77777777" w:rsidR="00906C4C" w:rsidRPr="00C2014F" w:rsidRDefault="00906C4C" w:rsidP="00906C4C">
      <w:pPr>
        <w:spacing w:after="0" w:line="240" w:lineRule="auto"/>
        <w:rPr>
          <w:b/>
          <w:bCs/>
        </w:rPr>
      </w:pPr>
      <w:r w:rsidRPr="00C2014F">
        <w:rPr>
          <w:b/>
          <w:bCs/>
        </w:rPr>
        <w:t>Resources:</w:t>
      </w:r>
    </w:p>
    <w:p w14:paraId="7FD788C4"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46" w:history="1">
        <w:r w:rsidRPr="001834A2">
          <w:rPr>
            <w:rStyle w:val="Hyperlink"/>
            <w:rFonts w:eastAsia="Calibri"/>
            <w:lang w:eastAsia="en-GB"/>
          </w:rPr>
          <w:t>PCORI Fee Overview Page</w:t>
        </w:r>
      </w:hyperlink>
    </w:p>
    <w:p w14:paraId="0AA6B966"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47" w:history="1">
        <w:r w:rsidRPr="001834A2">
          <w:rPr>
            <w:rStyle w:val="Hyperlink"/>
            <w:rFonts w:eastAsia="Calibri"/>
            <w:lang w:eastAsia="en-GB"/>
          </w:rPr>
          <w:t>PCORI Fee: Questions and Answers</w:t>
        </w:r>
      </w:hyperlink>
    </w:p>
    <w:p w14:paraId="39232AA3"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48" w:history="1">
        <w:r w:rsidRPr="001834A2">
          <w:rPr>
            <w:rStyle w:val="Hyperlink"/>
            <w:rFonts w:eastAsia="Calibri"/>
            <w:lang w:eastAsia="en-GB"/>
          </w:rPr>
          <w:t>PCORI Fee Due Dates and Applicable Rates</w:t>
        </w:r>
      </w:hyperlink>
    </w:p>
    <w:p w14:paraId="15278BFB"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49" w:history="1">
        <w:r w:rsidRPr="001834A2">
          <w:rPr>
            <w:rStyle w:val="Hyperlink"/>
            <w:rFonts w:eastAsia="Calibri"/>
            <w:lang w:eastAsia="en-GB"/>
          </w:rPr>
          <w:t>Chart: Application of the PCORI Fee to Common Types of Health Coverage or Arrangements</w:t>
        </w:r>
      </w:hyperlink>
    </w:p>
    <w:p w14:paraId="2931CAB7" w14:textId="77777777" w:rsidR="00906C4C" w:rsidRPr="00906C4C" w:rsidRDefault="00906C4C" w:rsidP="00906C4C">
      <w:pPr>
        <w:rPr>
          <w:sz w:val="12"/>
          <w:szCs w:val="12"/>
        </w:rPr>
      </w:pPr>
    </w:p>
    <w:p w14:paraId="763AA099" w14:textId="77777777" w:rsidR="00906C4C" w:rsidRPr="00E65156" w:rsidRDefault="00906C4C" w:rsidP="00906C4C">
      <w:pPr>
        <w:rPr>
          <w:b/>
          <w:bCs/>
          <w:caps/>
          <w:noProof/>
          <w:color w:val="0E425C"/>
          <w:sz w:val="28"/>
          <w:szCs w:val="28"/>
        </w:rPr>
      </w:pPr>
      <w:r w:rsidRPr="003F2438">
        <w:rPr>
          <w:b/>
          <w:bCs/>
          <w:caps/>
          <w:noProof/>
          <w:color w:val="0070C0"/>
          <w:sz w:val="28"/>
          <w:szCs w:val="28"/>
        </w:rPr>
        <w:t xml:space="preserve">New! </w:t>
      </w:r>
      <w:r w:rsidRPr="003F2438">
        <w:rPr>
          <w:b/>
          <w:bCs/>
          <w:caps/>
          <w:noProof/>
          <w:color w:val="0E425C"/>
          <w:sz w:val="28"/>
          <w:szCs w:val="28"/>
        </w:rPr>
        <w:t>ICE Revises Enfor</w:t>
      </w:r>
      <w:r w:rsidRPr="00E65156">
        <w:rPr>
          <w:b/>
          <w:bCs/>
          <w:caps/>
          <w:noProof/>
          <w:color w:val="0E425C"/>
          <w:sz w:val="28"/>
          <w:szCs w:val="28"/>
        </w:rPr>
        <w:t>cement Approach for Form I-9 Violations</w:t>
      </w:r>
    </w:p>
    <w:p w14:paraId="423010C8" w14:textId="77777777" w:rsidR="00906C4C" w:rsidRDefault="00906C4C" w:rsidP="00906C4C">
      <w:r>
        <w:t>E</w:t>
      </w:r>
      <w:r w:rsidRPr="003F2438">
        <w:t>mployers not compl</w:t>
      </w:r>
      <w:r>
        <w:t>ying with</w:t>
      </w:r>
      <w:r w:rsidRPr="003F2438">
        <w:t xml:space="preserve"> or incorrectly complet</w:t>
      </w:r>
      <w:r>
        <w:t>ing</w:t>
      </w:r>
      <w:r w:rsidRPr="003F2438">
        <w:t xml:space="preserve"> Form I-9</w:t>
      </w:r>
      <w:r>
        <w:t xml:space="preserve"> </w:t>
      </w:r>
      <w:r w:rsidRPr="003F2438">
        <w:t>become subject to fines that can add up to potentially hundreds of thousands of dollars.</w:t>
      </w:r>
      <w:r>
        <w:t xml:space="preserve">  </w:t>
      </w:r>
      <w:r w:rsidRPr="00312BD2">
        <w:t>Immigration and Customs Enforcement (“ICE”) classifies Form I-9 errors as either substantive or technical. In the event of an ICE audit, technical errors can be fixed so that employers can avoid fines as long as the errors are corrected. Substantive errors, however, are not correctable and will result in fines.</w:t>
      </w:r>
    </w:p>
    <w:p w14:paraId="4900A498" w14:textId="77777777" w:rsidR="00906C4C" w:rsidRDefault="00906C4C" w:rsidP="00906C4C">
      <w:r>
        <w:t xml:space="preserve">Recently, </w:t>
      </w:r>
      <w:r w:rsidRPr="00AF4290">
        <w:t>US Immigration and Customs Enforcement (ICE) has significantly revised its enforcement approach to violations, reclassifying numerous common errors</w:t>
      </w:r>
      <w:r w:rsidRPr="006906E5">
        <w:rPr>
          <w:u w:val="single"/>
        </w:rPr>
        <w:t xml:space="preserve"> as substantive violations subject to immediate penalties</w:t>
      </w:r>
      <w:r w:rsidRPr="00AF4290">
        <w:t xml:space="preserve">.  </w:t>
      </w:r>
    </w:p>
    <w:p w14:paraId="38B73030" w14:textId="77777777" w:rsidR="00906C4C" w:rsidRPr="006C03C8" w:rsidRDefault="00906C4C" w:rsidP="00906C4C">
      <w:r w:rsidRPr="006C03C8">
        <w:t xml:space="preserve">Examples of errors that were </w:t>
      </w:r>
      <w:r>
        <w:t xml:space="preserve">previously </w:t>
      </w:r>
      <w:r w:rsidRPr="006C03C8">
        <w:t>classified as technical but now substantive include:</w:t>
      </w:r>
    </w:p>
    <w:p w14:paraId="66C07A86" w14:textId="77777777" w:rsidR="00906C4C" w:rsidRPr="006C03C8" w:rsidRDefault="00906C4C">
      <w:pPr>
        <w:numPr>
          <w:ilvl w:val="0"/>
          <w:numId w:val="336"/>
        </w:numPr>
        <w:spacing w:after="0" w:line="240" w:lineRule="auto"/>
      </w:pPr>
      <w:r w:rsidRPr="006C03C8">
        <w:t>Failure to date Section 1</w:t>
      </w:r>
    </w:p>
    <w:p w14:paraId="012965C3" w14:textId="77777777" w:rsidR="00906C4C" w:rsidRPr="006C03C8" w:rsidRDefault="00906C4C">
      <w:pPr>
        <w:numPr>
          <w:ilvl w:val="0"/>
          <w:numId w:val="336"/>
        </w:numPr>
        <w:spacing w:after="0" w:line="240" w:lineRule="auto"/>
      </w:pPr>
      <w:r w:rsidRPr="006C03C8">
        <w:t>Missing the date of birth in Section 1</w:t>
      </w:r>
    </w:p>
    <w:p w14:paraId="2C319FB7" w14:textId="77777777" w:rsidR="00906C4C" w:rsidRPr="006C03C8" w:rsidRDefault="00906C4C">
      <w:pPr>
        <w:numPr>
          <w:ilvl w:val="0"/>
          <w:numId w:val="336"/>
        </w:numPr>
        <w:spacing w:after="0" w:line="240" w:lineRule="auto"/>
      </w:pPr>
      <w:r w:rsidRPr="006C03C8">
        <w:t>Missing the date of hire in Section 2</w:t>
      </w:r>
    </w:p>
    <w:p w14:paraId="06C8F9F7" w14:textId="77777777" w:rsidR="00906C4C" w:rsidRPr="006C03C8" w:rsidRDefault="00906C4C">
      <w:pPr>
        <w:numPr>
          <w:ilvl w:val="0"/>
          <w:numId w:val="336"/>
        </w:numPr>
        <w:spacing w:after="0" w:line="240" w:lineRule="auto"/>
      </w:pPr>
      <w:r w:rsidRPr="006C03C8">
        <w:lastRenderedPageBreak/>
        <w:t>Missing the name and title of employer representative in Section 2</w:t>
      </w:r>
    </w:p>
    <w:p w14:paraId="672A2679" w14:textId="77777777" w:rsidR="00906C4C" w:rsidRPr="006C03C8" w:rsidRDefault="00906C4C">
      <w:pPr>
        <w:numPr>
          <w:ilvl w:val="0"/>
          <w:numId w:val="336"/>
        </w:numPr>
        <w:spacing w:after="0" w:line="240" w:lineRule="auto"/>
      </w:pPr>
      <w:r w:rsidRPr="006C03C8">
        <w:t>Failure to date Section 2</w:t>
      </w:r>
    </w:p>
    <w:p w14:paraId="5712D8D1" w14:textId="77777777" w:rsidR="00906C4C" w:rsidRPr="006C03C8" w:rsidRDefault="00906C4C">
      <w:pPr>
        <w:numPr>
          <w:ilvl w:val="0"/>
          <w:numId w:val="336"/>
        </w:numPr>
        <w:spacing w:after="0" w:line="240" w:lineRule="auto"/>
      </w:pPr>
      <w:r w:rsidRPr="006C03C8">
        <w:t>If utilizing remote verification, failure to check the alternative procedure box</w:t>
      </w:r>
    </w:p>
    <w:p w14:paraId="0914BED1" w14:textId="77777777" w:rsidR="00906C4C" w:rsidRPr="006C03C8" w:rsidRDefault="00906C4C">
      <w:pPr>
        <w:numPr>
          <w:ilvl w:val="0"/>
          <w:numId w:val="336"/>
        </w:numPr>
        <w:spacing w:after="0" w:line="240" w:lineRule="auto"/>
      </w:pPr>
      <w:r w:rsidRPr="006C03C8">
        <w:t>Using the Spanish version of Form I-9 outside of Puerto Rico</w:t>
      </w:r>
    </w:p>
    <w:p w14:paraId="7BE9192F" w14:textId="77777777" w:rsidR="00906C4C" w:rsidRPr="006C03C8" w:rsidRDefault="00906C4C">
      <w:pPr>
        <w:numPr>
          <w:ilvl w:val="0"/>
          <w:numId w:val="336"/>
        </w:numPr>
        <w:spacing w:after="0" w:line="240" w:lineRule="auto"/>
      </w:pPr>
      <w:r w:rsidRPr="006C03C8">
        <w:t>Failure to record correctly List A, B and C data in Section 2</w:t>
      </w:r>
    </w:p>
    <w:p w14:paraId="3878284B" w14:textId="77777777" w:rsidR="00906C4C" w:rsidRPr="006C03C8" w:rsidRDefault="00906C4C">
      <w:pPr>
        <w:numPr>
          <w:ilvl w:val="0"/>
          <w:numId w:val="336"/>
        </w:numPr>
        <w:spacing w:after="0" w:line="240" w:lineRule="auto"/>
      </w:pPr>
      <w:r w:rsidRPr="006C03C8">
        <w:t>Failure to participate in E-Verify when using remote verification procedure</w:t>
      </w:r>
    </w:p>
    <w:p w14:paraId="74AEA7C6" w14:textId="77777777" w:rsidR="00906C4C" w:rsidRPr="006C03C8" w:rsidRDefault="00906C4C">
      <w:pPr>
        <w:numPr>
          <w:ilvl w:val="0"/>
          <w:numId w:val="336"/>
        </w:numPr>
        <w:spacing w:after="0" w:line="276" w:lineRule="auto"/>
      </w:pPr>
      <w:r w:rsidRPr="006C03C8">
        <w:t>Failure to have adequate audit trails and electronic signature protocols when using electronic Form I-9</w:t>
      </w:r>
    </w:p>
    <w:p w14:paraId="6B6751A9" w14:textId="77777777" w:rsidR="00906C4C" w:rsidRDefault="00906C4C" w:rsidP="00906C4C">
      <w:pPr>
        <w:rPr>
          <w:b/>
          <w:bCs/>
        </w:rPr>
      </w:pPr>
      <w:r w:rsidRPr="00427960">
        <w:t>Employers cannot avoid fines for these types of errors because they are no longer considered technical violations. Without an opportunity to cure, mistakes like these will increase fines. Because ICE assesses fines per-form and per-violation, for employers with a large workforce, the cumulative exposure could be substantial. Currently, fines per violation range from $288 to $2,861 </w:t>
      </w:r>
      <w:r w:rsidRPr="00427960">
        <w:rPr>
          <w:b/>
          <w:bCs/>
          <w:i/>
          <w:iCs/>
        </w:rPr>
        <w:t>per violation</w:t>
      </w:r>
      <w:r w:rsidRPr="00427960">
        <w:rPr>
          <w:b/>
          <w:bCs/>
        </w:rPr>
        <w:t>.</w:t>
      </w:r>
    </w:p>
    <w:p w14:paraId="75B4AE9C" w14:textId="77777777" w:rsidR="00906C4C" w:rsidRPr="00CA5EA5" w:rsidRDefault="00906C4C" w:rsidP="00906C4C">
      <w:r w:rsidRPr="00CA5EA5">
        <w:t>For additional details, access the USCIS</w:t>
      </w:r>
      <w:r>
        <w:t>’s</w:t>
      </w:r>
      <w:r w:rsidRPr="00CA5EA5">
        <w:t xml:space="preserve"> </w:t>
      </w:r>
      <w:hyperlink r:id="rId150" w:history="1">
        <w:r w:rsidRPr="00CA5EA5">
          <w:rPr>
            <w:rStyle w:val="Hyperlink"/>
          </w:rPr>
          <w:t xml:space="preserve">Form I-9 Inspection Under Immigration and Nationality Act § 274A Fact Sheet </w:t>
        </w:r>
      </w:hyperlink>
    </w:p>
    <w:p w14:paraId="00175432" w14:textId="0BBA35BC" w:rsidR="00906C4C" w:rsidRDefault="00906C4C" w:rsidP="00906C4C">
      <w:r w:rsidRPr="003E16B4">
        <w:rPr>
          <w:b/>
          <w:bCs/>
          <w:highlight w:val="lightGray"/>
        </w:rPr>
        <w:t>Employer Takeaway:</w:t>
      </w:r>
      <w:r w:rsidRPr="003E16B4">
        <w:rPr>
          <w:b/>
          <w:bCs/>
        </w:rPr>
        <w:t xml:space="preserve"> </w:t>
      </w:r>
      <w:r w:rsidRPr="003E16B4">
        <w:t>To minimize risk, employers should ensure that they have robust compliance practices</w:t>
      </w:r>
      <w:r>
        <w:t>.  Annual</w:t>
      </w:r>
      <w:r w:rsidRPr="003E16B4">
        <w:t xml:space="preserve"> internal Form I-9 audits </w:t>
      </w:r>
      <w:r>
        <w:t>can assist employers with remaining in compliance</w:t>
      </w:r>
      <w:r w:rsidRPr="003E16B4">
        <w:t xml:space="preserve">. If </w:t>
      </w:r>
      <w:r>
        <w:t xml:space="preserve">an </w:t>
      </w:r>
      <w:r w:rsidRPr="003E16B4">
        <w:t xml:space="preserve">employer </w:t>
      </w:r>
      <w:r>
        <w:t xml:space="preserve">is </w:t>
      </w:r>
      <w:r w:rsidRPr="003E16B4">
        <w:t xml:space="preserve">using remote verification, </w:t>
      </w:r>
      <w:r>
        <w:t xml:space="preserve">it should </w:t>
      </w:r>
      <w:r w:rsidRPr="003E16B4">
        <w:t xml:space="preserve">confirm proper enrollment in E-Verify. </w:t>
      </w:r>
      <w:r>
        <w:t xml:space="preserve">Lastly, if electronic Form I-9s are used, it is imperative that employers </w:t>
      </w:r>
      <w:r w:rsidRPr="003E16B4">
        <w:t xml:space="preserve">ensure full compliance with federal </w:t>
      </w:r>
      <w:r>
        <w:t xml:space="preserve">Form I-9 </w:t>
      </w:r>
      <w:r w:rsidRPr="003E16B4">
        <w:t>requirements</w:t>
      </w:r>
      <w:r>
        <w:t>.</w:t>
      </w:r>
    </w:p>
    <w:p w14:paraId="1A059FB0" w14:textId="77777777" w:rsidR="00906C4C" w:rsidRDefault="00906C4C" w:rsidP="00906C4C">
      <w:r w:rsidRPr="007370DF">
        <w:rPr>
          <w:b/>
          <w:bCs/>
          <w:caps/>
          <w:noProof/>
          <w:color w:val="0070C0"/>
          <w:sz w:val="28"/>
          <w:szCs w:val="28"/>
        </w:rPr>
        <w:t xml:space="preserve">New! </w:t>
      </w:r>
      <w:r w:rsidRPr="0046124F">
        <w:rPr>
          <w:b/>
          <w:bCs/>
          <w:caps/>
          <w:noProof/>
          <w:color w:val="0E425C"/>
          <w:sz w:val="28"/>
          <w:szCs w:val="28"/>
        </w:rPr>
        <w:t xml:space="preserve">Update </w:t>
      </w:r>
      <w:r w:rsidRPr="007370DF">
        <w:rPr>
          <w:b/>
          <w:bCs/>
          <w:caps/>
          <w:noProof/>
          <w:color w:val="0E425C"/>
          <w:sz w:val="28"/>
          <w:szCs w:val="28"/>
        </w:rPr>
        <w:t>O</w:t>
      </w:r>
      <w:r>
        <w:rPr>
          <w:b/>
          <w:bCs/>
          <w:caps/>
          <w:noProof/>
          <w:color w:val="0E425C"/>
          <w:sz w:val="28"/>
          <w:szCs w:val="28"/>
        </w:rPr>
        <w:t>ne Big Beautiful Bill Act (OBBBA)</w:t>
      </w:r>
      <w:r w:rsidRPr="007370DF">
        <w:rPr>
          <w:b/>
          <w:bCs/>
          <w:caps/>
          <w:noProof/>
          <w:color w:val="0E425C"/>
          <w:sz w:val="28"/>
          <w:szCs w:val="28"/>
        </w:rPr>
        <w:t xml:space="preserve"> - List of Occupations Qualifying for No Tax on Tips Effective </w:t>
      </w:r>
      <w:r w:rsidRPr="007370DF">
        <w:rPr>
          <w:b/>
          <w:bCs/>
          <w:caps/>
          <w:noProof/>
          <w:color w:val="0070C0"/>
          <w:sz w:val="28"/>
          <w:szCs w:val="28"/>
        </w:rPr>
        <w:t>Jun</w:t>
      </w:r>
      <w:r>
        <w:rPr>
          <w:b/>
          <w:bCs/>
          <w:caps/>
          <w:noProof/>
          <w:color w:val="0070C0"/>
          <w:sz w:val="28"/>
          <w:szCs w:val="28"/>
        </w:rPr>
        <w:t>e</w:t>
      </w:r>
      <w:r w:rsidRPr="007370DF">
        <w:rPr>
          <w:b/>
          <w:bCs/>
          <w:caps/>
          <w:noProof/>
          <w:color w:val="0070C0"/>
          <w:sz w:val="28"/>
          <w:szCs w:val="28"/>
        </w:rPr>
        <w:t xml:space="preserve"> 12, 2026</w:t>
      </w:r>
    </w:p>
    <w:p w14:paraId="64CBEC24" w14:textId="77777777" w:rsidR="00906C4C" w:rsidRPr="00D32324" w:rsidRDefault="00906C4C" w:rsidP="00906C4C">
      <w:r w:rsidRPr="00FB3F76">
        <w:t>On April 13, 2026, the U.S. Department of the Treasury (Treasury) and IRS issued</w:t>
      </w:r>
      <w:r>
        <w:t xml:space="preserve"> </w:t>
      </w:r>
      <w:hyperlink r:id="rId151" w:history="1">
        <w:r w:rsidRPr="00CB578C">
          <w:rPr>
            <w:rStyle w:val="Hyperlink"/>
          </w:rPr>
          <w:t>final regulations</w:t>
        </w:r>
      </w:hyperlink>
      <w:r>
        <w:t xml:space="preserve"> </w:t>
      </w:r>
      <w:r w:rsidRPr="00FB3F76">
        <w:t>on the “No Tax on Tips” provision enacted under the</w:t>
      </w:r>
      <w:r>
        <w:t xml:space="preserve"> </w:t>
      </w:r>
      <w:hyperlink r:id="rId152" w:history="1">
        <w:r w:rsidRPr="00756FFE">
          <w:rPr>
            <w:rStyle w:val="Hyperlink"/>
          </w:rPr>
          <w:t>One Big Beautiful Bill Act</w:t>
        </w:r>
      </w:hyperlink>
      <w:r>
        <w:t xml:space="preserve"> </w:t>
      </w:r>
      <w:r w:rsidRPr="00FB3F76">
        <w:t xml:space="preserve">(OBBBA). The final regulations are effective on </w:t>
      </w:r>
      <w:r w:rsidRPr="00FB3F76">
        <w:rPr>
          <w:b/>
          <w:bCs/>
        </w:rPr>
        <w:t>June 12, 2026</w:t>
      </w:r>
      <w:r w:rsidRPr="00FB3F76">
        <w:t>.</w:t>
      </w:r>
      <w:r>
        <w:t xml:space="preserve"> </w:t>
      </w:r>
      <w:r w:rsidRPr="00D32324">
        <w:t>The Act allows certain workers an above-the-line deduction for “qualified tips” and “qualified overtime compensation” for taxable years beginning after Dec</w:t>
      </w:r>
      <w:r>
        <w:t>ember</w:t>
      </w:r>
      <w:r w:rsidRPr="00D32324">
        <w:t xml:space="preserve"> 31, 2024, and ending for taxable years beginning after Dec</w:t>
      </w:r>
      <w:r>
        <w:t>ember</w:t>
      </w:r>
      <w:r w:rsidRPr="00D32324">
        <w:t xml:space="preserve"> 31, 2028. Individuals must earn $150,000 or less ($300,000 if married filing jointly) in 2025 to be eligible for the tip deduction. The maximum deduction for tip income is capped at $25,000 per year, and the deduction applies only to cash tips, which include tips that are charged and tips received under a tip-sharing agreement. </w:t>
      </w:r>
    </w:p>
    <w:p w14:paraId="7E2F1A54" w14:textId="77777777" w:rsidR="00906C4C" w:rsidRPr="00906C4C" w:rsidRDefault="00906C4C" w:rsidP="00906C4C">
      <w:pPr>
        <w:pStyle w:val="Heading2"/>
        <w:spacing w:before="0" w:line="240" w:lineRule="auto"/>
        <w:rPr>
          <w:rFonts w:eastAsiaTheme="minorEastAsia" w:cs="Calibri"/>
          <w:b/>
          <w:bCs/>
          <w:noProof/>
          <w:color w:val="auto"/>
          <w:sz w:val="24"/>
          <w:szCs w:val="24"/>
        </w:rPr>
      </w:pPr>
      <w:r w:rsidRPr="00906C4C">
        <w:rPr>
          <w:rFonts w:eastAsiaTheme="minorEastAsia" w:cs="Calibri"/>
          <w:b/>
          <w:bCs/>
          <w:noProof/>
          <w:color w:val="auto"/>
          <w:sz w:val="24"/>
          <w:szCs w:val="24"/>
        </w:rPr>
        <w:t>Key Highlights</w:t>
      </w:r>
    </w:p>
    <w:p w14:paraId="7011FCCD" w14:textId="77777777" w:rsidR="00906C4C" w:rsidRPr="008F70C5" w:rsidRDefault="00906C4C" w:rsidP="00906C4C">
      <w:pPr>
        <w:pStyle w:val="Heading3"/>
        <w:spacing w:before="0" w:line="240" w:lineRule="auto"/>
        <w:rPr>
          <w:rFonts w:eastAsiaTheme="minorEastAsia" w:cs="Calibri"/>
          <w:b/>
          <w:bCs/>
          <w:i/>
          <w:iCs/>
          <w:noProof/>
          <w:color w:val="auto"/>
        </w:rPr>
      </w:pPr>
      <w:r w:rsidRPr="008F70C5">
        <w:rPr>
          <w:rFonts w:eastAsiaTheme="minorEastAsia" w:cs="Calibri"/>
          <w:b/>
          <w:bCs/>
          <w:i/>
          <w:iCs/>
          <w:noProof/>
          <w:color w:val="auto"/>
        </w:rPr>
        <w:t>List of Occupations That Receive Tips</w:t>
      </w:r>
    </w:p>
    <w:p w14:paraId="7D1C4113" w14:textId="77777777" w:rsidR="00906C4C" w:rsidRPr="00FB3F76" w:rsidRDefault="00906C4C" w:rsidP="00906C4C">
      <w:pPr>
        <w:spacing w:after="0" w:line="240" w:lineRule="auto"/>
      </w:pPr>
      <w:r w:rsidRPr="00FB3F76">
        <w:t>The final regulations list more than 70 occupations of tipped workers that may qualify for the deduction. Qualifying occupations fall into one of the following eight categories, classified by the Treasury Tipped Occupation Code system:</w:t>
      </w:r>
    </w:p>
    <w:p w14:paraId="3FF978CD" w14:textId="77777777" w:rsidR="00906C4C" w:rsidRPr="00FB3F76" w:rsidRDefault="00906C4C" w:rsidP="00906C4C">
      <w:pPr>
        <w:pStyle w:val="ListParagraph"/>
        <w:tabs>
          <w:tab w:val="left" w:pos="288"/>
        </w:tabs>
        <w:spacing w:after="0" w:line="240" w:lineRule="auto"/>
        <w:ind w:left="288" w:hanging="216"/>
        <w:contextualSpacing w:val="0"/>
      </w:pPr>
      <w:r w:rsidRPr="00FB3F76">
        <w:t>100s—Beverage and food services;</w:t>
      </w:r>
    </w:p>
    <w:p w14:paraId="609C36E6" w14:textId="77777777" w:rsidR="00906C4C" w:rsidRPr="00FB3F76" w:rsidRDefault="00906C4C" w:rsidP="00906C4C">
      <w:pPr>
        <w:pStyle w:val="ListParagraph"/>
        <w:tabs>
          <w:tab w:val="left" w:pos="288"/>
        </w:tabs>
        <w:spacing w:after="0" w:line="240" w:lineRule="auto"/>
        <w:ind w:left="288" w:hanging="216"/>
        <w:contextualSpacing w:val="0"/>
      </w:pPr>
      <w:r w:rsidRPr="00FB3F76">
        <w:t>200s—Entertainment and events;</w:t>
      </w:r>
    </w:p>
    <w:p w14:paraId="63F2FB01" w14:textId="77777777" w:rsidR="00906C4C" w:rsidRPr="00FB3F76" w:rsidRDefault="00906C4C" w:rsidP="00906C4C">
      <w:pPr>
        <w:pStyle w:val="ListParagraph"/>
        <w:tabs>
          <w:tab w:val="left" w:pos="288"/>
        </w:tabs>
        <w:spacing w:after="0" w:line="240" w:lineRule="auto"/>
        <w:ind w:left="288" w:hanging="216"/>
        <w:contextualSpacing w:val="0"/>
      </w:pPr>
      <w:r w:rsidRPr="00FB3F76">
        <w:t>300s—Hospitality and guest services;</w:t>
      </w:r>
    </w:p>
    <w:p w14:paraId="7B945350" w14:textId="77777777" w:rsidR="00906C4C" w:rsidRPr="00FB3F76" w:rsidRDefault="00906C4C" w:rsidP="00906C4C">
      <w:pPr>
        <w:pStyle w:val="ListParagraph"/>
        <w:tabs>
          <w:tab w:val="left" w:pos="288"/>
        </w:tabs>
        <w:spacing w:after="0" w:line="240" w:lineRule="auto"/>
        <w:ind w:left="288" w:hanging="216"/>
        <w:contextualSpacing w:val="0"/>
      </w:pPr>
      <w:r w:rsidRPr="00FB3F76">
        <w:t>400s—Home services;</w:t>
      </w:r>
    </w:p>
    <w:p w14:paraId="044D313B" w14:textId="77777777" w:rsidR="00906C4C" w:rsidRPr="00FB3F76" w:rsidRDefault="00906C4C" w:rsidP="00906C4C">
      <w:pPr>
        <w:pStyle w:val="ListParagraph"/>
        <w:tabs>
          <w:tab w:val="left" w:pos="288"/>
        </w:tabs>
        <w:spacing w:after="0" w:line="240" w:lineRule="auto"/>
        <w:ind w:left="288" w:hanging="216"/>
        <w:contextualSpacing w:val="0"/>
      </w:pPr>
      <w:r w:rsidRPr="00FB3F76">
        <w:t>500s—Personal Services;</w:t>
      </w:r>
    </w:p>
    <w:p w14:paraId="20666001" w14:textId="77777777" w:rsidR="00906C4C" w:rsidRPr="00FB3F76" w:rsidRDefault="00906C4C" w:rsidP="00906C4C">
      <w:pPr>
        <w:pStyle w:val="ListParagraph"/>
        <w:tabs>
          <w:tab w:val="left" w:pos="288"/>
        </w:tabs>
        <w:spacing w:after="0" w:line="240" w:lineRule="auto"/>
        <w:ind w:left="288" w:hanging="216"/>
        <w:contextualSpacing w:val="0"/>
      </w:pPr>
      <w:r w:rsidRPr="00FB3F76">
        <w:t>600s—Personal appearance and wellness;</w:t>
      </w:r>
    </w:p>
    <w:p w14:paraId="127DC95A" w14:textId="77777777" w:rsidR="00906C4C" w:rsidRPr="00FB3F76" w:rsidRDefault="00906C4C" w:rsidP="00906C4C">
      <w:pPr>
        <w:pStyle w:val="ListParagraph"/>
        <w:tabs>
          <w:tab w:val="left" w:pos="288"/>
        </w:tabs>
        <w:spacing w:after="0" w:line="240" w:lineRule="auto"/>
        <w:ind w:left="288" w:hanging="216"/>
        <w:contextualSpacing w:val="0"/>
      </w:pPr>
      <w:r w:rsidRPr="00FB3F76">
        <w:t>700s—Recreation and instruction; and</w:t>
      </w:r>
    </w:p>
    <w:p w14:paraId="7EA24401" w14:textId="77777777" w:rsidR="00906C4C" w:rsidRDefault="00906C4C" w:rsidP="00906C4C">
      <w:pPr>
        <w:pStyle w:val="ListParagraph"/>
        <w:tabs>
          <w:tab w:val="left" w:pos="288"/>
        </w:tabs>
        <w:spacing w:after="0" w:line="240" w:lineRule="auto"/>
        <w:ind w:left="288" w:hanging="216"/>
        <w:contextualSpacing w:val="0"/>
      </w:pPr>
      <w:r w:rsidRPr="00FB3F76">
        <w:t>800s—Transportation and delivery.</w:t>
      </w:r>
    </w:p>
    <w:p w14:paraId="7DCFE231" w14:textId="77777777" w:rsidR="00906C4C" w:rsidRPr="00FB3F76" w:rsidRDefault="00906C4C" w:rsidP="00906C4C">
      <w:pPr>
        <w:pStyle w:val="ListParagraph"/>
        <w:tabs>
          <w:tab w:val="left" w:pos="288"/>
        </w:tabs>
        <w:spacing w:after="0" w:line="240" w:lineRule="auto"/>
        <w:ind w:left="288" w:hanging="216"/>
        <w:contextualSpacing w:val="0"/>
      </w:pPr>
    </w:p>
    <w:p w14:paraId="3217D10D" w14:textId="77777777" w:rsidR="00906C4C" w:rsidRPr="00FB3F76" w:rsidRDefault="00906C4C" w:rsidP="00906C4C">
      <w:pPr>
        <w:ind w:left="90"/>
      </w:pPr>
      <w:r w:rsidRPr="00FB3F76">
        <w:t>The final regulations expand the list to include visual artists and floral designers in the personal services category and add gas pump attendants in the transportation and delivery category.</w:t>
      </w:r>
    </w:p>
    <w:p w14:paraId="56BBAEC5" w14:textId="77777777" w:rsidR="00906C4C" w:rsidRPr="008F70C5" w:rsidRDefault="00906C4C" w:rsidP="00906C4C">
      <w:pPr>
        <w:pStyle w:val="Heading3"/>
        <w:ind w:left="90"/>
        <w:rPr>
          <w:rFonts w:eastAsiaTheme="minorEastAsia" w:cs="Calibri"/>
          <w:b/>
          <w:bCs/>
          <w:i/>
          <w:iCs/>
          <w:noProof/>
          <w:color w:val="auto"/>
        </w:rPr>
      </w:pPr>
      <w:r w:rsidRPr="008F70C5">
        <w:rPr>
          <w:rFonts w:eastAsiaTheme="minorEastAsia" w:cs="Calibri"/>
          <w:b/>
          <w:bCs/>
          <w:i/>
          <w:iCs/>
          <w:noProof/>
          <w:color w:val="auto"/>
        </w:rPr>
        <w:t>Qualified Tips Definition</w:t>
      </w:r>
    </w:p>
    <w:p w14:paraId="792CAD9B" w14:textId="77777777" w:rsidR="00906C4C" w:rsidRPr="00FB3F76" w:rsidRDefault="00906C4C" w:rsidP="00906C4C">
      <w:pPr>
        <w:ind w:left="90"/>
      </w:pPr>
      <w:r w:rsidRPr="00FB3F76">
        <w:t>A worker may only claim the deduction for qualified tips. To be a qualified tip, the tip must be received by a worker in an occupation on the List of Occupations That Receive Tips. The final regulations clarify that qualified tips must satisfy certain requirements, including the following:</w:t>
      </w:r>
    </w:p>
    <w:p w14:paraId="420CFEAE" w14:textId="77777777" w:rsidR="00906C4C" w:rsidRPr="00FB3F76" w:rsidRDefault="00906C4C" w:rsidP="00906C4C">
      <w:pPr>
        <w:pStyle w:val="ListParagraph"/>
        <w:tabs>
          <w:tab w:val="left" w:pos="288"/>
        </w:tabs>
        <w:spacing w:after="100" w:line="264" w:lineRule="auto"/>
        <w:ind w:left="630" w:hanging="450"/>
        <w:contextualSpacing w:val="0"/>
      </w:pPr>
      <w:r w:rsidRPr="00FB3F76">
        <w:lastRenderedPageBreak/>
        <w:t>Qualified tips must be paid in cash or an equivalent medium, such as a check, credit card, debit card, gift card, tangible or intangible tokens that are readily exchangeable for a fixed amount in cash, or another form of electronic settlement or mobile payment application denominated in cash;</w:t>
      </w:r>
    </w:p>
    <w:p w14:paraId="07933E4B"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received from customers or, in the case of an employee, through a mandatory or voluntary tip-sharing arrangement, such as a tip pool; and</w:t>
      </w:r>
    </w:p>
    <w:p w14:paraId="36C977FF"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paid voluntarily by the customer and not be subject to negotiation. Qualified tips do not include service charges unless the customer has the option to disregard or modify the service charge. For instance, in the case of a restaurant that imposes an automatic 18% service charge for large parties and distributes that amount to waiters, bussers and kitchen staff, if the charge is added with no option for the customer to disregard or modify it, the amounts distributed to the workers from this service charge are not qualified tips.   </w:t>
      </w:r>
    </w:p>
    <w:p w14:paraId="6A0D46AE" w14:textId="77777777" w:rsidR="00906C4C" w:rsidRPr="00FB3F76" w:rsidRDefault="00906C4C" w:rsidP="00906C4C">
      <w:r w:rsidRPr="00FB3F76">
        <w:t>Importantly, workers can take the deduction only for qualified tips that are included on Form W-2, Form 1099-NEC, Form 1099-MISC, Form 1099-K or reported by the worker on Form 4137. Gig workers and other self-employed individuals can qualify for this deduction if their occupation is on the List of Occupations That Receive Tips and the other statutory and regulatory requirements are met.</w:t>
      </w:r>
    </w:p>
    <w:p w14:paraId="1A5D6146" w14:textId="77777777" w:rsidR="00906C4C" w:rsidRPr="00FB3F76" w:rsidRDefault="00906C4C" w:rsidP="00906C4C">
      <w:r w:rsidRPr="00FB3F76">
        <w:t>The regulations limit the deduction for self-employed individuals to the individual’s net income.</w:t>
      </w:r>
    </w:p>
    <w:p w14:paraId="65E0F801" w14:textId="557E7F9D" w:rsidR="00906C4C" w:rsidRPr="00906C4C" w:rsidRDefault="00906C4C" w:rsidP="00906C4C">
      <w:pPr>
        <w:pStyle w:val="Heading2"/>
        <w:rPr>
          <w:rFonts w:asciiTheme="minorHAnsi" w:eastAsiaTheme="minorHAnsi" w:hAnsiTheme="minorHAnsi" w:cstheme="minorBidi"/>
          <w:color w:val="auto"/>
          <w:sz w:val="22"/>
          <w:szCs w:val="22"/>
        </w:rPr>
      </w:pPr>
      <w:r w:rsidRPr="00906C4C">
        <w:rPr>
          <w:rFonts w:asciiTheme="minorHAnsi" w:eastAsiaTheme="minorHAnsi" w:hAnsiTheme="minorHAnsi" w:cstheme="minorBidi"/>
          <w:b/>
          <w:bCs/>
          <w:color w:val="auto"/>
          <w:sz w:val="22"/>
          <w:szCs w:val="22"/>
          <w:highlight w:val="lightGray"/>
        </w:rPr>
        <w:t>Employer Takeaway:</w:t>
      </w:r>
      <w:r w:rsidRPr="00906C4C">
        <w:rPr>
          <w:rFonts w:asciiTheme="minorHAnsi" w:eastAsiaTheme="minorHAnsi" w:hAnsiTheme="minorHAnsi" w:cstheme="minorBidi"/>
          <w:b/>
          <w:bCs/>
          <w:color w:val="auto"/>
          <w:sz w:val="22"/>
          <w:szCs w:val="22"/>
        </w:rPr>
        <w:t xml:space="preserve"> </w:t>
      </w:r>
      <w:r w:rsidRPr="00906C4C">
        <w:rPr>
          <w:rFonts w:asciiTheme="minorHAnsi" w:eastAsiaTheme="minorHAnsi" w:hAnsiTheme="minorHAnsi" w:cstheme="minorBidi"/>
          <w:color w:val="auto"/>
          <w:sz w:val="22"/>
          <w:szCs w:val="22"/>
        </w:rPr>
        <w:t>Employers should review their payroll systems to ensure they accurately track and report qualifying tips and overtime compensation on employees’ Forms W-2.</w:t>
      </w:r>
    </w:p>
    <w:p w14:paraId="24C52283" w14:textId="77777777" w:rsidR="00906C4C" w:rsidRPr="00906C4C" w:rsidRDefault="00906C4C" w:rsidP="00906C4C"/>
    <w:p w14:paraId="02972BB0" w14:textId="77777777" w:rsidR="00906C4C" w:rsidRPr="00944ACB" w:rsidRDefault="00906C4C" w:rsidP="00906C4C">
      <w:pPr>
        <w:rPr>
          <w:b/>
          <w:bCs/>
          <w:caps/>
          <w:noProof/>
          <w:color w:val="0E425C"/>
          <w:sz w:val="28"/>
          <w:szCs w:val="28"/>
        </w:rPr>
      </w:pPr>
      <w:r w:rsidRPr="00944ACB">
        <w:rPr>
          <w:b/>
          <w:bCs/>
          <w:caps/>
          <w:noProof/>
          <w:color w:val="0070C0"/>
          <w:sz w:val="28"/>
          <w:szCs w:val="28"/>
        </w:rPr>
        <w:t xml:space="preserve">New! </w:t>
      </w:r>
      <w:r w:rsidRPr="00944ACB">
        <w:rPr>
          <w:b/>
          <w:bCs/>
          <w:caps/>
          <w:noProof/>
          <w:color w:val="0E425C"/>
          <w:sz w:val="28"/>
          <w:szCs w:val="28"/>
        </w:rPr>
        <w:t>OSHA Updates Heat-related Hazards National Emphasis Program</w:t>
      </w:r>
    </w:p>
    <w:p w14:paraId="7C73B2EF" w14:textId="77777777" w:rsidR="00906C4C" w:rsidRPr="00944ACB" w:rsidRDefault="00906C4C" w:rsidP="00906C4C">
      <w:pPr>
        <w:pStyle w:val="BodyText"/>
        <w:rPr>
          <w:color w:val="auto"/>
        </w:rPr>
      </w:pPr>
      <w:r w:rsidRPr="00944ACB">
        <w:rPr>
          <w:color w:val="auto"/>
        </w:rPr>
        <w:t xml:space="preserve">On April 10, 2026, OSHA updated its </w:t>
      </w:r>
      <w:hyperlink r:id="rId153" w:history="1">
        <w:r w:rsidRPr="00B44501">
          <w:rPr>
            <w:rStyle w:val="Hyperlink"/>
          </w:rPr>
          <w:t>National Emphasis Program</w:t>
        </w:r>
      </w:hyperlink>
      <w:r w:rsidRPr="00B44501">
        <w:t xml:space="preserve"> </w:t>
      </w:r>
      <w:r w:rsidRPr="00944ACB">
        <w:rPr>
          <w:color w:val="auto"/>
        </w:rPr>
        <w:t>(NEP) to address indoor and outdoor heat hazards by focusing inspections and outreach on high-risk industries and workplaces. The revised NEP prioritizes on-site inspections for complaints and employer-reported hospitalizations, reserving rapid response investigations for limited cases with area director approval. The updated NEP is effective immediately and will remain in place until April 10, 2031.</w:t>
      </w:r>
    </w:p>
    <w:p w14:paraId="7DA47D46" w14:textId="77777777" w:rsidR="00906C4C" w:rsidRPr="005C7804" w:rsidRDefault="00906C4C" w:rsidP="00906C4C">
      <w:pPr>
        <w:pStyle w:val="SubHeader"/>
        <w:rPr>
          <w:rFonts w:eastAsiaTheme="minorEastAsia" w:cs="Calibri"/>
          <w:bCs/>
          <w:caps/>
          <w:noProof/>
          <w:color w:val="auto"/>
          <w:sz w:val="24"/>
          <w:szCs w:val="24"/>
        </w:rPr>
      </w:pPr>
      <w:r w:rsidRPr="005C7804">
        <w:rPr>
          <w:rFonts w:eastAsiaTheme="minorEastAsia" w:cs="Calibri"/>
          <w:bCs/>
          <w:caps/>
          <w:noProof/>
          <w:color w:val="auto"/>
          <w:sz w:val="24"/>
          <w:szCs w:val="24"/>
        </w:rPr>
        <w:t xml:space="preserve">What to Expect </w:t>
      </w:r>
    </w:p>
    <w:p w14:paraId="2A66E057" w14:textId="77777777" w:rsidR="00906C4C" w:rsidRPr="00944ACB" w:rsidRDefault="00906C4C" w:rsidP="00906C4C">
      <w:pPr>
        <w:pStyle w:val="BodyText"/>
        <w:rPr>
          <w:color w:val="auto"/>
        </w:rPr>
      </w:pPr>
      <w:r w:rsidRPr="00944ACB">
        <w:rPr>
          <w:color w:val="auto"/>
        </w:rPr>
        <w:t xml:space="preserve">Establishments identified for programmed inspections will, where possible, have heat-related hazard inspections conducted concurrently with other programmed inspections. For employers with multiple locations engaged in similar operations, OSHA may notify corporate entities of any heat-related inspection and provide relevant information on required protective measures. Inspections will follow standard OSHA procedures, including an opening conference, walkaround and closing conference. </w:t>
      </w:r>
    </w:p>
    <w:p w14:paraId="47B93176" w14:textId="77777777" w:rsidR="00906C4C" w:rsidRPr="00944ACB" w:rsidRDefault="00906C4C" w:rsidP="00906C4C">
      <w:pPr>
        <w:pStyle w:val="BodyText"/>
        <w:rPr>
          <w:color w:val="auto"/>
        </w:rPr>
      </w:pPr>
      <w:r w:rsidRPr="00944ACB">
        <w:rPr>
          <w:color w:val="auto"/>
        </w:rPr>
        <w:t xml:space="preserve">OSHA launched its original NEP on April 8, 2022. Through the program, OSHA conducts workplace inspections to identify heat-related hazards before workers suffer preventable injuries, illnesses or fatalities. </w:t>
      </w:r>
    </w:p>
    <w:p w14:paraId="26AB5D20" w14:textId="77777777" w:rsidR="00906C4C" w:rsidRPr="00944ACB" w:rsidRDefault="00906C4C" w:rsidP="00906C4C">
      <w:r w:rsidRPr="00944ACB">
        <w:t>The NEP establishes heat priority days, when the heat index is expected to be 80 degrees Fahrenheit or higher.</w:t>
      </w:r>
    </w:p>
    <w:p w14:paraId="172065A0" w14:textId="77777777" w:rsidR="00906C4C" w:rsidRPr="00944ACB" w:rsidRDefault="00906C4C" w:rsidP="00906C4C">
      <w:pPr>
        <w:pStyle w:val="BodyText"/>
        <w:rPr>
          <w:color w:val="auto"/>
        </w:rPr>
      </w:pPr>
      <w:r w:rsidRPr="00944ACB">
        <w:rPr>
          <w:color w:val="auto"/>
        </w:rPr>
        <w:t xml:space="preserve">The purpose of OSHA’s updated NEP is to ensure that workers in high-hazard industries are protected from indoor and outdoor heat hazards that may cause serious illness, injury or death. The program applies OSHA-wide and focuses on: </w:t>
      </w:r>
    </w:p>
    <w:p w14:paraId="50E76C29" w14:textId="77777777" w:rsidR="00906C4C" w:rsidRPr="00944ACB" w:rsidRDefault="00906C4C" w:rsidP="00906C4C">
      <w:pPr>
        <w:pStyle w:val="BulletList"/>
        <w:rPr>
          <w:color w:val="auto"/>
        </w:rPr>
      </w:pPr>
      <w:r w:rsidRPr="00944ACB">
        <w:rPr>
          <w:color w:val="auto"/>
        </w:rPr>
        <w:t xml:space="preserve">General industry; </w:t>
      </w:r>
    </w:p>
    <w:p w14:paraId="592D5435" w14:textId="77777777" w:rsidR="00906C4C" w:rsidRPr="00944ACB" w:rsidRDefault="00906C4C" w:rsidP="00906C4C">
      <w:pPr>
        <w:pStyle w:val="BulletList"/>
        <w:rPr>
          <w:color w:val="auto"/>
        </w:rPr>
      </w:pPr>
      <w:r w:rsidRPr="00944ACB">
        <w:rPr>
          <w:color w:val="auto"/>
        </w:rPr>
        <w:t xml:space="preserve">Construction; </w:t>
      </w:r>
    </w:p>
    <w:p w14:paraId="3B046400" w14:textId="77777777" w:rsidR="00906C4C" w:rsidRPr="00944ACB" w:rsidRDefault="00906C4C" w:rsidP="00906C4C">
      <w:pPr>
        <w:pStyle w:val="BulletList"/>
        <w:rPr>
          <w:color w:val="auto"/>
        </w:rPr>
      </w:pPr>
      <w:r w:rsidRPr="00944ACB">
        <w:rPr>
          <w:color w:val="auto"/>
        </w:rPr>
        <w:t xml:space="preserve">Maritime; and </w:t>
      </w:r>
    </w:p>
    <w:p w14:paraId="327D194F" w14:textId="77777777" w:rsidR="00906C4C" w:rsidRPr="00944ACB" w:rsidRDefault="00906C4C" w:rsidP="00906C4C">
      <w:pPr>
        <w:pStyle w:val="BulletList"/>
        <w:spacing w:after="120"/>
        <w:ind w:left="547"/>
        <w:rPr>
          <w:color w:val="auto"/>
        </w:rPr>
      </w:pPr>
      <w:r w:rsidRPr="00944ACB">
        <w:rPr>
          <w:color w:val="auto"/>
        </w:rPr>
        <w:t xml:space="preserve">Agriculture. </w:t>
      </w:r>
    </w:p>
    <w:p w14:paraId="0440C637" w14:textId="77777777" w:rsidR="00906C4C" w:rsidRPr="00944ACB" w:rsidRDefault="00906C4C" w:rsidP="00906C4C">
      <w:pPr>
        <w:pStyle w:val="BodyText"/>
        <w:spacing w:after="120"/>
        <w:rPr>
          <w:color w:val="auto"/>
        </w:rPr>
      </w:pPr>
      <w:r w:rsidRPr="00944ACB">
        <w:rPr>
          <w:color w:val="auto"/>
        </w:rPr>
        <w:lastRenderedPageBreak/>
        <w:t>Heat-related illnesses range from heat cramps to heat stroke, which can be fatal when body temperature exceeds approximately 104 degrees Fahrenheit. The heat index, used by the National Weather Service (NWS), combines temperature and humidity to reflect how hot conditions feel:</w:t>
      </w:r>
    </w:p>
    <w:p w14:paraId="4400EFA4" w14:textId="77777777" w:rsidR="00906C4C" w:rsidRPr="00944ACB" w:rsidRDefault="00906C4C" w:rsidP="00906C4C">
      <w:pPr>
        <w:pStyle w:val="BulletList"/>
        <w:rPr>
          <w:color w:val="auto"/>
        </w:rPr>
      </w:pPr>
      <w:r w:rsidRPr="00944ACB">
        <w:rPr>
          <w:color w:val="auto"/>
        </w:rPr>
        <w:t xml:space="preserve">Caution: &lt;80 degrees Fahrenheit; </w:t>
      </w:r>
    </w:p>
    <w:p w14:paraId="72F6413D" w14:textId="77777777" w:rsidR="00906C4C" w:rsidRPr="00944ACB" w:rsidRDefault="00906C4C" w:rsidP="00906C4C">
      <w:pPr>
        <w:pStyle w:val="BulletList"/>
        <w:rPr>
          <w:color w:val="auto"/>
        </w:rPr>
      </w:pPr>
      <w:r w:rsidRPr="00944ACB">
        <w:rPr>
          <w:color w:val="auto"/>
        </w:rPr>
        <w:t xml:space="preserve">Warning: 80-94 degrees Fahrenheit; and </w:t>
      </w:r>
    </w:p>
    <w:p w14:paraId="6C31B91E" w14:textId="77777777" w:rsidR="00906C4C" w:rsidRDefault="00906C4C" w:rsidP="00906C4C">
      <w:pPr>
        <w:pStyle w:val="BulletList"/>
        <w:spacing w:after="120"/>
        <w:ind w:left="547"/>
        <w:rPr>
          <w:color w:val="auto"/>
        </w:rPr>
      </w:pPr>
      <w:r w:rsidRPr="00944ACB">
        <w:rPr>
          <w:color w:val="auto"/>
        </w:rPr>
        <w:t xml:space="preserve">Danger: ≥95 degrees Fahrenheit. </w:t>
      </w:r>
    </w:p>
    <w:p w14:paraId="4A97ACC2" w14:textId="77777777" w:rsidR="00906C4C" w:rsidRPr="006E63DC" w:rsidRDefault="00906C4C" w:rsidP="00906C4C">
      <w:pPr>
        <w:pStyle w:val="BulletList"/>
        <w:numPr>
          <w:ilvl w:val="0"/>
          <w:numId w:val="0"/>
        </w:numPr>
        <w:spacing w:line="276" w:lineRule="auto"/>
        <w:rPr>
          <w:rFonts w:eastAsiaTheme="minorEastAsia" w:cs="Calibri"/>
          <w:color w:val="auto"/>
          <w:szCs w:val="24"/>
        </w:rPr>
      </w:pPr>
      <w:r w:rsidRPr="00D16DAB">
        <w:rPr>
          <w:color w:val="auto"/>
        </w:rPr>
        <w:t xml:space="preserve">The </w:t>
      </w:r>
      <w:hyperlink r:id="rId154" w:history="1">
        <w:r w:rsidRPr="00F1105B">
          <w:rPr>
            <w:rStyle w:val="Hyperlink"/>
          </w:rPr>
          <w:t>OSHA-NIOSH Heat Safety Tool App</w:t>
        </w:r>
      </w:hyperlink>
      <w:r w:rsidRPr="002E2EA8">
        <w:t xml:space="preserve"> </w:t>
      </w:r>
      <w:r w:rsidRPr="00D16DAB">
        <w:rPr>
          <w:color w:val="auto"/>
        </w:rPr>
        <w:t>may be used to monitor heat conditions. A heat priority day o</w:t>
      </w:r>
      <w:r w:rsidRPr="006E63DC">
        <w:rPr>
          <w:rFonts w:eastAsiaTheme="minorEastAsia" w:cs="Calibri"/>
          <w:color w:val="auto"/>
          <w:szCs w:val="24"/>
        </w:rPr>
        <w:t>ccurs when the heat index is expected to be 80 degrees Fahrenheit or higher.</w:t>
      </w:r>
    </w:p>
    <w:p w14:paraId="115C7DE0" w14:textId="071449A0" w:rsidR="00906C4C" w:rsidRPr="00906C4C" w:rsidRDefault="00906C4C" w:rsidP="00906C4C">
      <w:pPr>
        <w:pStyle w:val="BodyText"/>
        <w:rPr>
          <w:color w:val="auto"/>
        </w:rPr>
      </w:pPr>
      <w:r w:rsidRPr="006E63DC">
        <w:rPr>
          <w:b/>
          <w:bCs/>
          <w:color w:val="auto"/>
          <w:highlight w:val="lightGray"/>
        </w:rPr>
        <w:t>Employer Take-away:</w:t>
      </w:r>
      <w:r w:rsidRPr="006E63DC">
        <w:rPr>
          <w:b/>
          <w:bCs/>
          <w:color w:val="auto"/>
        </w:rPr>
        <w:t xml:space="preserve"> </w:t>
      </w:r>
      <w:r w:rsidRPr="00944ACB">
        <w:rPr>
          <w:color w:val="auto"/>
        </w:rPr>
        <w:t>Employers should review the updated NEP and any existing heat illness prevention program to ensure their policies are adequate and current.</w:t>
      </w:r>
    </w:p>
    <w:p w14:paraId="2455C621" w14:textId="77777777" w:rsidR="00906C4C" w:rsidRPr="00C62E38" w:rsidRDefault="00906C4C" w:rsidP="00906C4C">
      <w:pPr>
        <w:spacing w:line="278" w:lineRule="auto"/>
        <w:rPr>
          <w:b/>
          <w:bCs/>
          <w:caps/>
          <w:noProof/>
          <w:color w:val="0E425C"/>
          <w:sz w:val="28"/>
          <w:szCs w:val="28"/>
        </w:rPr>
      </w:pPr>
      <w:r w:rsidRPr="00113C81">
        <w:rPr>
          <w:b/>
          <w:bCs/>
          <w:caps/>
          <w:noProof/>
          <w:color w:val="0070C0"/>
          <w:sz w:val="28"/>
          <w:szCs w:val="28"/>
        </w:rPr>
        <w:t xml:space="preserve">Overview: </w:t>
      </w:r>
      <w:r w:rsidRPr="00880327">
        <w:rPr>
          <w:b/>
          <w:bCs/>
          <w:caps/>
          <w:noProof/>
          <w:color w:val="0E425C"/>
          <w:sz w:val="28"/>
          <w:szCs w:val="28"/>
        </w:rPr>
        <w:t xml:space="preserve">State Employee Leave Law </w:t>
      </w:r>
      <w:commentRangeStart w:id="4"/>
      <w:r w:rsidRPr="00880327">
        <w:rPr>
          <w:b/>
          <w:bCs/>
          <w:caps/>
          <w:noProof/>
          <w:color w:val="0E425C"/>
          <w:sz w:val="28"/>
          <w:szCs w:val="28"/>
        </w:rPr>
        <w:t>Developments</w:t>
      </w:r>
      <w:commentRangeEnd w:id="4"/>
      <w:r w:rsidRPr="00C62E38">
        <w:rPr>
          <w:rStyle w:val="CommentReference"/>
          <w:b/>
          <w:bCs/>
          <w:caps/>
          <w:noProof/>
          <w:color w:val="0E425C"/>
          <w:sz w:val="28"/>
          <w:szCs w:val="28"/>
        </w:rPr>
        <w:commentReference w:id="4"/>
      </w:r>
    </w:p>
    <w:p w14:paraId="099EABF8" w14:textId="77777777" w:rsidR="00906C4C" w:rsidRPr="00AF4290" w:rsidRDefault="00906C4C" w:rsidP="00906C4C">
      <w:pPr>
        <w:spacing w:line="278" w:lineRule="auto"/>
      </w:pPr>
      <w:r w:rsidRPr="00AF4290">
        <w:t xml:space="preserve">Since the beginning of the year, brand-new paid family and medical leave programs have been launched in Delaware and Minnesota, and a significant redesign of the Washington paid family and medical leave program took effect. </w:t>
      </w:r>
    </w:p>
    <w:p w14:paraId="2738039D" w14:textId="77777777" w:rsidR="00906C4C" w:rsidRPr="00AF4290" w:rsidRDefault="00906C4C" w:rsidP="00906C4C">
      <w:pPr>
        <w:spacing w:line="278" w:lineRule="auto"/>
      </w:pPr>
      <w:r w:rsidRPr="00AF4290">
        <w:t>Smaller expansions to existing leave rights have gone into effect since January in states such as California, Colorado, Connecticut, Oregon and Rhode Island.</w:t>
      </w:r>
    </w:p>
    <w:p w14:paraId="0B43AFEF" w14:textId="2AEF728E" w:rsidR="00FE503A" w:rsidRDefault="00906C4C" w:rsidP="00906C4C">
      <w:pPr>
        <w:pStyle w:val="BodyText"/>
        <w:spacing w:after="0" w:line="240" w:lineRule="auto"/>
        <w:ind w:right="274"/>
        <w:rPr>
          <w:rFonts w:eastAsiaTheme="minorHAnsi" w:cs="Calibri"/>
          <w:b/>
          <w:bCs/>
          <w:color w:val="C00000"/>
          <w:kern w:val="36"/>
          <w:szCs w:val="22"/>
        </w:rPr>
      </w:pPr>
      <w:r w:rsidRPr="00AF4290">
        <w:rPr>
          <w:color w:val="auto"/>
        </w:rPr>
        <w:t xml:space="preserve">Employers </w:t>
      </w:r>
      <w:r>
        <w:rPr>
          <w:color w:val="auto"/>
        </w:rPr>
        <w:t>are strongly encouraged</w:t>
      </w:r>
      <w:r w:rsidRPr="00AF4290">
        <w:rPr>
          <w:color w:val="auto"/>
        </w:rPr>
        <w:t xml:space="preserve"> also keep their eye on the near-term horizon, as more changes in the employee leave landscape are</w:t>
      </w:r>
      <w:r>
        <w:rPr>
          <w:color w:val="auto"/>
        </w:rPr>
        <w:t xml:space="preserve"> anticipated </w:t>
      </w:r>
      <w:r w:rsidRPr="00AF4290">
        <w:rPr>
          <w:color w:val="auto"/>
        </w:rPr>
        <w:t xml:space="preserve">this year, particularly in Illinois, Maine and New Jersey. </w:t>
      </w:r>
      <w:r>
        <w:rPr>
          <w:color w:val="auto"/>
        </w:rPr>
        <w:t>Employers engaging directly with ETC for HR Compliance Support engagements will continue to receive state regulatory updates assisting multi-state employers remain “in the know.”</w:t>
      </w:r>
    </w:p>
    <w:p w14:paraId="7CA1D280" w14:textId="77777777" w:rsidR="00FE503A" w:rsidRDefault="00FE503A" w:rsidP="008F584F">
      <w:pPr>
        <w:pStyle w:val="BodyText"/>
        <w:spacing w:after="0" w:line="240" w:lineRule="auto"/>
        <w:ind w:right="274"/>
        <w:rPr>
          <w:rFonts w:eastAsiaTheme="minorHAnsi" w:cs="Calibri"/>
          <w:b/>
          <w:bCs/>
          <w:color w:val="C00000"/>
          <w:kern w:val="36"/>
          <w:szCs w:val="22"/>
        </w:rPr>
      </w:pPr>
    </w:p>
    <w:p w14:paraId="08D95EAE" w14:textId="1401270C" w:rsidR="008F584F" w:rsidRPr="00FE503A" w:rsidRDefault="008F584F" w:rsidP="008F584F">
      <w:pPr>
        <w:pStyle w:val="BodyText"/>
        <w:spacing w:after="0" w:line="240" w:lineRule="auto"/>
        <w:ind w:right="274"/>
        <w:rPr>
          <w:rFonts w:eastAsiaTheme="minorHAnsi" w:cs="Calibri"/>
          <w:b/>
          <w:bCs/>
          <w:color w:val="C00000"/>
          <w:kern w:val="36"/>
          <w:sz w:val="28"/>
          <w:szCs w:val="28"/>
        </w:rPr>
      </w:pPr>
      <w:r w:rsidRPr="00FE503A">
        <w:rPr>
          <w:rFonts w:eastAsiaTheme="minorHAnsi" w:cs="Calibri"/>
          <w:b/>
          <w:bCs/>
          <w:color w:val="C00000"/>
          <w:kern w:val="36"/>
          <w:sz w:val="28"/>
          <w:szCs w:val="28"/>
        </w:rPr>
        <w:t>March 2026 Alerts/Reminders:</w:t>
      </w:r>
    </w:p>
    <w:p w14:paraId="6A5C5B89" w14:textId="77777777" w:rsidR="008F584F" w:rsidRPr="00FE503A" w:rsidRDefault="008F584F" w:rsidP="001558B8">
      <w:pPr>
        <w:pStyle w:val="BodyText"/>
        <w:spacing w:after="0" w:line="240" w:lineRule="auto"/>
        <w:ind w:right="274"/>
        <w:rPr>
          <w:rFonts w:eastAsiaTheme="minorHAnsi" w:cs="Calibri"/>
          <w:b/>
          <w:bCs/>
          <w:color w:val="auto"/>
          <w:kern w:val="36"/>
          <w:sz w:val="12"/>
          <w:szCs w:val="12"/>
        </w:rPr>
      </w:pPr>
    </w:p>
    <w:p w14:paraId="17B71A17" w14:textId="77777777" w:rsidR="008F584F" w:rsidRDefault="008F584F" w:rsidP="008F584F">
      <w:pPr>
        <w:pStyle w:val="MainSectionHead"/>
        <w:spacing w:before="0" w:after="0" w:line="240" w:lineRule="auto"/>
        <w:rPr>
          <w:caps/>
          <w:color w:val="0070C0"/>
        </w:rPr>
      </w:pPr>
      <w:r w:rsidRPr="009B6798">
        <w:rPr>
          <w:caps/>
        </w:rPr>
        <w:t>Preparing for 2025 RxDC Reporting –</w:t>
      </w:r>
      <w:r w:rsidRPr="009B6798">
        <w:rPr>
          <w:caps/>
          <w:color w:val="0070C0"/>
        </w:rPr>
        <w:t xml:space="preserve"> </w:t>
      </w:r>
    </w:p>
    <w:p w14:paraId="6670AA09" w14:textId="77777777" w:rsidR="008F584F" w:rsidRPr="009B6798" w:rsidRDefault="008F584F" w:rsidP="008F584F">
      <w:pPr>
        <w:pStyle w:val="MainSectionHead"/>
        <w:spacing w:before="0" w:after="0" w:line="240" w:lineRule="auto"/>
        <w:rPr>
          <w:caps/>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0B3818A1" w14:textId="77777777" w:rsidR="008F584F" w:rsidRPr="005E5A41" w:rsidRDefault="008F584F" w:rsidP="008F584F">
      <w:pPr>
        <w:pStyle w:val="BulletList"/>
        <w:ind w:left="450"/>
        <w:rPr>
          <w:rFonts w:cs="Calibri"/>
          <w:color w:val="auto"/>
          <w:szCs w:val="24"/>
        </w:rPr>
      </w:pPr>
      <w:r w:rsidRPr="005E5A41">
        <w:rPr>
          <w:rFonts w:cs="Calibri"/>
          <w:color w:val="auto"/>
          <w:szCs w:val="24"/>
        </w:rPr>
        <w:t>Health plans and issuers are required to submit RxDC reports annually.</w:t>
      </w:r>
    </w:p>
    <w:p w14:paraId="0215878C" w14:textId="77777777" w:rsidR="008F584F" w:rsidRPr="005E5A41" w:rsidRDefault="008F584F" w:rsidP="008F584F">
      <w:pPr>
        <w:pStyle w:val="BulletList"/>
        <w:ind w:left="450"/>
        <w:rPr>
          <w:rFonts w:cs="Calibri"/>
          <w:color w:val="auto"/>
          <w:szCs w:val="24"/>
        </w:rPr>
      </w:pPr>
      <w:r w:rsidRPr="005E5A41">
        <w:rPr>
          <w:rFonts w:cs="Calibri"/>
          <w:color w:val="auto"/>
          <w:szCs w:val="24"/>
        </w:rPr>
        <w:t>Most employers rely on issuers, TPAs or PBMs to submit RxDC files for their health plans.</w:t>
      </w:r>
    </w:p>
    <w:p w14:paraId="0EFDBC09" w14:textId="77777777" w:rsidR="008F584F" w:rsidRPr="005E5A41" w:rsidRDefault="008F584F" w:rsidP="008F584F">
      <w:pPr>
        <w:pStyle w:val="BulletList"/>
        <w:ind w:left="450"/>
        <w:rPr>
          <w:rFonts w:cs="Calibri"/>
          <w:color w:val="auto"/>
          <w:szCs w:val="24"/>
        </w:rPr>
      </w:pPr>
      <w:r w:rsidRPr="005E5A41">
        <w:rPr>
          <w:rFonts w:cs="Calibri"/>
          <w:color w:val="auto"/>
          <w:szCs w:val="24"/>
        </w:rPr>
        <w:t>If an issuer is required by written agreement to submit the RxDC report for a fully insured health plan but fails to do so, then the issuer (not the plan) violates the reporting requirements.</w:t>
      </w:r>
    </w:p>
    <w:p w14:paraId="37236543" w14:textId="77777777" w:rsidR="008F584F" w:rsidRPr="008B688D" w:rsidRDefault="008F584F" w:rsidP="008F584F">
      <w:pPr>
        <w:pStyle w:val="BulletList"/>
        <w:ind w:left="450"/>
        <w:rPr>
          <w:rFonts w:cs="Calibri"/>
          <w:color w:val="auto"/>
          <w:szCs w:val="24"/>
        </w:rPr>
      </w:pPr>
      <w:r w:rsidRPr="005E5A41">
        <w:rPr>
          <w:rFonts w:cs="Calibri"/>
          <w:color w:val="auto"/>
          <w:szCs w:val="24"/>
        </w:rPr>
        <w:t>The reporting liability stays with a self-insured health plan, even if a third party contractually agrees to submit the required information.</w:t>
      </w:r>
    </w:p>
    <w:p w14:paraId="63F08A76" w14:textId="77777777" w:rsidR="008F584F" w:rsidRPr="005E5A41" w:rsidRDefault="008F584F" w:rsidP="008F584F">
      <w:pPr>
        <w:pStyle w:val="BodyText"/>
      </w:pPr>
      <w:r w:rsidRPr="005E5A41">
        <w:rPr>
          <w:color w:val="auto"/>
        </w:rPr>
        <w:t>The RxDC report is comprised of several files, including those that require specific plan-level information, such as plan year beginning and end dates and enrollment and premium data. It also includes files that require detailed information about medical and pharmacy benefits. There are no major changes to the</w:t>
      </w:r>
      <w:r w:rsidRPr="005E5A41">
        <w:t xml:space="preserve"> </w:t>
      </w:r>
      <w:hyperlink r:id="rId159" w:history="1">
        <w:r w:rsidRPr="005E5A41">
          <w:rPr>
            <w:rStyle w:val="Hyperlink"/>
          </w:rPr>
          <w:t>reporting instructions</w:t>
        </w:r>
      </w:hyperlink>
      <w:r w:rsidRPr="005E5A41">
        <w:rPr>
          <w:color w:val="auto"/>
        </w:rPr>
        <w:t xml:space="preserve"> from the RxDC reporting that was completed in 2025.</w:t>
      </w:r>
    </w:p>
    <w:p w14:paraId="1DFCC9E1" w14:textId="77777777" w:rsidR="008F584F" w:rsidRPr="005E5A41" w:rsidRDefault="008F584F" w:rsidP="008F584F">
      <w:pPr>
        <w:pStyle w:val="BodyText"/>
        <w:rPr>
          <w:b/>
          <w:color w:val="auto"/>
        </w:rPr>
      </w:pPr>
      <w:r w:rsidRPr="005E5A41">
        <w:rPr>
          <w:color w:val="auto"/>
        </w:rPr>
        <w:t>Most employers contract with third parties, such as issuers, third-party administrators (TPAs</w:t>
      </w:r>
      <w:r>
        <w:rPr>
          <w:color w:val="auto"/>
        </w:rPr>
        <w:t>)</w:t>
      </w:r>
      <w:r w:rsidRPr="005E5A41">
        <w:rPr>
          <w:color w:val="auto"/>
        </w:rPr>
        <w:t xml:space="preserve">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w:t>
      </w:r>
    </w:p>
    <w:p w14:paraId="05D97DA1" w14:textId="77777777" w:rsidR="008F584F" w:rsidRPr="005E5A41" w:rsidRDefault="008F584F" w:rsidP="008F584F">
      <w:pPr>
        <w:pStyle w:val="BodyText"/>
        <w:rPr>
          <w:color w:val="auto"/>
        </w:rPr>
      </w:pPr>
      <w:r w:rsidRPr="005E5A41">
        <w:rPr>
          <w:color w:val="auto"/>
        </w:rPr>
        <w:lastRenderedPageBreak/>
        <w:t>Employers should start reaching out to their issuers, TPAs or PBMs, as applicable, to confirm that they will submit the RxDC files for their health plans by June 1, 2026. Employers should also confirm that their written agreements with these third parties address this reporting responsibility.</w:t>
      </w:r>
    </w:p>
    <w:p w14:paraId="03B54882" w14:textId="77777777" w:rsidR="008F584F" w:rsidRPr="005E5A41" w:rsidRDefault="008F584F" w:rsidP="008F584F">
      <w:pPr>
        <w:pStyle w:val="BodyText"/>
        <w:rPr>
          <w:color w:val="auto"/>
        </w:rPr>
      </w:pPr>
      <w:r w:rsidRPr="005E5A41">
        <w:rPr>
          <w:color w:val="auto"/>
        </w:rPr>
        <w:t xml:space="preserve">Also, employers will likely need to provide their third-party vendors with plan-specific information, such as enrollment and premium data, to complete their RxDC submission. Employers should </w:t>
      </w:r>
      <w:r>
        <w:rPr>
          <w:color w:val="auto"/>
        </w:rPr>
        <w:t>be on the lookout for</w:t>
      </w:r>
      <w:r w:rsidRPr="005E5A41">
        <w:rPr>
          <w:color w:val="auto"/>
        </w:rPr>
        <w:t xml:space="preserve"> these vendor surveys and promptly provide the requested information. Because employers with self-funded plans are ultimately responsible for RxDC reporting, they should monitor their TPAs’ or PBMs’ compliance with this reporting requirement. </w:t>
      </w:r>
    </w:p>
    <w:p w14:paraId="5CAB4D7C" w14:textId="77777777" w:rsidR="008F584F" w:rsidRDefault="008F584F" w:rsidP="008F584F">
      <w:pPr>
        <w:pStyle w:val="BodyText"/>
      </w:pPr>
      <w:r w:rsidRPr="005E5A41">
        <w:rPr>
          <w:color w:val="auto"/>
        </w:rPr>
        <w:t xml:space="preserve">More information on RxDC reporting, including updated reporting instructions, is available on CMS’ RxDC </w:t>
      </w:r>
      <w:hyperlink r:id="rId160" w:history="1">
        <w:r w:rsidRPr="005E5A41">
          <w:rPr>
            <w:rStyle w:val="Hyperlink"/>
          </w:rPr>
          <w:t>website</w:t>
        </w:r>
      </w:hyperlink>
      <w:r w:rsidRPr="005E5A41">
        <w:t xml:space="preserve">. </w:t>
      </w:r>
    </w:p>
    <w:p w14:paraId="0CB154B7" w14:textId="77777777" w:rsidR="00C058AC" w:rsidRPr="008A7C2F" w:rsidRDefault="00C058AC" w:rsidP="00C058AC">
      <w:pPr>
        <w:pStyle w:val="BodyText"/>
        <w:rPr>
          <w:b/>
          <w:bCs/>
          <w:caps/>
          <w:noProof/>
          <w:color w:val="0E425C"/>
          <w:sz w:val="28"/>
          <w:szCs w:val="28"/>
        </w:rPr>
      </w:pPr>
      <w:r w:rsidRPr="008A7C2F">
        <w:rPr>
          <w:b/>
          <w:bCs/>
          <w:caps/>
          <w:noProof/>
          <w:color w:val="0E425C"/>
          <w:sz w:val="28"/>
          <w:szCs w:val="28"/>
        </w:rPr>
        <w:t>April is Workplace Violence Previ</w:t>
      </w:r>
      <w:r>
        <w:rPr>
          <w:b/>
          <w:bCs/>
          <w:caps/>
          <w:noProof/>
          <w:color w:val="0E425C"/>
          <w:sz w:val="28"/>
          <w:szCs w:val="28"/>
        </w:rPr>
        <w:t>t</w:t>
      </w:r>
      <w:r w:rsidRPr="008A7C2F">
        <w:rPr>
          <w:b/>
          <w:bCs/>
          <w:caps/>
          <w:noProof/>
          <w:color w:val="0E425C"/>
          <w:sz w:val="28"/>
          <w:szCs w:val="28"/>
        </w:rPr>
        <w:t xml:space="preserve">ion Month </w:t>
      </w:r>
    </w:p>
    <w:p w14:paraId="0A0BA83B" w14:textId="77777777" w:rsidR="00C058AC" w:rsidRPr="00C058AC" w:rsidRDefault="00C058AC" w:rsidP="00C058AC">
      <w:pPr>
        <w:pStyle w:val="BodyText"/>
        <w:rPr>
          <w:color w:val="auto"/>
        </w:rPr>
      </w:pPr>
      <w:r w:rsidRPr="00C058AC">
        <w:rPr>
          <w:color w:val="auto"/>
        </w:rPr>
        <w:t>With April being designated as Workplace Violence Prevention Month, it is a great time for employers to not only understand that dangerous altercations can happen anywhere, even at work, but also assess the need for related handbook policies as violent acts are the third leading cause of injuries in the workplace.</w:t>
      </w:r>
    </w:p>
    <w:p w14:paraId="7C41984D" w14:textId="77777777" w:rsidR="00C058AC" w:rsidRPr="00C058AC" w:rsidRDefault="00C058AC" w:rsidP="00C058AC">
      <w:pPr>
        <w:pStyle w:val="BodyText"/>
        <w:rPr>
          <w:color w:val="auto"/>
        </w:rPr>
      </w:pPr>
      <w:r w:rsidRPr="00C058AC">
        <w:rPr>
          <w:color w:val="auto"/>
        </w:rPr>
        <w:t>Anyone who comes in contact with your business – employees, customers, contractors, vendors and even parties connected to employees – can create a safety risk, and at present, there are no federal regulations mandating that employers take steps to prevent or respond to workplace violence. However, employers are still expected to maintain a hazard-free workplace under the Occupational Safety and Health Act’s General Duty Clause.  When it comes to enforcement, the Occupational Safety and Health Administration (OSHA) typically looks at whether an employer knew or should have known of a serious risk and failed to act.</w:t>
      </w:r>
      <w:r w:rsidRPr="00C058AC">
        <w:rPr>
          <w:rFonts w:ascii="Georgia" w:hAnsi="Georgia"/>
          <w:b/>
          <w:bCs/>
          <w:color w:val="auto"/>
          <w:spacing w:val="3"/>
          <w:sz w:val="27"/>
          <w:szCs w:val="27"/>
          <w:shd w:val="clear" w:color="auto" w:fill="FFFFFF"/>
        </w:rPr>
        <w:t xml:space="preserve"> </w:t>
      </w:r>
      <w:r w:rsidRPr="00C058AC">
        <w:rPr>
          <w:b/>
          <w:bCs/>
          <w:color w:val="auto"/>
        </w:rPr>
        <w:t>At the state level, it’s a different story. </w:t>
      </w:r>
      <w:r w:rsidRPr="00C058AC">
        <w:rPr>
          <w:color w:val="auto"/>
        </w:rPr>
        <w:t>More than half of the states have issued their own workplace violence prevention rules for employers, but many are limited to healthcare settings. These rules vary broadly and typically apply to different sectors. The common thread among these state rules is that they require employers to develop comprehensive plans, implement training, keep records, and remediate after the incident. </w:t>
      </w:r>
    </w:p>
    <w:p w14:paraId="7B7CBD00" w14:textId="77777777" w:rsidR="00C058AC" w:rsidRPr="00C058AC" w:rsidRDefault="00C058AC" w:rsidP="00C058AC">
      <w:pPr>
        <w:pStyle w:val="BodyText"/>
        <w:rPr>
          <w:color w:val="auto"/>
        </w:rPr>
      </w:pPr>
      <w:r w:rsidRPr="00C058AC">
        <w:rPr>
          <w:color w:val="auto"/>
        </w:rPr>
        <w:t>Employers are encouraged to review their policies and determine whether they would benefit from adopting a Workplace Violence Policy and/or ensuring their policies address related employee expectations as to prohibited conduct and/or weapons.  Additionally, multi-state employers are encouraged understand any applicable state regulations and/or requirements related to workplace violence.</w:t>
      </w:r>
    </w:p>
    <w:p w14:paraId="7E80C3E7" w14:textId="77777777" w:rsidR="008F584F" w:rsidRPr="00DD7BD1" w:rsidRDefault="008F584F" w:rsidP="001558B8">
      <w:pPr>
        <w:pStyle w:val="BodyText"/>
        <w:spacing w:after="0" w:line="240" w:lineRule="auto"/>
        <w:ind w:right="274"/>
        <w:rPr>
          <w:rFonts w:eastAsiaTheme="minorHAnsi" w:cs="Calibri"/>
          <w:b/>
          <w:bCs/>
          <w:color w:val="auto"/>
          <w:kern w:val="36"/>
          <w:szCs w:val="22"/>
        </w:rPr>
      </w:pPr>
    </w:p>
    <w:p w14:paraId="73E4A459" w14:textId="130AB048" w:rsidR="006A0AA7" w:rsidRPr="00DD7BD1" w:rsidRDefault="006A0AA7"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February 2026 Alerts/Reminders:</w:t>
      </w:r>
    </w:p>
    <w:p w14:paraId="68EEC62D" w14:textId="21342A32" w:rsidR="00B32A03" w:rsidRPr="00DD7BD1" w:rsidRDefault="00B32A03" w:rsidP="00B32A03">
      <w:pPr>
        <w:pStyle w:val="Heading1"/>
        <w:shd w:val="clear" w:color="auto" w:fill="FFFFFF"/>
        <w:spacing w:before="0" w:beforeAutospacing="0" w:after="0" w:afterAutospacing="0" w:line="264" w:lineRule="atLeast"/>
        <w:ind w:left="54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Benefits_____________________________________________________________________________</w:t>
      </w:r>
    </w:p>
    <w:p w14:paraId="2B359C4B" w14:textId="77777777" w:rsidR="00B32A03" w:rsidRPr="00DD7BD1" w:rsidRDefault="00B32A03" w:rsidP="00B32A03">
      <w:pPr>
        <w:pStyle w:val="Heading1"/>
        <w:spacing w:before="0" w:beforeAutospacing="0" w:after="0" w:afterAutospacing="0"/>
        <w:ind w:left="1080"/>
        <w:rPr>
          <w:rFonts w:ascii="Calibri" w:hAnsi="Calibri" w:cs="Calibri"/>
          <w:color w:val="0070C0"/>
          <w:sz w:val="24"/>
          <w:szCs w:val="24"/>
        </w:rPr>
      </w:pPr>
      <w:r w:rsidRPr="00DD7BD1">
        <w:rPr>
          <w:rFonts w:ascii="Calibri" w:eastAsiaTheme="minorHAnsi" w:hAnsi="Calibri" w:cs="Calibri"/>
          <w:color w:val="C00000"/>
          <w:sz w:val="24"/>
          <w:szCs w:val="24"/>
          <w:u w:val="single"/>
        </w:rPr>
        <w:t>New!</w:t>
      </w:r>
      <w:r w:rsidRPr="00DD7BD1">
        <w:rPr>
          <w:rFonts w:ascii="Calibri" w:eastAsiaTheme="minorHAnsi" w:hAnsi="Calibri" w:cs="Calibri"/>
          <w:color w:val="0070C0"/>
          <w:sz w:val="24"/>
          <w:szCs w:val="24"/>
          <w:u w:val="single"/>
        </w:rPr>
        <w:t xml:space="preserve"> </w:t>
      </w:r>
      <w:r w:rsidRPr="00DD7BD1">
        <w:rPr>
          <w:rFonts w:ascii="Calibri" w:hAnsi="Calibri" w:cs="Calibri"/>
          <w:sz w:val="24"/>
          <w:szCs w:val="24"/>
        </w:rPr>
        <w:t>Benefit</w:t>
      </w:r>
      <w:r w:rsidRPr="00DD7BD1">
        <w:rPr>
          <w:rFonts w:ascii="Calibri" w:hAnsi="Calibri" w:cs="Calibri"/>
          <w:spacing w:val="-11"/>
          <w:sz w:val="24"/>
          <w:szCs w:val="24"/>
        </w:rPr>
        <w:t xml:space="preserve"> </w:t>
      </w:r>
      <w:r w:rsidRPr="00DD7BD1">
        <w:rPr>
          <w:rFonts w:ascii="Calibri" w:hAnsi="Calibri" w:cs="Calibri"/>
          <w:sz w:val="24"/>
          <w:szCs w:val="24"/>
        </w:rPr>
        <w:t>Plans</w:t>
      </w:r>
      <w:r w:rsidRPr="00DD7BD1">
        <w:rPr>
          <w:rFonts w:ascii="Calibri" w:hAnsi="Calibri" w:cs="Calibri"/>
          <w:spacing w:val="-12"/>
          <w:sz w:val="24"/>
          <w:szCs w:val="24"/>
        </w:rPr>
        <w:t xml:space="preserve"> </w:t>
      </w:r>
      <w:r w:rsidRPr="00DD7BD1">
        <w:rPr>
          <w:rFonts w:ascii="Calibri" w:hAnsi="Calibri" w:cs="Calibri"/>
          <w:sz w:val="24"/>
          <w:szCs w:val="24"/>
        </w:rPr>
        <w:t>Starting</w:t>
      </w:r>
      <w:r w:rsidRPr="00DD7BD1">
        <w:rPr>
          <w:rFonts w:ascii="Calibri" w:hAnsi="Calibri" w:cs="Calibri"/>
          <w:spacing w:val="-5"/>
          <w:sz w:val="24"/>
          <w:szCs w:val="24"/>
        </w:rPr>
        <w:t xml:space="preserve"> </w:t>
      </w:r>
      <w:r w:rsidRPr="00DD7BD1">
        <w:rPr>
          <w:rFonts w:ascii="Calibri" w:hAnsi="Calibri" w:cs="Calibri"/>
          <w:i/>
          <w:iCs/>
          <w:color w:val="0070C0"/>
          <w:sz w:val="24"/>
          <w:szCs w:val="24"/>
        </w:rPr>
        <w:t>February</w:t>
      </w:r>
      <w:r w:rsidRPr="00DD7BD1">
        <w:rPr>
          <w:rFonts w:ascii="Calibri" w:hAnsi="Calibri" w:cs="Calibri"/>
          <w:i/>
          <w:iCs/>
          <w:color w:val="0070C0"/>
          <w:spacing w:val="-12"/>
          <w:sz w:val="24"/>
          <w:szCs w:val="24"/>
        </w:rPr>
        <w:t xml:space="preserve"> </w:t>
      </w:r>
      <w:r w:rsidRPr="00DD7BD1">
        <w:rPr>
          <w:rFonts w:ascii="Calibri" w:hAnsi="Calibri" w:cs="Calibri"/>
          <w:i/>
          <w:iCs/>
          <w:color w:val="0070C0"/>
          <w:sz w:val="24"/>
          <w:szCs w:val="24"/>
        </w:rPr>
        <w:t>1</w:t>
      </w:r>
      <w:r w:rsidRPr="00DD7BD1">
        <w:rPr>
          <w:rFonts w:ascii="Calibri" w:hAnsi="Calibri" w:cs="Calibri"/>
          <w:color w:val="0070C0"/>
          <w:spacing w:val="-28"/>
          <w:sz w:val="24"/>
          <w:szCs w:val="24"/>
        </w:rPr>
        <w:t xml:space="preserve"> </w:t>
      </w:r>
      <w:r w:rsidRPr="00DD7BD1">
        <w:rPr>
          <w:rFonts w:ascii="Calibri" w:hAnsi="Calibri" w:cs="Calibri"/>
          <w:sz w:val="24"/>
          <w:szCs w:val="24"/>
        </w:rPr>
        <w:t>-</w:t>
      </w:r>
      <w:r w:rsidRPr="00DD7BD1">
        <w:rPr>
          <w:rFonts w:ascii="Calibri" w:hAnsi="Calibri" w:cs="Calibri"/>
          <w:spacing w:val="-6"/>
          <w:sz w:val="24"/>
          <w:szCs w:val="24"/>
        </w:rPr>
        <w:t xml:space="preserve"> </w:t>
      </w:r>
      <w:r w:rsidRPr="00DD7BD1">
        <w:rPr>
          <w:rFonts w:ascii="Calibri" w:hAnsi="Calibri" w:cs="Calibri"/>
          <w:sz w:val="24"/>
          <w:szCs w:val="24"/>
        </w:rPr>
        <w:t>Employer’s</w:t>
      </w:r>
      <w:r w:rsidRPr="00DD7BD1">
        <w:rPr>
          <w:rFonts w:ascii="Calibri" w:hAnsi="Calibri" w:cs="Calibri"/>
          <w:spacing w:val="-11"/>
          <w:sz w:val="24"/>
          <w:szCs w:val="24"/>
        </w:rPr>
        <w:t xml:space="preserve"> </w:t>
      </w:r>
      <w:r w:rsidRPr="00DD7BD1">
        <w:rPr>
          <w:rFonts w:ascii="Calibri" w:hAnsi="Calibri" w:cs="Calibri"/>
          <w:sz w:val="24"/>
          <w:szCs w:val="24"/>
        </w:rPr>
        <w:t>CMS</w:t>
      </w:r>
      <w:r w:rsidRPr="00DD7BD1">
        <w:rPr>
          <w:rFonts w:ascii="Calibri" w:hAnsi="Calibri" w:cs="Calibri"/>
          <w:spacing w:val="-9"/>
          <w:sz w:val="24"/>
          <w:szCs w:val="24"/>
        </w:rPr>
        <w:t xml:space="preserve"> </w:t>
      </w:r>
      <w:r w:rsidRPr="00DD7BD1">
        <w:rPr>
          <w:rFonts w:ascii="Calibri" w:hAnsi="Calibri" w:cs="Calibri"/>
          <w:sz w:val="24"/>
          <w:szCs w:val="24"/>
        </w:rPr>
        <w:t>Part</w:t>
      </w:r>
      <w:r w:rsidRPr="00DD7BD1">
        <w:rPr>
          <w:rFonts w:ascii="Calibri" w:hAnsi="Calibri" w:cs="Calibri"/>
          <w:spacing w:val="-9"/>
          <w:sz w:val="24"/>
          <w:szCs w:val="24"/>
        </w:rPr>
        <w:t xml:space="preserve"> </w:t>
      </w:r>
      <w:r w:rsidRPr="00DD7BD1">
        <w:rPr>
          <w:rFonts w:ascii="Calibri" w:hAnsi="Calibri" w:cs="Calibri"/>
          <w:sz w:val="24"/>
          <w:szCs w:val="24"/>
        </w:rPr>
        <w:t>D</w:t>
      </w:r>
      <w:r w:rsidRPr="00DD7BD1">
        <w:rPr>
          <w:rFonts w:ascii="Calibri" w:hAnsi="Calibri" w:cs="Calibri"/>
          <w:spacing w:val="-12"/>
          <w:sz w:val="24"/>
          <w:szCs w:val="24"/>
        </w:rPr>
        <w:t xml:space="preserve"> </w:t>
      </w:r>
      <w:r w:rsidRPr="00DD7BD1">
        <w:rPr>
          <w:rFonts w:ascii="Calibri" w:hAnsi="Calibri" w:cs="Calibri"/>
          <w:sz w:val="24"/>
          <w:szCs w:val="24"/>
        </w:rPr>
        <w:t>Creditable</w:t>
      </w:r>
      <w:r w:rsidRPr="00DD7BD1">
        <w:rPr>
          <w:rFonts w:ascii="Calibri" w:hAnsi="Calibri" w:cs="Calibri"/>
          <w:spacing w:val="-11"/>
          <w:sz w:val="24"/>
          <w:szCs w:val="24"/>
        </w:rPr>
        <w:t xml:space="preserve"> </w:t>
      </w:r>
      <w:r w:rsidRPr="00DD7BD1">
        <w:rPr>
          <w:rFonts w:ascii="Calibri" w:hAnsi="Calibri" w:cs="Calibri"/>
          <w:sz w:val="24"/>
          <w:szCs w:val="24"/>
        </w:rPr>
        <w:t>Coverage Online</w:t>
      </w:r>
      <w:r w:rsidRPr="00DD7BD1">
        <w:rPr>
          <w:rFonts w:ascii="Calibri" w:hAnsi="Calibri" w:cs="Calibri"/>
          <w:spacing w:val="-6"/>
          <w:sz w:val="24"/>
          <w:szCs w:val="24"/>
        </w:rPr>
        <w:t xml:space="preserve"> </w:t>
      </w:r>
      <w:r w:rsidRPr="00DD7BD1">
        <w:rPr>
          <w:rFonts w:ascii="Calibri" w:hAnsi="Calibri" w:cs="Calibri"/>
          <w:sz w:val="24"/>
          <w:szCs w:val="24"/>
        </w:rPr>
        <w:t>Disclosure</w:t>
      </w:r>
      <w:r w:rsidRPr="00DD7BD1">
        <w:rPr>
          <w:rFonts w:ascii="Calibri" w:hAnsi="Calibri" w:cs="Calibri"/>
          <w:spacing w:val="-5"/>
          <w:sz w:val="24"/>
          <w:szCs w:val="24"/>
        </w:rPr>
        <w:t xml:space="preserve"> </w:t>
      </w:r>
      <w:r w:rsidRPr="00DD7BD1">
        <w:rPr>
          <w:rFonts w:ascii="Calibri" w:hAnsi="Calibri" w:cs="Calibri"/>
          <w:sz w:val="24"/>
          <w:szCs w:val="24"/>
        </w:rPr>
        <w:t xml:space="preserve">– </w:t>
      </w:r>
      <w:r w:rsidRPr="00DD7BD1">
        <w:rPr>
          <w:rFonts w:ascii="Calibri" w:hAnsi="Calibri" w:cs="Calibri"/>
          <w:color w:val="0070C0"/>
          <w:sz w:val="24"/>
          <w:szCs w:val="24"/>
        </w:rPr>
        <w:t>March 31,</w:t>
      </w:r>
      <w:r w:rsidRPr="00DD7BD1">
        <w:rPr>
          <w:rFonts w:ascii="Calibri" w:hAnsi="Calibri" w:cs="Calibri"/>
          <w:color w:val="0070C0"/>
          <w:spacing w:val="-9"/>
          <w:sz w:val="24"/>
          <w:szCs w:val="24"/>
        </w:rPr>
        <w:t xml:space="preserve"> </w:t>
      </w:r>
      <w:r w:rsidRPr="00DD7BD1">
        <w:rPr>
          <w:rFonts w:ascii="Calibri" w:hAnsi="Calibri" w:cs="Calibri"/>
          <w:color w:val="0070C0"/>
          <w:sz w:val="24"/>
          <w:szCs w:val="24"/>
        </w:rPr>
        <w:t>2026</w:t>
      </w:r>
    </w:p>
    <w:p w14:paraId="42B9AAF5"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u w:val="single"/>
        </w:rPr>
        <w:t xml:space="preserve"> </w:t>
      </w:r>
      <w:r w:rsidRPr="00DD7BD1">
        <w:rPr>
          <w:rFonts w:ascii="Calibri" w:hAnsi="Calibri" w:cs="Calibri"/>
          <w:sz w:val="24"/>
          <w:szCs w:val="24"/>
        </w:rPr>
        <w:t>Annual HIPAA Notice of Privacy Practices (NPP) for Self &amp; Level Funded Health Plans –</w:t>
      </w:r>
      <w:r w:rsidRPr="00DD7BD1">
        <w:rPr>
          <w:rFonts w:ascii="Calibri" w:hAnsi="Calibri" w:cs="Calibri"/>
          <w:color w:val="C00000"/>
          <w:sz w:val="24"/>
          <w:szCs w:val="24"/>
        </w:rPr>
        <w:t xml:space="preserve"> </w:t>
      </w:r>
      <w:r w:rsidRPr="00DD7BD1">
        <w:rPr>
          <w:rFonts w:ascii="Calibri" w:hAnsi="Calibri" w:cs="Calibri"/>
          <w:color w:val="0070C0"/>
          <w:sz w:val="24"/>
          <w:szCs w:val="24"/>
        </w:rPr>
        <w:t>Eff Feb 16, 2026</w:t>
      </w:r>
    </w:p>
    <w:p w14:paraId="258EC65B" w14:textId="25A537CA"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Department of Health and Human Services (HHS) now requires specific updates to some </w:t>
      </w:r>
      <w:r w:rsidRPr="00DD7BD1">
        <w:rPr>
          <w:rFonts w:ascii="Calibri" w:hAnsi="Calibri" w:cs="Calibri"/>
          <w:b/>
          <w:bCs/>
        </w:rPr>
        <w:t>HIPAA Notice of Privacy Practices (NPPs or Notices)</w:t>
      </w:r>
      <w:r w:rsidRPr="00DD7BD1">
        <w:rPr>
          <w:rFonts w:ascii="Calibri" w:hAnsi="Calibri" w:cs="Calibri"/>
        </w:rPr>
        <w:t xml:space="preserve">. The updated Notice must now aligns with federal Substance Use Disorder (SUD) privacy protections (42 CFR Part 2) and is mandatory for organizations handling Protected Health Information (PHI) as of February 16.  Additionally on Feb 13, 2026, the U.S. Department of Health and Human Services (HHS) released updated </w:t>
      </w:r>
      <w:hyperlink r:id="rId161" w:history="1">
        <w:r w:rsidRPr="00DD7BD1">
          <w:rPr>
            <w:rStyle w:val="Hyperlink"/>
            <w:rFonts w:ascii="Calibri" w:hAnsi="Calibri" w:cs="Calibri"/>
          </w:rPr>
          <w:t>model HIPAA Notices of Privacy Practices</w:t>
        </w:r>
      </w:hyperlink>
      <w:r w:rsidRPr="00DD7BD1">
        <w:rPr>
          <w:rFonts w:ascii="Calibri" w:hAnsi="Calibri" w:cs="Calibri"/>
        </w:rPr>
        <w:t xml:space="preserve"> (Privacy Notices) for health plans and health care providers to use.</w:t>
      </w:r>
    </w:p>
    <w:p w14:paraId="715C59BD" w14:textId="77777777" w:rsidR="00B32A03" w:rsidRPr="00DD7BD1" w:rsidRDefault="00B32A03" w:rsidP="00B32A03">
      <w:pPr>
        <w:pStyle w:val="Heading2"/>
        <w:tabs>
          <w:tab w:val="left" w:pos="630"/>
        </w:tabs>
        <w:spacing w:line="276" w:lineRule="auto"/>
        <w:ind w:left="1260" w:right="360"/>
        <w:rPr>
          <w:rFonts w:ascii="Calibri" w:hAnsi="Calibri" w:cs="Calibri"/>
          <w:b/>
          <w:bCs/>
          <w:color w:val="auto"/>
          <w:sz w:val="22"/>
          <w:szCs w:val="22"/>
        </w:rPr>
      </w:pPr>
      <w:r w:rsidRPr="00DD7BD1">
        <w:rPr>
          <w:rFonts w:ascii="Calibri" w:hAnsi="Calibri" w:cs="Calibri"/>
          <w:b/>
          <w:bCs/>
          <w:color w:val="auto"/>
          <w:sz w:val="22"/>
          <w:szCs w:val="22"/>
        </w:rPr>
        <w:lastRenderedPageBreak/>
        <w:t>HIPAA Privacy Notice</w:t>
      </w:r>
    </w:p>
    <w:p w14:paraId="7EEB88D7"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HIPAA Privacy Rule generally requires covered entities to develop and distribute a Privacy Notice that provides a clear, user-friendly explanation of individuals’ rights with respect to their protected health information (PHI) and the entity’s privacy practices. </w:t>
      </w:r>
    </w:p>
    <w:p w14:paraId="2CED9093" w14:textId="77777777" w:rsidR="00B32A03" w:rsidRPr="00DD7BD1" w:rsidRDefault="00B32A03" w:rsidP="00B32A03">
      <w:pPr>
        <w:tabs>
          <w:tab w:val="left" w:pos="630"/>
        </w:tabs>
        <w:spacing w:after="100" w:line="276" w:lineRule="auto"/>
        <w:ind w:left="1260" w:right="360"/>
        <w:rPr>
          <w:rFonts w:ascii="Calibri" w:hAnsi="Calibri" w:cs="Calibri"/>
        </w:rPr>
      </w:pPr>
      <w:r w:rsidRPr="00DD7BD1">
        <w:rPr>
          <w:rFonts w:ascii="Calibri" w:hAnsi="Calibri" w:cs="Calibri"/>
        </w:rPr>
        <w:t xml:space="preserve">Self-insured health plans must maintain and provide their own Privacy Notices at enrollment time, when there is a material change to the notice and upon request. Special rules apply to fully insured health plans, which generally make the health insurance issuer, and not the health plan itself, primarily responsible for the Privacy Notice. Under these special rules: </w:t>
      </w:r>
    </w:p>
    <w:p w14:paraId="30D0239B" w14:textId="77777777" w:rsidR="00B32A03" w:rsidRPr="00DD7BD1" w:rsidRDefault="00B32A03">
      <w:pPr>
        <w:pStyle w:val="ListParagraph"/>
        <w:numPr>
          <w:ilvl w:val="0"/>
          <w:numId w:val="317"/>
        </w:numPr>
        <w:tabs>
          <w:tab w:val="left" w:pos="288"/>
          <w:tab w:val="left" w:pos="630"/>
        </w:tabs>
        <w:spacing w:after="60" w:line="276" w:lineRule="auto"/>
        <w:ind w:left="1980" w:right="360"/>
        <w:contextualSpacing w:val="0"/>
        <w:rPr>
          <w:rFonts w:ascii="Calibri" w:hAnsi="Calibri" w:cs="Calibri"/>
        </w:rPr>
      </w:pPr>
      <w:r w:rsidRPr="00DD7BD1">
        <w:rPr>
          <w:rFonts w:ascii="Calibri" w:hAnsi="Calibri" w:cs="Calibri"/>
        </w:rPr>
        <w:t xml:space="preserve">Fully insured health plans that do not have access to PHI (other than enrollment and summary health information) are not required to maintain or provide a Privacy Notice. </w:t>
      </w:r>
    </w:p>
    <w:p w14:paraId="3BF2C0BC" w14:textId="77777777" w:rsidR="00B32A03" w:rsidRPr="00DD7BD1" w:rsidRDefault="00B32A03">
      <w:pPr>
        <w:pStyle w:val="ListParagraph"/>
        <w:numPr>
          <w:ilvl w:val="0"/>
          <w:numId w:val="317"/>
        </w:numPr>
        <w:tabs>
          <w:tab w:val="left" w:pos="288"/>
          <w:tab w:val="left" w:pos="630"/>
        </w:tabs>
        <w:spacing w:after="100" w:line="276" w:lineRule="auto"/>
        <w:ind w:left="1980" w:right="360"/>
        <w:contextualSpacing w:val="0"/>
        <w:rPr>
          <w:rFonts w:ascii="Calibri" w:hAnsi="Calibri" w:cs="Calibri"/>
        </w:rPr>
      </w:pPr>
      <w:r w:rsidRPr="00DD7BD1">
        <w:rPr>
          <w:rFonts w:ascii="Calibri" w:hAnsi="Calibri" w:cs="Calibri"/>
        </w:rPr>
        <w:t>Fully insured health plans that have access to PHI must maintain a Privacy Notice and provide it upon request.</w:t>
      </w:r>
    </w:p>
    <w:p w14:paraId="6AD8B473" w14:textId="77777777" w:rsidR="00B32A03" w:rsidRPr="00DD7BD1" w:rsidRDefault="00B32A03" w:rsidP="00B32A03">
      <w:pPr>
        <w:pStyle w:val="Heading2"/>
        <w:tabs>
          <w:tab w:val="left" w:pos="630"/>
        </w:tabs>
        <w:spacing w:line="276" w:lineRule="auto"/>
        <w:ind w:left="1260" w:right="360"/>
        <w:rPr>
          <w:rFonts w:ascii="Calibri" w:hAnsi="Calibri" w:cs="Calibri"/>
          <w:b/>
          <w:bCs/>
          <w:sz w:val="22"/>
          <w:szCs w:val="22"/>
        </w:rPr>
      </w:pPr>
      <w:r w:rsidRPr="00DD7BD1">
        <w:rPr>
          <w:rFonts w:ascii="Calibri" w:hAnsi="Calibri" w:cs="Calibri"/>
          <w:b/>
          <w:bCs/>
          <w:color w:val="auto"/>
          <w:sz w:val="22"/>
          <w:szCs w:val="22"/>
        </w:rPr>
        <w:t>Updates for Part 2 Records</w:t>
      </w:r>
    </w:p>
    <w:p w14:paraId="168F9CE9"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Federal law protects the privacy of patient records related to SUD. The law applies to federally assisted programs providing education, prevention, training, treatment, rehabilitation, or research for SUD. The law provides safeguards and procedures for using and disclosing Part 2 records, including criteria for court orders to authorize disclosure of SUD records. </w:t>
      </w:r>
    </w:p>
    <w:p w14:paraId="1E83574F"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A </w:t>
      </w:r>
      <w:hyperlink r:id="rId162" w:history="1">
        <w:r w:rsidRPr="00DD7BD1">
          <w:rPr>
            <w:rStyle w:val="Hyperlink"/>
            <w:rFonts w:ascii="Calibri" w:hAnsi="Calibri" w:cs="Calibri"/>
          </w:rPr>
          <w:t>final rule</w:t>
        </w:r>
      </w:hyperlink>
      <w:r w:rsidRPr="00DD7BD1">
        <w:rPr>
          <w:rFonts w:ascii="Calibri" w:hAnsi="Calibri" w:cs="Calibri"/>
        </w:rPr>
        <w:t xml:space="preserve"> issued by HHS in April 2024 requires covered entities to update their HIPAA Privacy Notices if they receive or maintain Part 2 records. The updated Privacy Notices must address how the covered entity may use and disclose Part 2 records, the entity’s responsibilities with respect to the records and individuals’ privacy rights. The deadline for updating Privacy Notices for these additional privacy protections was </w:t>
      </w:r>
      <w:r w:rsidRPr="00DD7BD1">
        <w:rPr>
          <w:rFonts w:ascii="Calibri" w:hAnsi="Calibri" w:cs="Calibri"/>
          <w:b/>
          <w:bCs/>
        </w:rPr>
        <w:t>Feb. 16, 2026</w:t>
      </w:r>
      <w:r w:rsidRPr="00DD7BD1">
        <w:rPr>
          <w:rFonts w:ascii="Calibri" w:hAnsi="Calibri" w:cs="Calibri"/>
        </w:rPr>
        <w:t xml:space="preserve">. </w:t>
      </w:r>
    </w:p>
    <w:p w14:paraId="712C6EF8" w14:textId="2CFC7F9D"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Previously, HHS maintained model Privacy Notices in various formats (e.g., booklet, full-page, layered, and text-only versions) and provided Spanish translations for each format. In connection with updating its model Privacy Notices to incorporate the requirements for Part 2 records, HHS consolidated its model notices to single </w:t>
      </w:r>
      <w:hyperlink r:id="rId163" w:history="1">
        <w:r w:rsidRPr="00DD7BD1">
          <w:rPr>
            <w:rStyle w:val="Hyperlink"/>
            <w:rFonts w:ascii="Calibri" w:hAnsi="Calibri" w:cs="Calibri"/>
          </w:rPr>
          <w:t>text-only versions</w:t>
        </w:r>
      </w:hyperlink>
      <w:r w:rsidRPr="00DD7BD1">
        <w:rPr>
          <w:rFonts w:ascii="Calibri" w:hAnsi="Calibri" w:cs="Calibri"/>
        </w:rPr>
        <w:t xml:space="preserve"> for health plans and health care providers. </w:t>
      </w:r>
    </w:p>
    <w:p w14:paraId="50AA09E4"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MISC_____________________________________________________________________________</w:t>
      </w:r>
    </w:p>
    <w:p w14:paraId="264A5BF4"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Federal Mileage Reimbursement Rate 2026</w:t>
      </w:r>
    </w:p>
    <w:p w14:paraId="0DB6573E"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sz w:val="22"/>
        </w:rPr>
        <w:t>For 2026, the IRS standard mileage rate will be 72.5 cents per mile driven for business purposes (up from 70 cents in 2025). This rate also applies to electric and hybrid vehicles. Use of this rate is optional for private employers, though it’s widely accepted as an easy and standard reimbursement rate for employees who use their personal vehicle for work. If your organization uses the IRS rate to calculate mileage reimbursement, be sure to update your systems to account for this change.</w:t>
      </w:r>
    </w:p>
    <w:p w14:paraId="273D9076" w14:textId="77777777" w:rsidR="00B32A03" w:rsidRPr="00DD7BD1" w:rsidRDefault="00B32A03" w:rsidP="00B32A03">
      <w:pPr>
        <w:pStyle w:val="Heading1"/>
        <w:spacing w:before="0" w:beforeAutospacing="0" w:after="0" w:afterAutospacing="0"/>
        <w:rPr>
          <w:rFonts w:ascii="Calibri" w:hAnsi="Calibri" w:cs="Calibri"/>
          <w:color w:val="C00000"/>
          <w:sz w:val="16"/>
          <w:szCs w:val="16"/>
        </w:rPr>
      </w:pPr>
    </w:p>
    <w:p w14:paraId="7FDBB569"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ACA______________________________________________________________________________</w:t>
      </w:r>
    </w:p>
    <w:p w14:paraId="2ACB8657"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ACA 1095 Tax Form Distribution Due </w:t>
      </w:r>
      <w:r w:rsidRPr="00DD7BD1">
        <w:rPr>
          <w:rFonts w:ascii="Calibri" w:hAnsi="Calibri" w:cs="Calibri"/>
          <w:color w:val="0070C0"/>
          <w:sz w:val="24"/>
          <w:szCs w:val="24"/>
        </w:rPr>
        <w:t>March 2, 2026</w:t>
      </w:r>
    </w:p>
    <w:p w14:paraId="5CED818F" w14:textId="77777777" w:rsidR="00B32A03" w:rsidRPr="00DD7BD1" w:rsidRDefault="00B32A03" w:rsidP="00B32A03">
      <w:pPr>
        <w:pStyle w:val="TableParagraph"/>
        <w:spacing w:before="3" w:line="276" w:lineRule="auto"/>
        <w:ind w:left="1260"/>
        <w:jc w:val="left"/>
        <w:rPr>
          <w:rFonts w:ascii="Calibri" w:hAnsi="Calibri" w:cs="Calibri"/>
        </w:rPr>
      </w:pPr>
      <w:r w:rsidRPr="00DD7BD1">
        <w:rPr>
          <w:rFonts w:ascii="Calibri" w:eastAsia="Times New Roman" w:hAnsi="Calibri" w:cs="Calibri"/>
          <w:kern w:val="36"/>
        </w:rPr>
        <w:t xml:space="preserve">Distribution of the 1095-B (self-insured and level funded only plans of less than 50 FTEs) and 1095-C (&gt;50 FTE Applicable Large Employers (ALEs)) to employees by this deadline is required. Regulations require these forms are due no later than 30 days after Jan 31 of the following year (or next business day if the 30th falls on a weekend or holiday). Access the Distribution Rules: </w:t>
      </w:r>
      <w:hyperlink r:id="rId164" w:anchor="en_US_2021_publink100033116" w:history="1">
        <w:r w:rsidRPr="00DD7BD1">
          <w:rPr>
            <w:rStyle w:val="Hyperlink"/>
            <w:rFonts w:ascii="Calibri" w:hAnsi="Calibri" w:cs="Calibri"/>
            <w:i/>
            <w:spacing w:val="-2"/>
          </w:rPr>
          <w:t>https://www.irs.gov/instructions/i109495c#en_US_2021_publink100033116</w:t>
        </w:r>
      </w:hyperlink>
    </w:p>
    <w:p w14:paraId="1E902F81" w14:textId="77777777" w:rsidR="00B32A03" w:rsidRPr="00DD7BD1" w:rsidRDefault="00B32A03" w:rsidP="00B32A03">
      <w:pPr>
        <w:pStyle w:val="TableParagraph"/>
        <w:spacing w:before="3" w:line="247" w:lineRule="auto"/>
        <w:ind w:left="0"/>
        <w:jc w:val="left"/>
        <w:rPr>
          <w:rFonts w:ascii="Calibri" w:hAnsi="Calibri" w:cs="Calibri"/>
        </w:rPr>
      </w:pPr>
    </w:p>
    <w:p w14:paraId="1C7B3890" w14:textId="77777777" w:rsidR="00B32A03" w:rsidRPr="00DD7BD1" w:rsidRDefault="00B32A03" w:rsidP="00B32A03">
      <w:pPr>
        <w:pStyle w:val="Heading1"/>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 xml:space="preserve">ACA 1095 Electronic Tax Filing Due </w:t>
      </w:r>
      <w:r w:rsidRPr="00DD7BD1">
        <w:rPr>
          <w:rFonts w:ascii="Calibri" w:hAnsi="Calibri" w:cs="Calibri"/>
          <w:color w:val="0070C0"/>
          <w:sz w:val="24"/>
          <w:szCs w:val="24"/>
        </w:rPr>
        <w:t>March 31, 2026</w:t>
      </w:r>
    </w:p>
    <w:p w14:paraId="3E35B7D7" w14:textId="77777777" w:rsidR="00B32A03" w:rsidRPr="00DD7BD1" w:rsidRDefault="00B32A03" w:rsidP="00B32A03">
      <w:pPr>
        <w:pStyle w:val="BodyText"/>
        <w:spacing w:after="0" w:line="276" w:lineRule="auto"/>
        <w:ind w:left="1260" w:right="274"/>
        <w:rPr>
          <w:rFonts w:cs="Calibri"/>
          <w:b/>
          <w:bCs/>
          <w:color w:val="CE2C43"/>
          <w:szCs w:val="22"/>
        </w:rPr>
      </w:pPr>
      <w:r w:rsidRPr="00DD7BD1">
        <w:rPr>
          <w:rFonts w:cs="Calibri"/>
          <w:color w:val="auto"/>
          <w:szCs w:val="22"/>
        </w:rPr>
        <w:t>The Affordable Care Act (ACA) created reporting requirements under Internal Revenue Code (Code) Sections 6055 and 6056. Under these rules, certain employers must provide information to the IRS about the health plan coverage they offer (or do not offer) to their employees.   On Feb. 23, 2023, the IRS released a</w:t>
      </w:r>
      <w:r w:rsidRPr="00DD7BD1">
        <w:rPr>
          <w:rFonts w:cs="Calibri"/>
          <w:szCs w:val="22"/>
        </w:rPr>
        <w:t xml:space="preserve"> </w:t>
      </w:r>
      <w:hyperlink r:id="rId165" w:history="1">
        <w:r w:rsidRPr="00DD7BD1">
          <w:rPr>
            <w:rStyle w:val="Hyperlink"/>
            <w:rFonts w:eastAsiaTheme="majorEastAsia" w:cs="Calibri"/>
            <w:szCs w:val="22"/>
          </w:rPr>
          <w:t>final rule</w:t>
        </w:r>
      </w:hyperlink>
      <w:r w:rsidRPr="00DD7BD1">
        <w:rPr>
          <w:rFonts w:cs="Calibri"/>
          <w:szCs w:val="22"/>
        </w:rPr>
        <w:t xml:space="preserve"> </w:t>
      </w:r>
      <w:r w:rsidRPr="00DD7BD1">
        <w:rPr>
          <w:rFonts w:cs="Calibri"/>
          <w:color w:val="auto"/>
          <w:szCs w:val="22"/>
        </w:rPr>
        <w:t xml:space="preserve">which lowers the 250-return threshold for mandatory electronic reporting to </w:t>
      </w:r>
      <w:r w:rsidRPr="00DD7BD1">
        <w:rPr>
          <w:rFonts w:cs="Calibri"/>
          <w:b/>
          <w:bCs/>
          <w:color w:val="auto"/>
          <w:szCs w:val="22"/>
        </w:rPr>
        <w:t>10 returns</w:t>
      </w:r>
      <w:r w:rsidRPr="00DD7BD1">
        <w:rPr>
          <w:rFonts w:cs="Calibri"/>
          <w:color w:val="auto"/>
          <w:szCs w:val="22"/>
        </w:rPr>
        <w:t>.</w:t>
      </w:r>
      <w:r w:rsidRPr="00DD7BD1">
        <w:rPr>
          <w:rFonts w:cs="Calibri"/>
          <w:szCs w:val="22"/>
        </w:rPr>
        <w:t xml:space="preserve"> </w:t>
      </w:r>
      <w:r w:rsidRPr="00DD7BD1">
        <w:rPr>
          <w:rFonts w:cs="Calibri"/>
          <w:b/>
          <w:bCs/>
          <w:color w:val="CE2C43"/>
          <w:szCs w:val="22"/>
        </w:rPr>
        <w:t>As a result, most reporting entities are now required to complete their ACA reporting electronically.</w:t>
      </w:r>
    </w:p>
    <w:p w14:paraId="2DDA908B" w14:textId="77777777" w:rsidR="00B32A03" w:rsidRPr="00DD7BD1" w:rsidRDefault="00B32A03" w:rsidP="00B32A03">
      <w:pPr>
        <w:pStyle w:val="BodyText"/>
        <w:spacing w:after="0" w:line="240" w:lineRule="auto"/>
        <w:ind w:right="274"/>
        <w:rPr>
          <w:rFonts w:cs="Calibri"/>
          <w:b/>
          <w:bCs/>
          <w:color w:val="CE2C43"/>
          <w:szCs w:val="22"/>
        </w:rPr>
      </w:pPr>
    </w:p>
    <w:p w14:paraId="34E7EB61" w14:textId="77777777" w:rsidR="00B32A03" w:rsidRPr="00DD7BD1" w:rsidRDefault="00B32A03" w:rsidP="00B32A03">
      <w:pPr>
        <w:pStyle w:val="Heading1"/>
        <w:spacing w:before="0" w:beforeAutospacing="0" w:after="0" w:afterAutospacing="0"/>
        <w:ind w:left="1080" w:right="540"/>
        <w:rPr>
          <w:rFonts w:ascii="Calibri" w:hAnsi="Calibri" w:cs="Calibri"/>
          <w:sz w:val="26"/>
          <w:szCs w:val="26"/>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2026 Fe</w:t>
      </w:r>
      <w:r w:rsidRPr="00DD7BD1">
        <w:rPr>
          <w:rFonts w:ascii="Calibri" w:hAnsi="Calibri" w:cs="Calibri"/>
          <w:sz w:val="26"/>
          <w:szCs w:val="26"/>
        </w:rPr>
        <w:t>deral Poverty Levels Impact Employer Liability Under ACA Pay-or-Play Rules</w:t>
      </w:r>
    </w:p>
    <w:p w14:paraId="1B541610" w14:textId="522DBDC4"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To avoid pay-or-play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166" w:history="1">
        <w:r w:rsidRPr="00DD7BD1">
          <w:rPr>
            <w:rStyle w:val="Hyperlink"/>
            <w:rFonts w:ascii="Calibri" w:eastAsiaTheme="majorEastAsia" w:hAnsi="Calibri" w:cs="Calibri"/>
            <w:sz w:val="22"/>
          </w:rPr>
          <w:t>2025 FPL guidelines</w:t>
        </w:r>
      </w:hyperlink>
      <w:r w:rsidRPr="00DD7BD1">
        <w:rPr>
          <w:rFonts w:ascii="Calibri" w:hAnsi="Calibri" w:cs="Calibri"/>
          <w:sz w:val="22"/>
        </w:rPr>
        <w:t xml:space="preserve"> for the 2026 plan year, while ALEs with non-calendar-year health plans may use the new 2026 FPL guidelines.</w:t>
      </w:r>
    </w:p>
    <w:p w14:paraId="0BEBAA8F" w14:textId="77777777" w:rsidR="00B32A03" w:rsidRPr="00DD7BD1" w:rsidRDefault="00B32A03" w:rsidP="00B32A03">
      <w:pPr>
        <w:pStyle w:val="bodytext0"/>
        <w:spacing w:after="0"/>
        <w:ind w:left="1260"/>
        <w:rPr>
          <w:rFonts w:ascii="Calibri" w:hAnsi="Calibri" w:cs="Calibri"/>
          <w:sz w:val="16"/>
          <w:szCs w:val="16"/>
        </w:rPr>
      </w:pPr>
    </w:p>
    <w:p w14:paraId="03DF1FFC"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Overtime__________________________________________________________________________</w:t>
      </w:r>
    </w:p>
    <w:p w14:paraId="21DAB48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IRS Releases FAQs Addressing New Deduction for Qualified Overtime (OBBB)</w:t>
      </w:r>
    </w:p>
    <w:p w14:paraId="5C4CD791" w14:textId="251395D1"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On January 23, 2026, the Department of Treasury and the Internal Revenue Service (IRS) issued</w:t>
      </w:r>
      <w:r w:rsidRPr="00DD7BD1">
        <w:rPr>
          <w:rFonts w:ascii="Calibri" w:hAnsi="Calibri" w:cs="Calibri"/>
          <w:color w:val="C00000"/>
          <w:sz w:val="22"/>
        </w:rPr>
        <w:t> </w:t>
      </w:r>
      <w:hyperlink r:id="rId167" w:tgtFrame="_blank" w:history="1">
        <w:r w:rsidRPr="00DD7BD1">
          <w:rPr>
            <w:rStyle w:val="Hyperlink"/>
            <w:rFonts w:ascii="Calibri" w:hAnsi="Calibri" w:cs="Calibri"/>
            <w:sz w:val="22"/>
          </w:rPr>
          <w:t>Fact Sheet 2026-01</w:t>
        </w:r>
      </w:hyperlink>
      <w:r w:rsidRPr="00DD7BD1">
        <w:rPr>
          <w:rFonts w:ascii="Calibri" w:hAnsi="Calibri" w:cs="Calibri"/>
          <w:sz w:val="22"/>
        </w:rPr>
        <w:t>, providing answers to frequently asked questions (FAQs) about the new “Deduction for Qualified Overtime Compensation” created by the One Big Beautiful Bill Act (the OBBBA). The FAQs also provides resources and guidance that are intended to help assist individuals in determining whether they are FLSA overtime-eligible employees and received qualified overtime compensation.</w:t>
      </w:r>
    </w:p>
    <w:p w14:paraId="0AF6AEEB" w14:textId="7235BD81"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OSHA_______________________________________________________________________________</w:t>
      </w:r>
    </w:p>
    <w:p w14:paraId="34A12DA9" w14:textId="77777777" w:rsidR="00B32A03" w:rsidRPr="00DD7BD1" w:rsidRDefault="00B32A03" w:rsidP="00B32A03">
      <w:pPr>
        <w:pStyle w:val="Heading1"/>
        <w:shd w:val="clear" w:color="auto" w:fill="FFFFFF"/>
        <w:tabs>
          <w:tab w:val="left" w:pos="1080"/>
        </w:tabs>
        <w:spacing w:before="0" w:beforeAutospacing="0" w:after="0" w:afterAutospacing="0"/>
        <w:ind w:left="1080"/>
        <w:rPr>
          <w:rFonts w:ascii="Calibri" w:hAnsi="Calibri" w:cs="Calibri"/>
          <w:spacing w:val="-11"/>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pacing w:val="-11"/>
          <w:sz w:val="24"/>
          <w:szCs w:val="24"/>
        </w:rPr>
        <w:t>Federal: OSHA Form 300A Posting Begins Feb 1 &amp; Electronic Reporting Mar 2</w:t>
      </w:r>
    </w:p>
    <w:p w14:paraId="26618064" w14:textId="77777777"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Form 300A Workplace Posting Begins February 1</w:t>
      </w:r>
    </w:p>
    <w:p w14:paraId="0587478F" w14:textId="77777777"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168" w:tgtFrame="_blank" w:history="1">
        <w:r w:rsidRPr="00DD7BD1">
          <w:rPr>
            <w:rStyle w:val="Hyperlink"/>
            <w:rFonts w:ascii="Calibri" w:hAnsi="Calibri" w:cs="Calibri"/>
            <w:spacing w:val="-11"/>
            <w:sz w:val="22"/>
          </w:rPr>
          <w:t>here</w:t>
        </w:r>
      </w:hyperlink>
      <w:r w:rsidRPr="00DD7BD1">
        <w:rPr>
          <w:rFonts w:ascii="Calibri" w:hAnsi="Calibri" w:cs="Calibri"/>
          <w:spacing w:val="-11"/>
          <w:sz w:val="22"/>
        </w:rPr>
        <w:t>. (</w:t>
      </w:r>
      <w:r w:rsidRPr="00DD7BD1">
        <w:rPr>
          <w:rFonts w:ascii="Calibri" w:hAnsi="Calibri" w:cs="Calibri"/>
          <w:sz w:val="22"/>
        </w:rPr>
        <w:t>The exemption is “partial” because all employers must notify OSHA when an employee is killed on the job or suffers a work-related hospitalization, amputation, or loss of an eye.)</w:t>
      </w:r>
    </w:p>
    <w:p w14:paraId="39274AF5" w14:textId="42EE793B"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Form 300A Electronic Submission Due by March 2</w:t>
      </w:r>
      <w:r w:rsidRPr="00DD7BD1">
        <w:rPr>
          <w:rFonts w:ascii="Calibri" w:hAnsi="Calibri" w:cs="Calibri"/>
          <w:sz w:val="22"/>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spacing w:val="-11"/>
          <w:sz w:val="22"/>
        </w:rPr>
        <w:t> </w:t>
      </w:r>
      <w:hyperlink r:id="rId169" w:tgtFrame="_blank" w:history="1">
        <w:r w:rsidRPr="00DD7BD1">
          <w:rPr>
            <w:rStyle w:val="Hyperlink"/>
            <w:rFonts w:ascii="Calibri" w:hAnsi="Calibri" w:cs="Calibri"/>
            <w:spacing w:val="-11"/>
            <w:sz w:val="22"/>
          </w:rPr>
          <w:t>Injury Tracking Application</w:t>
        </w:r>
      </w:hyperlink>
      <w:r w:rsidRPr="00DD7BD1">
        <w:rPr>
          <w:rFonts w:ascii="Calibri" w:hAnsi="Calibri" w:cs="Calibri"/>
          <w:w w:val="110"/>
          <w:sz w:val="22"/>
        </w:rPr>
        <w:t> </w:t>
      </w:r>
      <w:r w:rsidRPr="00DD7BD1">
        <w:rPr>
          <w:rFonts w:ascii="Calibri" w:hAnsi="Calibri" w:cs="Calibri"/>
          <w:sz w:val="22"/>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spacing w:val="-11"/>
          <w:sz w:val="22"/>
        </w:rPr>
        <w:t> </w:t>
      </w:r>
      <w:hyperlink r:id="rId170" w:tgtFrame="_blank" w:history="1">
        <w:r w:rsidRPr="00DD7BD1">
          <w:rPr>
            <w:rStyle w:val="Hyperlink"/>
            <w:rFonts w:ascii="Calibri" w:hAnsi="Calibri" w:cs="Calibri"/>
            <w:spacing w:val="-11"/>
            <w:sz w:val="22"/>
          </w:rPr>
          <w:t>must also use the ITA</w:t>
        </w:r>
      </w:hyperlink>
      <w:r w:rsidRPr="00DD7BD1">
        <w:rPr>
          <w:rFonts w:ascii="Calibri" w:hAnsi="Calibri" w:cs="Calibri"/>
          <w:w w:val="110"/>
          <w:sz w:val="22"/>
        </w:rPr>
        <w:t> </w:t>
      </w:r>
      <w:r w:rsidRPr="00DD7BD1">
        <w:rPr>
          <w:rFonts w:ascii="Calibri" w:hAnsi="Calibri" w:cs="Calibri"/>
          <w:sz w:val="22"/>
        </w:rPr>
        <w:t>to send data electronically.</w:t>
      </w:r>
      <w:r w:rsidRPr="00DD7BD1">
        <w:rPr>
          <w:rFonts w:ascii="Calibri" w:hAnsi="Calibri" w:cs="Calibri"/>
          <w:spacing w:val="-11"/>
          <w:sz w:val="22"/>
        </w:rPr>
        <w:t xml:space="preserve"> </w:t>
      </w:r>
      <w:r w:rsidRPr="00DD7BD1">
        <w:rPr>
          <w:rFonts w:ascii="Calibri" w:hAnsi="Calibri" w:cs="Calibri"/>
          <w:sz w:val="22"/>
        </w:rPr>
        <w:t>Employers that meet any of the following criteria DO NOT have to send Form 300A information to OSHA.</w:t>
      </w:r>
      <w:r w:rsidRPr="00DD7BD1">
        <w:rPr>
          <w:rFonts w:ascii="Calibri" w:hAnsi="Calibri" w:cs="Calibri"/>
          <w:spacing w:val="-11"/>
          <w:sz w:val="22"/>
        </w:rPr>
        <w:t xml:space="preserve"> </w:t>
      </w:r>
      <w:r w:rsidRPr="00DD7BD1">
        <w:rPr>
          <w:rFonts w:ascii="Calibri" w:hAnsi="Calibri" w:cs="Calibri"/>
          <w:sz w:val="22"/>
        </w:rPr>
        <w:t>Additional information, FAQs, and the ITA can be found on OSHA’s</w:t>
      </w:r>
      <w:r w:rsidRPr="00DD7BD1">
        <w:rPr>
          <w:rFonts w:ascii="Calibri" w:hAnsi="Calibri" w:cs="Calibri"/>
          <w:w w:val="110"/>
          <w:sz w:val="22"/>
        </w:rPr>
        <w:t> </w:t>
      </w:r>
      <w:hyperlink r:id="rId171" w:tgtFrame="_blank" w:history="1">
        <w:r w:rsidRPr="00DD7BD1">
          <w:rPr>
            <w:rStyle w:val="Hyperlink"/>
            <w:rFonts w:ascii="Calibri" w:hAnsi="Calibri" w:cs="Calibri"/>
            <w:spacing w:val="-11"/>
            <w:sz w:val="22"/>
          </w:rPr>
          <w:t>ITA page</w:t>
        </w:r>
      </w:hyperlink>
      <w:r w:rsidRPr="00DD7BD1">
        <w:rPr>
          <w:rFonts w:ascii="Calibri" w:hAnsi="Calibri" w:cs="Calibri"/>
          <w:spacing w:val="-11"/>
          <w:sz w:val="22"/>
        </w:rPr>
        <w:t>.</w:t>
      </w:r>
    </w:p>
    <w:p w14:paraId="33736AE7" w14:textId="19AE9766"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MISC_______________________________________________________________________________</w:t>
      </w:r>
    </w:p>
    <w:p w14:paraId="6DD8E7D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 xml:space="preserve">Update! </w:t>
      </w:r>
      <w:r w:rsidRPr="00DD7BD1">
        <w:rPr>
          <w:rFonts w:ascii="Calibri" w:hAnsi="Calibri" w:cs="Calibri"/>
          <w:sz w:val="24"/>
          <w:szCs w:val="24"/>
        </w:rPr>
        <w:t>NLRB Reinstates the 2020 Joint Employer Rule</w:t>
      </w:r>
    </w:p>
    <w:p w14:paraId="3543580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lastRenderedPageBreak/>
        <w:t xml:space="preserve">On Feb. 26, 2026, the National Labor Relations Board (NLRB) </w:t>
      </w:r>
      <w:hyperlink r:id="rId172" w:history="1">
        <w:r w:rsidRPr="00DD7BD1">
          <w:rPr>
            <w:rStyle w:val="Hyperlink"/>
            <w:rFonts w:ascii="Calibri" w:hAnsi="Calibri" w:cs="Calibri"/>
            <w:sz w:val="22"/>
          </w:rPr>
          <w:t>announced</w:t>
        </w:r>
      </w:hyperlink>
      <w:r w:rsidRPr="00DD7BD1">
        <w:rPr>
          <w:rFonts w:ascii="Calibri" w:hAnsi="Calibri" w:cs="Calibri"/>
          <w:sz w:val="22"/>
        </w:rPr>
        <w:t xml:space="preserve"> a final rule reestablishing the 2020 joint employer rule for determining joint-employer status. The final rule was </w:t>
      </w:r>
      <w:hyperlink r:id="rId173" w:history="1">
        <w:r w:rsidRPr="00DD7BD1">
          <w:rPr>
            <w:rStyle w:val="Hyperlink"/>
            <w:rFonts w:ascii="Calibri" w:hAnsi="Calibri" w:cs="Calibri"/>
            <w:sz w:val="22"/>
          </w:rPr>
          <w:t>published</w:t>
        </w:r>
      </w:hyperlink>
      <w:r w:rsidRPr="00DD7BD1">
        <w:rPr>
          <w:rFonts w:ascii="Calibri" w:hAnsi="Calibri" w:cs="Calibri"/>
          <w:sz w:val="22"/>
        </w:rPr>
        <w:t xml:space="preserve"> in the Federal Register on </w:t>
      </w:r>
      <w:r w:rsidRPr="00DD7BD1">
        <w:rPr>
          <w:rFonts w:ascii="Calibri" w:hAnsi="Calibri" w:cs="Calibri"/>
          <w:b/>
          <w:bCs/>
          <w:sz w:val="22"/>
        </w:rPr>
        <w:t>Feb. 27, 2026</w:t>
      </w:r>
      <w:r w:rsidRPr="00DD7BD1">
        <w:rPr>
          <w:rFonts w:ascii="Calibri" w:hAnsi="Calibri" w:cs="Calibri"/>
          <w:sz w:val="22"/>
        </w:rPr>
        <w:t>, and took effect immediately.</w:t>
      </w:r>
    </w:p>
    <w:p w14:paraId="73960466" w14:textId="77777777" w:rsidR="00B32A03" w:rsidRPr="00DD7BD1" w:rsidRDefault="00B32A03" w:rsidP="00B32A03">
      <w:pPr>
        <w:pStyle w:val="bodytext0"/>
        <w:spacing w:after="0"/>
        <w:ind w:left="1260"/>
        <w:rPr>
          <w:rFonts w:ascii="Calibri" w:hAnsi="Calibri" w:cs="Calibri"/>
          <w:sz w:val="22"/>
        </w:rPr>
      </w:pPr>
    </w:p>
    <w:p w14:paraId="5D33ABCC"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Joint-employment situations can happen when two or more employers share personnel hiring, supervision and management practices. When a joint-employment status exists, joint employers are equally responsible for compliance with applicable laws and regulations.  </w:t>
      </w:r>
    </w:p>
    <w:p w14:paraId="22529CEF" w14:textId="77777777" w:rsidR="00B32A03" w:rsidRPr="00DD7BD1" w:rsidRDefault="00B32A03" w:rsidP="00B32A03">
      <w:pPr>
        <w:pStyle w:val="bodytext0"/>
        <w:spacing w:after="0"/>
        <w:ind w:left="1260"/>
        <w:rPr>
          <w:rFonts w:ascii="Calibri" w:hAnsi="Calibri" w:cs="Calibri"/>
          <w:color w:val="1F3864" w:themeColor="accent1" w:themeShade="80"/>
          <w:sz w:val="22"/>
        </w:rPr>
      </w:pPr>
    </w:p>
    <w:p w14:paraId="565B3EE9"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b/>
          <w:bCs/>
          <w:sz w:val="22"/>
        </w:rPr>
        <w:t xml:space="preserve"> </w:t>
      </w:r>
      <w:r w:rsidRPr="00DD7BD1">
        <w:rPr>
          <w:rFonts w:ascii="Calibri" w:hAnsi="Calibri" w:cs="Calibri"/>
          <w:sz w:val="22"/>
        </w:rPr>
        <w:t>On Oct. 27, 2023, the NLRB published a final rule that established new criteria for determining joint-employer status as applied to labor issues under the National Labor Relations Act. As such, employers should have been relying on the 2020 joint-employer standard to determine whether joint employment exists since the U.S. District Court for the Eastern District of Texas’ 2024 ruling.  The final rule now officially replaces the vacated 2023 joint employer rule with the 2020 joint-employer standard.</w:t>
      </w:r>
    </w:p>
    <w:p w14:paraId="0589526E" w14:textId="77777777" w:rsidR="00B32A03" w:rsidRPr="00DD7BD1" w:rsidRDefault="00B32A03" w:rsidP="00B32A03">
      <w:pPr>
        <w:pStyle w:val="bodytext0"/>
        <w:spacing w:after="0"/>
        <w:ind w:left="1260"/>
        <w:rPr>
          <w:rFonts w:ascii="Calibri" w:hAnsi="Calibri" w:cs="Calibri"/>
          <w:b/>
          <w:bCs/>
          <w:sz w:val="16"/>
          <w:szCs w:val="16"/>
        </w:rPr>
      </w:pPr>
    </w:p>
    <w:p w14:paraId="002BFB04"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b/>
          <w:bCs/>
          <w:sz w:val="22"/>
        </w:rPr>
        <w:t>Background</w:t>
      </w:r>
    </w:p>
    <w:p w14:paraId="32496CA5"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The NLRB announced that it is revising its rules and regulations to replace the vacated regulatory text of the 2023 joint employer rule with the 2020 joint employer rule that remained in effect due to the vacatur. The final rule is to take effect immediately. The final rule considers the </w:t>
      </w:r>
      <w:r w:rsidRPr="00DD7BD1">
        <w:rPr>
          <w:rFonts w:ascii="Calibri" w:hAnsi="Calibri" w:cs="Calibri"/>
          <w:b/>
          <w:bCs/>
          <w:sz w:val="22"/>
        </w:rPr>
        <w:t>“substantial direct and immediate control”</w:t>
      </w:r>
      <w:r w:rsidRPr="00DD7BD1">
        <w:rPr>
          <w:rFonts w:ascii="Calibri" w:hAnsi="Calibri" w:cs="Calibri"/>
          <w:sz w:val="22"/>
        </w:rPr>
        <w:t xml:space="preserve"> employers have over the essential terms and conditions of employment for individuals employed by another organization. Specifically, the final rule indicates that a business is a joint employer of another employer’s employees only if the degree of control is of sufficient magnitude to conclude that the joint employer meaningfully affects matters relating to the employment relationship. In addition, under the final rule, other evidence may suggest (but not prove) the existence of joint-employer status, particularly when it points to indirect control or the right to exert control through contract or agreement, even when control is never exercised.</w:t>
      </w:r>
    </w:p>
    <w:p w14:paraId="45D9C584" w14:textId="77777777" w:rsidR="00B32A03" w:rsidRPr="00DD7BD1" w:rsidRDefault="00B32A03" w:rsidP="00B32A03">
      <w:pPr>
        <w:pStyle w:val="Heading1"/>
        <w:spacing w:before="0" w:beforeAutospacing="0" w:after="0" w:afterAutospacing="0"/>
        <w:ind w:left="1080"/>
        <w:rPr>
          <w:rFonts w:ascii="Calibri" w:hAnsi="Calibri" w:cs="Calibri"/>
          <w:color w:val="1F3864" w:themeColor="accent1" w:themeShade="80"/>
          <w:sz w:val="24"/>
          <w:szCs w:val="24"/>
        </w:rPr>
      </w:pPr>
    </w:p>
    <w:p w14:paraId="4E7B3D6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Update!</w:t>
      </w:r>
      <w:r w:rsidRPr="00DD7BD1">
        <w:rPr>
          <w:rFonts w:ascii="Calibri" w:hAnsi="Calibri" w:cs="Calibri"/>
          <w:sz w:val="24"/>
          <w:szCs w:val="24"/>
        </w:rPr>
        <w:t xml:space="preserve"> DEI-related 2025 Executive Orders–4th Circuit Vacates Injunction of Trump DEI Executive Orders</w:t>
      </w:r>
    </w:p>
    <w:p w14:paraId="68F0950D"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 xml:space="preserve">On </w:t>
      </w:r>
      <w:r w:rsidRPr="00DD7BD1">
        <w:rPr>
          <w:rFonts w:ascii="Calibri" w:hAnsi="Calibri" w:cs="Calibri"/>
          <w:b/>
          <w:bCs/>
          <w:sz w:val="22"/>
        </w:rPr>
        <w:t>Feb. 6, 2026</w:t>
      </w:r>
      <w:r w:rsidRPr="00DD7BD1">
        <w:rPr>
          <w:rFonts w:ascii="Calibri" w:hAnsi="Calibri" w:cs="Calibri"/>
          <w:sz w:val="22"/>
        </w:rPr>
        <w:t xml:space="preserve">, the U.S. Court of Appeals for the 4th Circuit </w:t>
      </w:r>
      <w:hyperlink r:id="rId174" w:history="1">
        <w:r w:rsidRPr="00DD7BD1">
          <w:rPr>
            <w:rStyle w:val="Hyperlink"/>
            <w:rFonts w:ascii="Calibri" w:hAnsi="Calibri" w:cs="Calibri"/>
            <w:sz w:val="22"/>
          </w:rPr>
          <w:t>vacated</w:t>
        </w:r>
      </w:hyperlink>
      <w:r w:rsidRPr="00DD7BD1">
        <w:rPr>
          <w:rFonts w:ascii="Calibri" w:hAnsi="Calibri" w:cs="Calibri"/>
          <w:sz w:val="22"/>
        </w:rPr>
        <w:t xml:space="preserve"> a nationwide preliminary injunction that temporarily blocked certain provisions of Executive Orders (EOs)</w:t>
      </w:r>
      <w:r w:rsidRPr="00DD7BD1">
        <w:rPr>
          <w:rFonts w:ascii="Calibri" w:hAnsi="Calibri" w:cs="Calibri"/>
          <w:b/>
          <w:bCs/>
          <w:sz w:val="22"/>
        </w:rPr>
        <w:t xml:space="preserve"> </w:t>
      </w:r>
      <w:hyperlink r:id="rId175" w:history="1">
        <w:r w:rsidRPr="00DD7BD1">
          <w:rPr>
            <w:rStyle w:val="Hyperlink"/>
            <w:rFonts w:ascii="Calibri" w:hAnsi="Calibri" w:cs="Calibri"/>
            <w:sz w:val="22"/>
          </w:rPr>
          <w:t>14151</w:t>
        </w:r>
      </w:hyperlink>
      <w:r w:rsidRPr="00DD7BD1">
        <w:rPr>
          <w:rFonts w:ascii="Calibri" w:hAnsi="Calibri" w:cs="Calibri"/>
          <w:sz w:val="22"/>
        </w:rPr>
        <w:t xml:space="preserve"> and </w:t>
      </w:r>
      <w:hyperlink r:id="rId176" w:history="1">
        <w:r w:rsidRPr="00DD7BD1">
          <w:rPr>
            <w:rStyle w:val="Hyperlink"/>
            <w:rFonts w:ascii="Calibri" w:hAnsi="Calibri" w:cs="Calibri"/>
            <w:sz w:val="22"/>
          </w:rPr>
          <w:t>14173</w:t>
        </w:r>
      </w:hyperlink>
      <w:r w:rsidRPr="00DD7BD1">
        <w:rPr>
          <w:rFonts w:ascii="Calibri" w:hAnsi="Calibri" w:cs="Calibri"/>
          <w:sz w:val="22"/>
        </w:rPr>
        <w:t xml:space="preserve"> issued by President Donald Trump on Jan. 20, 2025, and Jan. 21, 2025, respectively. The EOs aim to combat “illegal diversity, equity and inclusion (DEI) programs” in the federal and private sectors. The 4th Circuit had previously stayed the injunction on March 14, 2025, pending a final decision on the merits. </w:t>
      </w:r>
    </w:p>
    <w:p w14:paraId="709309BB"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EOs 14151 and 14173 seek to terminate all illegal DEI mandates, policies, programs, preferences and activities in the federal and private sectors.</w:t>
      </w:r>
    </w:p>
    <w:p w14:paraId="386FE9FA" w14:textId="07528C0D" w:rsidR="00B32A03" w:rsidRPr="00DD7BD1" w:rsidRDefault="00B32A03" w:rsidP="00B32A03">
      <w:pPr>
        <w:pStyle w:val="bodytext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The 4th Circuit ruling does provide clarity to employers as it confirms that the Trump administration may continue its enforcement activity under the Eos. neither the initial EOs nor the 4th Circuit ruling alter the employers’ legal obligations, as employers are still prohibited from considering an individual’s protected classification (e.g., race, color, sex, religion, age or national origin) in employment decisions. Therefore, employers may consider reviewing existing DEI practices to ensure they do not discriminate on the basis of a federally protected classification.</w:t>
      </w:r>
    </w:p>
    <w:p w14:paraId="386FEB65"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Federal Contractors__________________________________________________________________</w:t>
      </w:r>
    </w:p>
    <w:p w14:paraId="38A657C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 xml:space="preserve">DOL Announces New Minimum Wage Covered by EO 13658 - Eff </w:t>
      </w:r>
      <w:r w:rsidRPr="00DD7BD1">
        <w:rPr>
          <w:rFonts w:ascii="Calibri" w:hAnsi="Calibri" w:cs="Calibri"/>
          <w:color w:val="0070C0"/>
          <w:sz w:val="24"/>
          <w:szCs w:val="24"/>
        </w:rPr>
        <w:t>May 11, 2026</w:t>
      </w:r>
    </w:p>
    <w:p w14:paraId="6082888B" w14:textId="77777777" w:rsidR="00B32A03" w:rsidRPr="00DD7BD1" w:rsidRDefault="00B32A03" w:rsidP="00B32A03">
      <w:pPr>
        <w:spacing w:line="276" w:lineRule="auto"/>
        <w:ind w:left="1260"/>
        <w:rPr>
          <w:rFonts w:ascii="Calibri" w:hAnsi="Calibri" w:cs="Calibri"/>
        </w:rPr>
      </w:pPr>
      <w:r w:rsidRPr="00DD7BD1">
        <w:rPr>
          <w:rFonts w:ascii="Calibri" w:hAnsi="Calibri" w:cs="Calibri"/>
        </w:rPr>
        <w:lastRenderedPageBreak/>
        <w:t xml:space="preserve">On Feb. 9, 2026, the U.S. Department of Labor’s (DOL) Wage and Hour Division (WHD) </w:t>
      </w:r>
      <w:hyperlink r:id="rId177" w:history="1">
        <w:r w:rsidRPr="00DD7BD1">
          <w:rPr>
            <w:rStyle w:val="Hyperlink"/>
            <w:rFonts w:ascii="Calibri" w:hAnsi="Calibri" w:cs="Calibri"/>
          </w:rPr>
          <w:t>published</w:t>
        </w:r>
      </w:hyperlink>
      <w:r w:rsidRPr="00DD7BD1">
        <w:rPr>
          <w:rFonts w:ascii="Calibri" w:hAnsi="Calibri" w:cs="Calibri"/>
        </w:rPr>
        <w:t xml:space="preserve"> a notice in the Federal Register announcing that the applicable minimum wage rate for workers performing work on or in connection with </w:t>
      </w:r>
      <w:r w:rsidRPr="00DD7BD1">
        <w:rPr>
          <w:rFonts w:ascii="Calibri" w:hAnsi="Calibri" w:cs="Calibri"/>
          <w:b/>
          <w:bCs/>
        </w:rPr>
        <w:t xml:space="preserve">federal contracts </w:t>
      </w:r>
      <w:r w:rsidRPr="00DD7BD1">
        <w:rPr>
          <w:rFonts w:ascii="Calibri" w:hAnsi="Calibri" w:cs="Calibri"/>
        </w:rPr>
        <w:t xml:space="preserve">covered by </w:t>
      </w:r>
      <w:hyperlink r:id="rId178" w:history="1">
        <w:r w:rsidRPr="00DD7BD1">
          <w:rPr>
            <w:rStyle w:val="Hyperlink"/>
            <w:rFonts w:ascii="Calibri" w:hAnsi="Calibri" w:cs="Calibri"/>
          </w:rPr>
          <w:t>Executive Order (EO) 13658</w:t>
        </w:r>
      </w:hyperlink>
      <w:r w:rsidRPr="00DD7BD1">
        <w:rPr>
          <w:rFonts w:ascii="Calibri" w:hAnsi="Calibri" w:cs="Calibri"/>
        </w:rPr>
        <w:t xml:space="preserve"> will </w:t>
      </w:r>
      <w:r w:rsidRPr="00DD7BD1">
        <w:rPr>
          <w:rFonts w:ascii="Calibri" w:hAnsi="Calibri" w:cs="Calibri"/>
          <w:b/>
          <w:bCs/>
        </w:rPr>
        <w:t>increase to $13.65</w:t>
      </w:r>
      <w:r w:rsidRPr="00DD7BD1">
        <w:rPr>
          <w:rFonts w:ascii="Calibri" w:hAnsi="Calibri" w:cs="Calibri"/>
        </w:rPr>
        <w:t xml:space="preserve"> per hour and the required minimum wage cash wage that generally must be paid to tipped employees performing work on or in connection with covered contracts will increase to $9.55 per hour. In the notice, the DOL states that EO 13658 does not apply to contracts awarded, renewed or extended after Jan. 29, 2022.The new minimum wage rates take effect on </w:t>
      </w:r>
      <w:r w:rsidRPr="00DD7BD1">
        <w:rPr>
          <w:rFonts w:ascii="Calibri" w:hAnsi="Calibri" w:cs="Calibri"/>
          <w:b/>
          <w:bCs/>
        </w:rPr>
        <w:t>May 11, 2026</w:t>
      </w:r>
      <w:r w:rsidRPr="00DD7BD1">
        <w:rPr>
          <w:rFonts w:ascii="Calibri" w:hAnsi="Calibri" w:cs="Calibri"/>
        </w:rPr>
        <w:t>.</w:t>
      </w:r>
    </w:p>
    <w:p w14:paraId="0ABD2420" w14:textId="77777777" w:rsidR="00B32A03" w:rsidRPr="00DD7BD1" w:rsidRDefault="00B32A03" w:rsidP="00B32A03">
      <w:pPr>
        <w:pStyle w:val="Heading1"/>
        <w:spacing w:before="0" w:beforeAutospacing="0" w:after="0" w:afterAutospacing="0" w:line="276" w:lineRule="auto"/>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VETS-4212 Data Included in New DOL Portal</w:t>
      </w:r>
    </w:p>
    <w:p w14:paraId="151F9B1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Under the Vietnam Era Veterans’ Readjustment Assistance Act (VEVRAA), covered federal contractors and subcontractors are required to annually report, via VETS-4212 Reports, information about the total number of employees and new hires by location, along with information about how many employees and new hires self-identified as protected veterans by location.</w:t>
      </w:r>
      <w:r w:rsidRPr="00DD7BD1">
        <w:rPr>
          <w:rFonts w:ascii="Calibri" w:hAnsi="Calibri" w:cs="Calibri"/>
          <w:sz w:val="22"/>
        </w:rPr>
        <w:tab/>
      </w:r>
      <w:r w:rsidRPr="00DD7BD1">
        <w:rPr>
          <w:rFonts w:ascii="Calibri" w:hAnsi="Calibri" w:cs="Calibri"/>
          <w:sz w:val="22"/>
        </w:rPr>
        <w:tab/>
      </w:r>
    </w:p>
    <w:p w14:paraId="788EB047" w14:textId="77777777" w:rsidR="00B32A03" w:rsidRPr="00DD7BD1" w:rsidRDefault="00B32A03" w:rsidP="00B32A03">
      <w:pPr>
        <w:pStyle w:val="bodytext0"/>
        <w:ind w:left="1260"/>
        <w:rPr>
          <w:rFonts w:ascii="Calibri" w:hAnsi="Calibri" w:cs="Calibri"/>
          <w:color w:val="C00000"/>
          <w:sz w:val="22"/>
        </w:rPr>
      </w:pPr>
      <w:r w:rsidRPr="00DD7BD1">
        <w:rPr>
          <w:rFonts w:ascii="Calibri" w:hAnsi="Calibri" w:cs="Calibri"/>
          <w:sz w:val="22"/>
        </w:rPr>
        <w:t>The U.S. Department of Labor (DOL) launched a new</w:t>
      </w:r>
      <w:r w:rsidRPr="00DD7BD1">
        <w:rPr>
          <w:rFonts w:ascii="Calibri" w:hAnsi="Calibri" w:cs="Calibri"/>
          <w:color w:val="C00000"/>
          <w:sz w:val="22"/>
        </w:rPr>
        <w:t> </w:t>
      </w:r>
      <w:hyperlink r:id="rId179" w:tgtFrame="_blank" w:history="1">
        <w:r w:rsidRPr="00DD7BD1">
          <w:rPr>
            <w:rStyle w:val="Hyperlink"/>
            <w:rFonts w:ascii="Calibri" w:hAnsi="Calibri" w:cs="Calibri"/>
            <w:b/>
            <w:bCs/>
            <w:sz w:val="22"/>
          </w:rPr>
          <w:t>open data portal</w:t>
        </w:r>
      </w:hyperlink>
      <w:r w:rsidRPr="00DD7BD1">
        <w:rPr>
          <w:rFonts w:ascii="Calibri" w:hAnsi="Calibri" w:cs="Calibri"/>
          <w:sz w:val="22"/>
        </w:rPr>
        <w:t> in connection with the OPEN Government Data Act of 2019 and the Federal Data Strategy to enhance agency alignment and public access to workforce information collected and maintained by DOL agencies. The portal includes over 40 categories of data from agencies such as OSHA, MSHA and the Wage and Hour Division with data being updated weekly. </w:t>
      </w:r>
    </w:p>
    <w:p w14:paraId="18307EC6" w14:textId="49308E17" w:rsidR="006A0AA7" w:rsidRPr="00DD7BD1" w:rsidRDefault="00B32A03" w:rsidP="00B32A03">
      <w:pPr>
        <w:pStyle w:val="bodytext0"/>
        <w:ind w:left="1260"/>
        <w:rPr>
          <w:rFonts w:ascii="Calibri" w:hAnsi="Calibri" w:cs="Calibri"/>
          <w:sz w:val="22"/>
        </w:rPr>
      </w:pPr>
      <w:r w:rsidRPr="00DD7BD1">
        <w:rPr>
          <w:rFonts w:ascii="Calibri" w:hAnsi="Calibri" w:cs="Calibri"/>
          <w:sz w:val="22"/>
        </w:rPr>
        <w:t>Federal contractors should be aware the portal includes company-specific data from </w:t>
      </w:r>
      <w:hyperlink r:id="rId180" w:tgtFrame="_blank" w:history="1">
        <w:r w:rsidRPr="00DD7BD1">
          <w:rPr>
            <w:rStyle w:val="Hyperlink"/>
            <w:rFonts w:ascii="Calibri" w:hAnsi="Calibri" w:cs="Calibri"/>
            <w:b/>
            <w:bCs/>
            <w:sz w:val="22"/>
          </w:rPr>
          <w:t>VETS-4212 Reports</w:t>
        </w:r>
      </w:hyperlink>
      <w:r w:rsidRPr="00DD7BD1">
        <w:rPr>
          <w:rFonts w:ascii="Calibri" w:hAnsi="Calibri" w:cs="Calibri"/>
          <w:sz w:val="22"/>
        </w:rPr>
        <w:t> previously filed with the Veterans’ Employment and Training Service (VETS).</w:t>
      </w:r>
    </w:p>
    <w:p w14:paraId="037FA1FD" w14:textId="77777777" w:rsidR="006A0AA7" w:rsidRPr="00DD7BD1" w:rsidRDefault="006A0AA7" w:rsidP="001558B8">
      <w:pPr>
        <w:pStyle w:val="BodyText"/>
        <w:spacing w:after="0" w:line="240" w:lineRule="auto"/>
        <w:ind w:right="274"/>
        <w:rPr>
          <w:rFonts w:eastAsiaTheme="minorHAnsi" w:cs="Calibri"/>
          <w:b/>
          <w:bCs/>
          <w:color w:val="C00000"/>
          <w:kern w:val="36"/>
          <w:szCs w:val="22"/>
        </w:rPr>
      </w:pPr>
    </w:p>
    <w:p w14:paraId="6FE1579D" w14:textId="2581E6CA" w:rsidR="00DA444A" w:rsidRPr="00DD7BD1" w:rsidRDefault="00DA444A"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January 2026 Alerts/Reminders:</w:t>
      </w:r>
    </w:p>
    <w:p w14:paraId="36D47FB4" w14:textId="3F03B0D0"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January</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February 28,</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2026</w:t>
      </w:r>
    </w:p>
    <w:p w14:paraId="1133DACF"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16"/>
          <w:szCs w:val="16"/>
        </w:rPr>
      </w:pPr>
    </w:p>
    <w:p w14:paraId="0D5DF671" w14:textId="5472466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ACA 1095 Tax Form Distribution Due </w:t>
      </w:r>
      <w:r w:rsidRPr="00DD7BD1">
        <w:rPr>
          <w:rFonts w:ascii="Calibri" w:hAnsi="Calibri" w:cs="Calibri"/>
          <w:color w:val="C00000"/>
          <w:sz w:val="28"/>
          <w:szCs w:val="28"/>
        </w:rPr>
        <w:t>March 2, 2026</w:t>
      </w:r>
    </w:p>
    <w:p w14:paraId="68C40C37" w14:textId="77777777" w:rsidR="00EB6E38" w:rsidRPr="00DD7BD1" w:rsidRDefault="00EB6E38" w:rsidP="00EB6E38">
      <w:pPr>
        <w:pStyle w:val="TableParagraph"/>
        <w:spacing w:before="3" w:line="247" w:lineRule="auto"/>
        <w:ind w:left="147" w:right="416"/>
        <w:jc w:val="left"/>
        <w:rPr>
          <w:rFonts w:ascii="Calibri" w:hAnsi="Calibri" w:cs="Calibri"/>
        </w:rPr>
      </w:pPr>
      <w:r w:rsidRPr="00DD7BD1">
        <w:rPr>
          <w:rFonts w:ascii="Calibri" w:hAnsi="Calibri" w:cs="Calibri"/>
        </w:rPr>
        <w:t xml:space="preserve">Distribution of the </w:t>
      </w:r>
      <w:r w:rsidRPr="00DD7BD1">
        <w:rPr>
          <w:rFonts w:ascii="Calibri" w:hAnsi="Calibri" w:cs="Calibri"/>
          <w:b/>
          <w:bCs/>
        </w:rPr>
        <w:t>1095-B</w:t>
      </w:r>
      <w:r w:rsidRPr="00DD7BD1">
        <w:rPr>
          <w:rFonts w:ascii="Calibri" w:hAnsi="Calibri" w:cs="Calibri"/>
        </w:rPr>
        <w:t xml:space="preserve"> (</w:t>
      </w:r>
      <w:r w:rsidRPr="00DD7BD1">
        <w:rPr>
          <w:rFonts w:ascii="Calibri" w:hAnsi="Calibri" w:cs="Calibri"/>
          <w:b/>
          <w:color w:val="C00000"/>
        </w:rPr>
        <w:t xml:space="preserve">self-insured and level funded only </w:t>
      </w:r>
      <w:r w:rsidRPr="00DD7BD1">
        <w:rPr>
          <w:rFonts w:ascii="Calibri" w:hAnsi="Calibri" w:cs="Calibri"/>
        </w:rPr>
        <w:t>plans of less than</w:t>
      </w:r>
      <w:r w:rsidRPr="00DD7BD1">
        <w:rPr>
          <w:rFonts w:ascii="Calibri" w:hAnsi="Calibri" w:cs="Calibri"/>
          <w:spacing w:val="40"/>
          <w:w w:val="110"/>
        </w:rPr>
        <w:t xml:space="preserve"> </w:t>
      </w:r>
      <w:r w:rsidRPr="00DD7BD1">
        <w:rPr>
          <w:rFonts w:ascii="Calibri" w:hAnsi="Calibri" w:cs="Calibri"/>
          <w:w w:val="110"/>
        </w:rPr>
        <w:t xml:space="preserve">50 FTEs) and </w:t>
      </w:r>
      <w:r w:rsidRPr="00DD7BD1">
        <w:rPr>
          <w:rFonts w:ascii="Calibri" w:hAnsi="Calibri" w:cs="Calibri"/>
          <w:b/>
          <w:bCs/>
          <w:w w:val="110"/>
        </w:rPr>
        <w:t xml:space="preserve">1095-C </w:t>
      </w:r>
      <w:r w:rsidRPr="00DD7BD1">
        <w:rPr>
          <w:rFonts w:ascii="Calibri" w:hAnsi="Calibri" w:cs="Calibri"/>
          <w:w w:val="110"/>
        </w:rPr>
        <w:t>(&gt;50</w:t>
      </w:r>
      <w:r w:rsidRPr="00DD7BD1">
        <w:rPr>
          <w:rFonts w:ascii="Calibri" w:hAnsi="Calibri" w:cs="Calibri"/>
          <w:spacing w:val="-2"/>
          <w:w w:val="110"/>
        </w:rPr>
        <w:t xml:space="preserve"> </w:t>
      </w:r>
      <w:r w:rsidRPr="00DD7BD1">
        <w:rPr>
          <w:rFonts w:ascii="Calibri" w:hAnsi="Calibri" w:cs="Calibri"/>
          <w:w w:val="110"/>
        </w:rPr>
        <w:t>FTE Applicable Large Employers (ALEs)) to employees by this deadline is required. Regulations require these forms are</w:t>
      </w:r>
      <w:r w:rsidRPr="00DD7BD1">
        <w:rPr>
          <w:rFonts w:ascii="Calibri" w:hAnsi="Calibri" w:cs="Calibri"/>
          <w:spacing w:val="-5"/>
          <w:w w:val="110"/>
        </w:rPr>
        <w:t xml:space="preserve"> </w:t>
      </w:r>
      <w:r w:rsidRPr="00DD7BD1">
        <w:rPr>
          <w:rFonts w:ascii="Calibri" w:hAnsi="Calibri" w:cs="Calibri"/>
          <w:w w:val="110"/>
        </w:rPr>
        <w:t>due</w:t>
      </w:r>
      <w:r w:rsidRPr="00DD7BD1">
        <w:rPr>
          <w:rFonts w:ascii="Calibri" w:hAnsi="Calibri" w:cs="Calibri"/>
          <w:spacing w:val="-7"/>
          <w:w w:val="110"/>
        </w:rPr>
        <w:t xml:space="preserve"> </w:t>
      </w:r>
      <w:r w:rsidRPr="00DD7BD1">
        <w:rPr>
          <w:rFonts w:ascii="Calibri" w:hAnsi="Calibri" w:cs="Calibri"/>
          <w:w w:val="110"/>
        </w:rPr>
        <w:t>no</w:t>
      </w:r>
      <w:r w:rsidRPr="00DD7BD1">
        <w:rPr>
          <w:rFonts w:ascii="Calibri" w:hAnsi="Calibri" w:cs="Calibri"/>
          <w:spacing w:val="-7"/>
          <w:w w:val="110"/>
        </w:rPr>
        <w:t xml:space="preserve"> </w:t>
      </w:r>
      <w:r w:rsidRPr="00DD7BD1">
        <w:rPr>
          <w:rFonts w:ascii="Calibri" w:hAnsi="Calibri" w:cs="Calibri"/>
          <w:w w:val="110"/>
        </w:rPr>
        <w:t>later</w:t>
      </w:r>
      <w:r w:rsidRPr="00DD7BD1">
        <w:rPr>
          <w:rFonts w:ascii="Calibri" w:hAnsi="Calibri" w:cs="Calibri"/>
          <w:spacing w:val="-7"/>
          <w:w w:val="110"/>
        </w:rPr>
        <w:t xml:space="preserve"> </w:t>
      </w:r>
      <w:r w:rsidRPr="00DD7BD1">
        <w:rPr>
          <w:rFonts w:ascii="Calibri" w:hAnsi="Calibri" w:cs="Calibri"/>
          <w:w w:val="110"/>
        </w:rPr>
        <w:t>than</w:t>
      </w:r>
      <w:r w:rsidRPr="00DD7BD1">
        <w:rPr>
          <w:rFonts w:ascii="Calibri" w:hAnsi="Calibri" w:cs="Calibri"/>
          <w:spacing w:val="-3"/>
          <w:w w:val="110"/>
        </w:rPr>
        <w:t xml:space="preserve"> </w:t>
      </w:r>
      <w:r w:rsidRPr="00DD7BD1">
        <w:rPr>
          <w:rFonts w:ascii="Calibri" w:hAnsi="Calibri" w:cs="Calibri"/>
          <w:w w:val="110"/>
        </w:rPr>
        <w:t>30</w:t>
      </w:r>
      <w:r w:rsidRPr="00DD7BD1">
        <w:rPr>
          <w:rFonts w:ascii="Calibri" w:hAnsi="Calibri" w:cs="Calibri"/>
          <w:spacing w:val="-5"/>
          <w:w w:val="110"/>
        </w:rPr>
        <w:t xml:space="preserve"> </w:t>
      </w:r>
      <w:r w:rsidRPr="00DD7BD1">
        <w:rPr>
          <w:rFonts w:ascii="Calibri" w:hAnsi="Calibri" w:cs="Calibri"/>
          <w:w w:val="110"/>
        </w:rPr>
        <w:t>days</w:t>
      </w:r>
      <w:r w:rsidRPr="00DD7BD1">
        <w:rPr>
          <w:rFonts w:ascii="Calibri" w:hAnsi="Calibri" w:cs="Calibri"/>
          <w:spacing w:val="-5"/>
          <w:w w:val="110"/>
        </w:rPr>
        <w:t xml:space="preserve"> </w:t>
      </w:r>
      <w:r w:rsidRPr="00DD7BD1">
        <w:rPr>
          <w:rFonts w:ascii="Calibri" w:hAnsi="Calibri" w:cs="Calibri"/>
          <w:w w:val="110"/>
        </w:rPr>
        <w:t>after</w:t>
      </w:r>
      <w:r w:rsidRPr="00DD7BD1">
        <w:rPr>
          <w:rFonts w:ascii="Calibri" w:hAnsi="Calibri" w:cs="Calibri"/>
          <w:spacing w:val="-7"/>
          <w:w w:val="110"/>
        </w:rPr>
        <w:t xml:space="preserve"> </w:t>
      </w:r>
      <w:r w:rsidRPr="00DD7BD1">
        <w:rPr>
          <w:rFonts w:ascii="Calibri" w:hAnsi="Calibri" w:cs="Calibri"/>
          <w:w w:val="125"/>
        </w:rPr>
        <w:t>Jan</w:t>
      </w:r>
      <w:r w:rsidRPr="00DD7BD1">
        <w:rPr>
          <w:rFonts w:ascii="Calibri" w:hAnsi="Calibri" w:cs="Calibri"/>
          <w:spacing w:val="-14"/>
          <w:w w:val="125"/>
        </w:rPr>
        <w:t xml:space="preserve"> </w:t>
      </w:r>
      <w:r w:rsidRPr="00DD7BD1">
        <w:rPr>
          <w:rFonts w:ascii="Calibri" w:hAnsi="Calibri" w:cs="Calibri"/>
          <w:w w:val="110"/>
        </w:rPr>
        <w:t>31</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following</w:t>
      </w:r>
      <w:r w:rsidRPr="00DD7BD1">
        <w:rPr>
          <w:rFonts w:ascii="Calibri" w:hAnsi="Calibri" w:cs="Calibri"/>
          <w:spacing w:val="-5"/>
          <w:w w:val="110"/>
        </w:rPr>
        <w:t xml:space="preserve"> </w:t>
      </w:r>
      <w:r w:rsidRPr="00DD7BD1">
        <w:rPr>
          <w:rFonts w:ascii="Calibri" w:hAnsi="Calibri" w:cs="Calibri"/>
          <w:w w:val="110"/>
        </w:rPr>
        <w:t>year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next business day if the 30</w:t>
      </w:r>
      <w:r w:rsidRPr="00DD7BD1">
        <w:rPr>
          <w:rFonts w:ascii="Calibri" w:hAnsi="Calibri" w:cs="Calibri"/>
          <w:w w:val="110"/>
          <w:position w:val="7"/>
        </w:rPr>
        <w:t>th</w:t>
      </w:r>
      <w:r w:rsidRPr="00DD7BD1">
        <w:rPr>
          <w:rFonts w:ascii="Calibri" w:hAnsi="Calibri" w:cs="Calibri"/>
          <w:spacing w:val="33"/>
          <w:w w:val="110"/>
          <w:position w:val="7"/>
        </w:rPr>
        <w:t xml:space="preserve"> </w:t>
      </w:r>
      <w:r w:rsidRPr="00DD7BD1">
        <w:rPr>
          <w:rFonts w:ascii="Calibri" w:hAnsi="Calibri" w:cs="Calibri"/>
          <w:w w:val="110"/>
        </w:rPr>
        <w:t>falls on a weekend or holiday).</w:t>
      </w:r>
      <w:r w:rsidRPr="00DD7BD1">
        <w:rPr>
          <w:rFonts w:ascii="Calibri" w:hAnsi="Calibri" w:cs="Calibri"/>
        </w:rPr>
        <w:t xml:space="preserve"> Access the </w:t>
      </w:r>
      <w:r w:rsidRPr="00DD7BD1">
        <w:rPr>
          <w:rFonts w:ascii="Calibri" w:hAnsi="Calibri" w:cs="Calibri"/>
          <w:u w:val="single"/>
        </w:rPr>
        <w:t>Distribution</w:t>
      </w:r>
      <w:r w:rsidRPr="00DD7BD1">
        <w:rPr>
          <w:rFonts w:ascii="Calibri" w:hAnsi="Calibri" w:cs="Calibri"/>
          <w:spacing w:val="22"/>
          <w:w w:val="110"/>
          <w:u w:val="single"/>
        </w:rPr>
        <w:t xml:space="preserve"> </w:t>
      </w:r>
      <w:r w:rsidRPr="00DD7BD1">
        <w:rPr>
          <w:rFonts w:ascii="Calibri" w:hAnsi="Calibri" w:cs="Calibri"/>
          <w:spacing w:val="-2"/>
          <w:w w:val="110"/>
          <w:u w:val="single"/>
        </w:rPr>
        <w:t xml:space="preserve">Rules: </w:t>
      </w:r>
      <w:hyperlink r:id="rId181" w:anchor="en_US_2021_publink100033116" w:history="1">
        <w:r w:rsidRPr="00DD7BD1">
          <w:rPr>
            <w:rStyle w:val="Hyperlink"/>
            <w:rFonts w:ascii="Calibri" w:hAnsi="Calibri" w:cs="Calibri"/>
            <w:i/>
            <w:spacing w:val="-2"/>
          </w:rPr>
          <w:t>https://www.irs.gov/instructions/i109495c#en_US_2021_publink100033116</w:t>
        </w:r>
      </w:hyperlink>
    </w:p>
    <w:p w14:paraId="4415788A"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06BE28D1" w14:textId="401DDB49" w:rsidR="00EB6E38" w:rsidRPr="00DD7BD1" w:rsidRDefault="00EB6E38" w:rsidP="00EB6E3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IRS Releases FAQs Addressing New Deduction for Qualified Overtime (OBBB)</w:t>
      </w:r>
    </w:p>
    <w:p w14:paraId="483095DE"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January 23, 2026, the Department of Treasury and the Internal Revenue Service (IRS) issued</w:t>
      </w:r>
      <w:r w:rsidRPr="00DD7BD1">
        <w:rPr>
          <w:rFonts w:ascii="Calibri" w:hAnsi="Calibri" w:cs="Calibri"/>
          <w:b w:val="0"/>
          <w:bCs w:val="0"/>
          <w:color w:val="C00000"/>
          <w:sz w:val="22"/>
          <w:szCs w:val="22"/>
        </w:rPr>
        <w:t> </w:t>
      </w:r>
      <w:hyperlink r:id="rId182" w:tgtFrame="_blank" w:history="1">
        <w:r w:rsidRPr="00DD7BD1">
          <w:rPr>
            <w:rStyle w:val="Hyperlink"/>
            <w:rFonts w:ascii="Calibri" w:hAnsi="Calibri" w:cs="Calibri"/>
            <w:b w:val="0"/>
            <w:bCs w:val="0"/>
            <w:sz w:val="22"/>
            <w:szCs w:val="22"/>
          </w:rPr>
          <w:t>Fact Sheet 2026-01</w:t>
        </w:r>
      </w:hyperlink>
      <w:r w:rsidRPr="00DD7BD1">
        <w:rPr>
          <w:rFonts w:ascii="Calibri" w:hAnsi="Calibri" w:cs="Calibri"/>
          <w:b w:val="0"/>
          <w:bCs w:val="0"/>
          <w:sz w:val="22"/>
          <w:szCs w:val="22"/>
        </w:rPr>
        <w:t>, providing answers to frequently asked questions (FAQs) about the new “Deduction for Qualified Overtime Compensation” created by the One Big Beautiful Bill Act (the OBBBA).</w:t>
      </w:r>
    </w:p>
    <w:p w14:paraId="0AF24B7B"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C465B65"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4, 2025, the OBBBA was signed into law and created the </w:t>
      </w:r>
      <w:r w:rsidRPr="00DD7BD1">
        <w:rPr>
          <w:rFonts w:ascii="Calibri" w:hAnsi="Calibri" w:cs="Calibri"/>
          <w:sz w:val="22"/>
          <w:szCs w:val="22"/>
        </w:rPr>
        <w:t xml:space="preserve">Deduction for Qualified Overtime Compensation </w:t>
      </w:r>
      <w:r w:rsidRPr="00DD7BD1">
        <w:rPr>
          <w:rFonts w:ascii="Calibri" w:hAnsi="Calibri" w:cs="Calibri"/>
          <w:b w:val="0"/>
          <w:bCs w:val="0"/>
          <w:sz w:val="22"/>
          <w:szCs w:val="22"/>
        </w:rPr>
        <w:t>to allow individuals to claim a federal income tax deduction for certain qualified overtime compensation for the 2025 to 2028 tax years. Individuals can claim a deduction of up to $12,500 ($25,000 for joint filers) and the deduction phases out for individuals with incomes above $150,000 ($300,000 for joint filers). Employers are required to report to employees the amount of qualified overtime compensation that is paid each year to allow the employees to claim the deduction.</w:t>
      </w:r>
    </w:p>
    <w:p w14:paraId="022CDD8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E3B417D"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Fact Sheet 2026-01 addresses questions related to (1) what constitutes qualified overtime compensation, (2) who is eligible for the deduction, and (3) other rules relevant for eligibility for the deduction.</w:t>
      </w:r>
    </w:p>
    <w:p w14:paraId="124C09CB"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0A206FC4"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Specifically, the FAQs reiterate that qualified overtime compensation includes only overtime that is required to be paid by Section 7 of the Fair Labor Standards Act (FLSA).  For overtime to be required under the FLSA, it must, among other requirements, be paid to an individual who is both covered by the FLSA and not exempt from the FLSA’s overtime requirement.  If an employer pays overtime that is required by another law or agreement (including a collective bargaining agreement) but that would not be required by the FLSA, the amount is not included in qualified overtime compensation.</w:t>
      </w:r>
    </w:p>
    <w:p w14:paraId="196C5C77"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D2405CA"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FAQs also make clear that, when an employee is paid “one and one-half times” overtime compensation paid to an employee as required by the FLSA, only the “half” portion of the pay is considered qualified overtime compensation.</w:t>
      </w:r>
    </w:p>
    <w:p w14:paraId="19FEF7F1"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57A9F35"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Finally, the FAQs also provides resources and guidance that are intended to help assist </w:t>
      </w:r>
      <w:r w:rsidRPr="00DD7BD1">
        <w:rPr>
          <w:rFonts w:ascii="Calibri" w:hAnsi="Calibri" w:cs="Calibri"/>
          <w:sz w:val="22"/>
          <w:szCs w:val="22"/>
        </w:rPr>
        <w:t>individuals</w:t>
      </w:r>
      <w:r w:rsidRPr="00DD7BD1">
        <w:rPr>
          <w:rFonts w:ascii="Calibri" w:hAnsi="Calibri" w:cs="Calibri"/>
          <w:b w:val="0"/>
          <w:bCs w:val="0"/>
          <w:sz w:val="22"/>
          <w:szCs w:val="22"/>
        </w:rPr>
        <w:t xml:space="preserve"> in determining whether they are FLSA overtime-eligible employees and received qualified overtime compensation.</w:t>
      </w:r>
    </w:p>
    <w:p w14:paraId="5F108D61"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28"/>
          <w:szCs w:val="28"/>
        </w:rPr>
      </w:pPr>
    </w:p>
    <w:p w14:paraId="190CA3A6" w14:textId="05EA81A8"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Non-competes &amp; 2026 State Compensation Thresholds</w:t>
      </w:r>
    </w:p>
    <w:p w14:paraId="14EECFE1"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While the Federal Trade Commission no longer seeks to ban non-competes nationwide, individual states continue adding limits on restrictive covenants including non-competition provisions and non-solicitation provisions. One common limit is a minimum compensation level, which adjusts regularly to keep up with inflation.</w:t>
      </w:r>
    </w:p>
    <w:p w14:paraId="28A9A389"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p w14:paraId="0EF38C79"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4 states have banned all non-competes for employees: California, Minnesota, North Dakota, and Oklahoma. (Wyoming adopted significant limits in 2025, but not a flat ban.) </w:t>
      </w:r>
    </w:p>
    <w:p w14:paraId="3060BF4C"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Some states exempt certain industries, most commonly healthcare. </w:t>
      </w:r>
    </w:p>
    <w:p w14:paraId="0A978913"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More common limits is the setting of a minimum compensation level for employees, as is the current case for 11 states and the District of Columbia, see below</w:t>
      </w:r>
    </w:p>
    <w:p w14:paraId="727255CC"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tbl>
      <w:tblPr>
        <w:tblW w:w="9465" w:type="dxa"/>
        <w:shd w:val="clear" w:color="auto" w:fill="FFFFFF"/>
        <w:tblCellMar>
          <w:top w:w="15" w:type="dxa"/>
          <w:left w:w="15" w:type="dxa"/>
          <w:bottom w:w="15" w:type="dxa"/>
          <w:right w:w="15" w:type="dxa"/>
        </w:tblCellMar>
        <w:tblLook w:val="04A0" w:firstRow="1" w:lastRow="0" w:firstColumn="1" w:lastColumn="0" w:noHBand="0" w:noVBand="1"/>
      </w:tblPr>
      <w:tblGrid>
        <w:gridCol w:w="1748"/>
        <w:gridCol w:w="7717"/>
      </w:tblGrid>
      <w:tr w:rsidR="00EB6E38" w:rsidRPr="00DD7BD1" w14:paraId="4388F654" w14:textId="77777777" w:rsidTr="002C3050">
        <w:tc>
          <w:tcPr>
            <w:tcW w:w="0" w:type="auto"/>
            <w:shd w:val="clear" w:color="auto" w:fill="FFFFFF"/>
            <w:tcMar>
              <w:top w:w="150" w:type="dxa"/>
              <w:left w:w="150" w:type="dxa"/>
              <w:bottom w:w="150" w:type="dxa"/>
              <w:right w:w="150" w:type="dxa"/>
            </w:tcMar>
            <w:hideMark/>
          </w:tcPr>
          <w:p w14:paraId="27526048"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State</w:t>
            </w:r>
          </w:p>
        </w:tc>
        <w:tc>
          <w:tcPr>
            <w:tcW w:w="0" w:type="auto"/>
            <w:shd w:val="clear" w:color="auto" w:fill="FFFFFF"/>
            <w:tcMar>
              <w:top w:w="150" w:type="dxa"/>
              <w:left w:w="150" w:type="dxa"/>
              <w:bottom w:w="150" w:type="dxa"/>
              <w:right w:w="150" w:type="dxa"/>
            </w:tcMar>
            <w:hideMark/>
          </w:tcPr>
          <w:p w14:paraId="1E4476A9"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Minimum Annualized Compensation Level for 2026</w:t>
            </w:r>
          </w:p>
        </w:tc>
      </w:tr>
      <w:tr w:rsidR="00EB6E38" w:rsidRPr="00DD7BD1" w14:paraId="32E9EB5A" w14:textId="77777777" w:rsidTr="002C3050">
        <w:tc>
          <w:tcPr>
            <w:tcW w:w="0" w:type="auto"/>
            <w:shd w:val="clear" w:color="auto" w:fill="FFFFFF"/>
            <w:tcMar>
              <w:top w:w="150" w:type="dxa"/>
              <w:left w:w="150" w:type="dxa"/>
              <w:bottom w:w="150" w:type="dxa"/>
              <w:right w:w="150" w:type="dxa"/>
            </w:tcMar>
            <w:hideMark/>
          </w:tcPr>
          <w:p w14:paraId="785ED28C"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83" w:history="1">
              <w:r w:rsidRPr="00DD7BD1">
                <w:rPr>
                  <w:rStyle w:val="Hyperlink"/>
                  <w:rFonts w:ascii="Calibri" w:hAnsi="Calibri" w:cs="Calibri"/>
                  <w:b w:val="0"/>
                  <w:bCs w:val="0"/>
                  <w:sz w:val="22"/>
                  <w:szCs w:val="22"/>
                </w:rPr>
                <w:t>Colorado</w:t>
              </w:r>
            </w:hyperlink>
          </w:p>
        </w:tc>
        <w:tc>
          <w:tcPr>
            <w:tcW w:w="0" w:type="auto"/>
            <w:shd w:val="clear" w:color="auto" w:fill="FFFFFF"/>
            <w:tcMar>
              <w:top w:w="150" w:type="dxa"/>
              <w:left w:w="150" w:type="dxa"/>
              <w:bottom w:w="150" w:type="dxa"/>
              <w:right w:w="150" w:type="dxa"/>
            </w:tcMar>
            <w:hideMark/>
          </w:tcPr>
          <w:p w14:paraId="68C0437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$130,014; $78,008.40 for non-solicitation provisions</w:t>
            </w:r>
          </w:p>
        </w:tc>
      </w:tr>
      <w:tr w:rsidR="00EB6E38" w:rsidRPr="00DD7BD1" w14:paraId="267D166B" w14:textId="77777777" w:rsidTr="002C3050">
        <w:tc>
          <w:tcPr>
            <w:tcW w:w="0" w:type="auto"/>
            <w:shd w:val="clear" w:color="auto" w:fill="FFFFFF"/>
            <w:tcMar>
              <w:top w:w="150" w:type="dxa"/>
              <w:left w:w="150" w:type="dxa"/>
              <w:bottom w:w="150" w:type="dxa"/>
              <w:right w:w="150" w:type="dxa"/>
            </w:tcMar>
            <w:hideMark/>
          </w:tcPr>
          <w:p w14:paraId="52F6A679"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84" w:history="1">
              <w:r w:rsidRPr="00DD7BD1">
                <w:rPr>
                  <w:rStyle w:val="Hyperlink"/>
                  <w:rFonts w:ascii="Calibri" w:hAnsi="Calibri" w:cs="Calibri"/>
                  <w:b w:val="0"/>
                  <w:bCs w:val="0"/>
                  <w:sz w:val="22"/>
                  <w:szCs w:val="22"/>
                </w:rPr>
                <w:t>District of Columbia</w:t>
              </w:r>
            </w:hyperlink>
          </w:p>
        </w:tc>
        <w:tc>
          <w:tcPr>
            <w:tcW w:w="0" w:type="auto"/>
            <w:shd w:val="clear" w:color="auto" w:fill="FFFFFF"/>
            <w:tcMar>
              <w:top w:w="150" w:type="dxa"/>
              <w:left w:w="150" w:type="dxa"/>
              <w:bottom w:w="150" w:type="dxa"/>
              <w:right w:w="150" w:type="dxa"/>
            </w:tcMar>
            <w:hideMark/>
          </w:tcPr>
          <w:p w14:paraId="5B5D546F"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$162,164, or $270,274 for medical specialists</w:t>
            </w:r>
          </w:p>
        </w:tc>
      </w:tr>
      <w:tr w:rsidR="00EB6E38" w:rsidRPr="00DD7BD1" w14:paraId="2CE618A5" w14:textId="77777777" w:rsidTr="002C3050">
        <w:tc>
          <w:tcPr>
            <w:tcW w:w="0" w:type="auto"/>
            <w:shd w:val="clear" w:color="auto" w:fill="FFFFFF"/>
            <w:tcMar>
              <w:top w:w="150" w:type="dxa"/>
              <w:left w:w="150" w:type="dxa"/>
              <w:bottom w:w="150" w:type="dxa"/>
              <w:right w:w="150" w:type="dxa"/>
            </w:tcMar>
            <w:hideMark/>
          </w:tcPr>
          <w:p w14:paraId="27D1D68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85" w:history="1">
              <w:r w:rsidRPr="00DD7BD1">
                <w:rPr>
                  <w:rStyle w:val="Hyperlink"/>
                  <w:rFonts w:ascii="Calibri" w:hAnsi="Calibri" w:cs="Calibri"/>
                  <w:b w:val="0"/>
                  <w:bCs w:val="0"/>
                  <w:i/>
                  <w:iCs/>
                  <w:sz w:val="22"/>
                  <w:szCs w:val="22"/>
                </w:rPr>
                <w:t>Florida</w:t>
              </w:r>
            </w:hyperlink>
          </w:p>
        </w:tc>
        <w:tc>
          <w:tcPr>
            <w:tcW w:w="0" w:type="auto"/>
            <w:shd w:val="clear" w:color="auto" w:fill="FFFFFF"/>
            <w:tcMar>
              <w:top w:w="150" w:type="dxa"/>
              <w:left w:w="150" w:type="dxa"/>
              <w:bottom w:w="150" w:type="dxa"/>
              <w:right w:w="150" w:type="dxa"/>
            </w:tcMar>
            <w:hideMark/>
          </w:tcPr>
          <w:p w14:paraId="381F8961"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Florida does not set minimum compensation for enforcement; rather, it allows </w:t>
            </w:r>
            <w:r w:rsidRPr="00DD7BD1">
              <w:rPr>
                <w:rFonts w:ascii="Calibri" w:hAnsi="Calibri" w:cs="Calibri"/>
                <w:b w:val="0"/>
                <w:bCs w:val="0"/>
                <w:sz w:val="22"/>
                <w:szCs w:val="22"/>
              </w:rPr>
              <w:t>easier</w:t>
            </w:r>
            <w:r w:rsidRPr="00DD7BD1">
              <w:rPr>
                <w:rFonts w:ascii="Calibri" w:hAnsi="Calibri" w:cs="Calibri"/>
                <w:b w:val="0"/>
                <w:bCs w:val="0"/>
                <w:i/>
                <w:iCs/>
                <w:sz w:val="22"/>
                <w:szCs w:val="22"/>
              </w:rPr>
              <w:t> enforcement against employees paid at least “twice the annual mean wage of the county”; this threshold ranges from $80,000 to $140,000.</w:t>
            </w:r>
          </w:p>
        </w:tc>
      </w:tr>
      <w:tr w:rsidR="00EB6E38" w:rsidRPr="00DD7BD1" w14:paraId="570F1A38" w14:textId="77777777" w:rsidTr="002C3050">
        <w:tc>
          <w:tcPr>
            <w:tcW w:w="0" w:type="auto"/>
            <w:shd w:val="clear" w:color="auto" w:fill="FFFFFF"/>
            <w:tcMar>
              <w:top w:w="150" w:type="dxa"/>
              <w:left w:w="150" w:type="dxa"/>
              <w:bottom w:w="150" w:type="dxa"/>
              <w:right w:w="150" w:type="dxa"/>
            </w:tcMar>
            <w:hideMark/>
          </w:tcPr>
          <w:p w14:paraId="124C3395"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86" w:history="1">
              <w:r w:rsidRPr="00DD7BD1">
                <w:rPr>
                  <w:rStyle w:val="Hyperlink"/>
                  <w:rFonts w:ascii="Calibri" w:hAnsi="Calibri" w:cs="Calibri"/>
                  <w:b w:val="0"/>
                  <w:bCs w:val="0"/>
                  <w:sz w:val="22"/>
                  <w:szCs w:val="22"/>
                </w:rPr>
                <w:t>Illinois</w:t>
              </w:r>
            </w:hyperlink>
          </w:p>
        </w:tc>
        <w:tc>
          <w:tcPr>
            <w:tcW w:w="0" w:type="auto"/>
            <w:shd w:val="clear" w:color="auto" w:fill="FFFFFF"/>
            <w:tcMar>
              <w:top w:w="150" w:type="dxa"/>
              <w:left w:w="150" w:type="dxa"/>
              <w:bottom w:w="150" w:type="dxa"/>
              <w:right w:w="150" w:type="dxa"/>
            </w:tcMar>
            <w:hideMark/>
          </w:tcPr>
          <w:p w14:paraId="1063931B"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$75,000 for “actual or expected annualized rate of earnings,” increasing to $80,000 for 2027-2031; $45,000 for non-solicitation provisions, increasing to $50,000 for 2027-2031</w:t>
            </w:r>
          </w:p>
        </w:tc>
      </w:tr>
      <w:tr w:rsidR="00EB6E38" w:rsidRPr="00DD7BD1" w14:paraId="468E9261" w14:textId="77777777" w:rsidTr="002C3050">
        <w:tc>
          <w:tcPr>
            <w:tcW w:w="0" w:type="auto"/>
            <w:shd w:val="clear" w:color="auto" w:fill="FFFFFF"/>
            <w:tcMar>
              <w:top w:w="150" w:type="dxa"/>
              <w:left w:w="150" w:type="dxa"/>
              <w:bottom w:w="150" w:type="dxa"/>
              <w:right w:w="150" w:type="dxa"/>
            </w:tcMar>
            <w:hideMark/>
          </w:tcPr>
          <w:p w14:paraId="796DC50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87" w:history="1">
              <w:r w:rsidRPr="00DD7BD1">
                <w:rPr>
                  <w:rStyle w:val="Hyperlink"/>
                  <w:rFonts w:ascii="Calibri" w:hAnsi="Calibri" w:cs="Calibri"/>
                  <w:b w:val="0"/>
                  <w:bCs w:val="0"/>
                  <w:sz w:val="22"/>
                  <w:szCs w:val="22"/>
                </w:rPr>
                <w:t>Maine</w:t>
              </w:r>
            </w:hyperlink>
          </w:p>
        </w:tc>
        <w:tc>
          <w:tcPr>
            <w:tcW w:w="0" w:type="auto"/>
            <w:shd w:val="clear" w:color="auto" w:fill="FFFFFF"/>
            <w:tcMar>
              <w:top w:w="150" w:type="dxa"/>
              <w:left w:w="150" w:type="dxa"/>
              <w:bottom w:w="150" w:type="dxa"/>
              <w:right w:w="150" w:type="dxa"/>
            </w:tcMar>
            <w:hideMark/>
          </w:tcPr>
          <w:p w14:paraId="032BE8C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$63,840</w:t>
            </w:r>
          </w:p>
        </w:tc>
      </w:tr>
      <w:tr w:rsidR="00EB6E38" w:rsidRPr="00DD7BD1" w14:paraId="26BBB4CE" w14:textId="77777777" w:rsidTr="002C3050">
        <w:tc>
          <w:tcPr>
            <w:tcW w:w="0" w:type="auto"/>
            <w:shd w:val="clear" w:color="auto" w:fill="FFFFFF"/>
            <w:tcMar>
              <w:top w:w="150" w:type="dxa"/>
              <w:left w:w="150" w:type="dxa"/>
              <w:bottom w:w="150" w:type="dxa"/>
              <w:right w:w="150" w:type="dxa"/>
            </w:tcMar>
            <w:hideMark/>
          </w:tcPr>
          <w:p w14:paraId="66927CE3"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88" w:history="1">
              <w:r w:rsidRPr="00DD7BD1">
                <w:rPr>
                  <w:rStyle w:val="Hyperlink"/>
                  <w:rFonts w:ascii="Calibri" w:hAnsi="Calibri" w:cs="Calibri"/>
                  <w:b w:val="0"/>
                  <w:bCs w:val="0"/>
                  <w:sz w:val="22"/>
                  <w:szCs w:val="22"/>
                </w:rPr>
                <w:t>Maryland</w:t>
              </w:r>
            </w:hyperlink>
          </w:p>
        </w:tc>
        <w:tc>
          <w:tcPr>
            <w:tcW w:w="0" w:type="auto"/>
            <w:shd w:val="clear" w:color="auto" w:fill="FFFFFF"/>
            <w:tcMar>
              <w:top w:w="150" w:type="dxa"/>
              <w:left w:w="150" w:type="dxa"/>
              <w:bottom w:w="150" w:type="dxa"/>
              <w:right w:w="150" w:type="dxa"/>
            </w:tcMar>
            <w:hideMark/>
          </w:tcPr>
          <w:p w14:paraId="1CCE05A8"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$46,800, or $350,000 for certain healthcare providers</w:t>
            </w:r>
          </w:p>
        </w:tc>
      </w:tr>
      <w:tr w:rsidR="00EB6E38" w:rsidRPr="00DD7BD1" w14:paraId="31C90C10" w14:textId="77777777" w:rsidTr="002C3050">
        <w:tc>
          <w:tcPr>
            <w:tcW w:w="0" w:type="auto"/>
            <w:shd w:val="clear" w:color="auto" w:fill="FFFFFF"/>
            <w:tcMar>
              <w:top w:w="150" w:type="dxa"/>
              <w:left w:w="150" w:type="dxa"/>
              <w:bottom w:w="150" w:type="dxa"/>
              <w:right w:w="150" w:type="dxa"/>
            </w:tcMar>
            <w:hideMark/>
          </w:tcPr>
          <w:p w14:paraId="0A14143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89" w:history="1">
              <w:r w:rsidRPr="00DD7BD1">
                <w:rPr>
                  <w:rStyle w:val="Hyperlink"/>
                  <w:rFonts w:ascii="Calibri" w:hAnsi="Calibri" w:cs="Calibri"/>
                  <w:b w:val="0"/>
                  <w:bCs w:val="0"/>
                  <w:sz w:val="22"/>
                  <w:szCs w:val="22"/>
                </w:rPr>
                <w:t>Massachusetts</w:t>
              </w:r>
            </w:hyperlink>
          </w:p>
        </w:tc>
        <w:tc>
          <w:tcPr>
            <w:tcW w:w="0" w:type="auto"/>
            <w:shd w:val="clear" w:color="auto" w:fill="FFFFFF"/>
            <w:tcMar>
              <w:top w:w="150" w:type="dxa"/>
              <w:left w:w="150" w:type="dxa"/>
              <w:bottom w:w="150" w:type="dxa"/>
              <w:right w:w="150" w:type="dxa"/>
            </w:tcMar>
            <w:hideMark/>
          </w:tcPr>
          <w:p w14:paraId="3F581922"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$35,568 on a salary basis with FLSA-exempt duties*</w:t>
            </w:r>
          </w:p>
        </w:tc>
      </w:tr>
      <w:tr w:rsidR="00EB6E38" w:rsidRPr="00DD7BD1" w14:paraId="6C7C04BC" w14:textId="77777777" w:rsidTr="002C3050">
        <w:tc>
          <w:tcPr>
            <w:tcW w:w="0" w:type="auto"/>
            <w:shd w:val="clear" w:color="auto" w:fill="FFFFFF"/>
            <w:tcMar>
              <w:top w:w="150" w:type="dxa"/>
              <w:left w:w="150" w:type="dxa"/>
              <w:bottom w:w="150" w:type="dxa"/>
              <w:right w:w="150" w:type="dxa"/>
            </w:tcMar>
            <w:hideMark/>
          </w:tcPr>
          <w:p w14:paraId="08E08C1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0" w:history="1">
              <w:r w:rsidRPr="00DD7BD1">
                <w:rPr>
                  <w:rStyle w:val="Hyperlink"/>
                  <w:rFonts w:ascii="Calibri" w:hAnsi="Calibri" w:cs="Calibri"/>
                  <w:b w:val="0"/>
                  <w:bCs w:val="0"/>
                  <w:sz w:val="22"/>
                  <w:szCs w:val="22"/>
                </w:rPr>
                <w:t>New Hampshire</w:t>
              </w:r>
            </w:hyperlink>
          </w:p>
        </w:tc>
        <w:tc>
          <w:tcPr>
            <w:tcW w:w="0" w:type="auto"/>
            <w:shd w:val="clear" w:color="auto" w:fill="FFFFFF"/>
            <w:tcMar>
              <w:top w:w="150" w:type="dxa"/>
              <w:left w:w="150" w:type="dxa"/>
              <w:bottom w:w="150" w:type="dxa"/>
              <w:right w:w="150" w:type="dxa"/>
            </w:tcMar>
            <w:hideMark/>
          </w:tcPr>
          <w:p w14:paraId="296A423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$30,160</w:t>
            </w:r>
          </w:p>
        </w:tc>
      </w:tr>
      <w:tr w:rsidR="00EB6E38" w:rsidRPr="00DD7BD1" w14:paraId="67065625" w14:textId="77777777" w:rsidTr="002C3050">
        <w:tc>
          <w:tcPr>
            <w:tcW w:w="0" w:type="auto"/>
            <w:shd w:val="clear" w:color="auto" w:fill="FFFFFF"/>
            <w:tcMar>
              <w:top w:w="150" w:type="dxa"/>
              <w:left w:w="150" w:type="dxa"/>
              <w:bottom w:w="150" w:type="dxa"/>
              <w:right w:w="150" w:type="dxa"/>
            </w:tcMar>
            <w:hideMark/>
          </w:tcPr>
          <w:p w14:paraId="6CCE93AF"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1" w:anchor="NRS613Sec195" w:history="1">
              <w:r w:rsidRPr="00DD7BD1">
                <w:rPr>
                  <w:rStyle w:val="Hyperlink"/>
                  <w:rFonts w:ascii="Calibri" w:hAnsi="Calibri" w:cs="Calibri"/>
                  <w:b w:val="0"/>
                  <w:bCs w:val="0"/>
                  <w:i/>
                  <w:iCs/>
                  <w:sz w:val="22"/>
                  <w:szCs w:val="22"/>
                </w:rPr>
                <w:t>Nevada</w:t>
              </w:r>
            </w:hyperlink>
          </w:p>
        </w:tc>
        <w:tc>
          <w:tcPr>
            <w:tcW w:w="0" w:type="auto"/>
            <w:shd w:val="clear" w:color="auto" w:fill="FFFFFF"/>
            <w:tcMar>
              <w:top w:w="150" w:type="dxa"/>
              <w:left w:w="150" w:type="dxa"/>
              <w:bottom w:w="150" w:type="dxa"/>
              <w:right w:w="150" w:type="dxa"/>
            </w:tcMar>
            <w:hideMark/>
          </w:tcPr>
          <w:p w14:paraId="4C049649"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Nevada does not set minimum compensation but does require the employee to be salaried, not hourly.</w:t>
            </w:r>
          </w:p>
        </w:tc>
      </w:tr>
      <w:tr w:rsidR="00EB6E38" w:rsidRPr="00DD7BD1" w14:paraId="14822AC9" w14:textId="77777777" w:rsidTr="002C3050">
        <w:tc>
          <w:tcPr>
            <w:tcW w:w="0" w:type="auto"/>
            <w:shd w:val="clear" w:color="auto" w:fill="FFFFFF"/>
            <w:tcMar>
              <w:top w:w="150" w:type="dxa"/>
              <w:left w:w="150" w:type="dxa"/>
              <w:bottom w:w="150" w:type="dxa"/>
              <w:right w:w="150" w:type="dxa"/>
            </w:tcMar>
            <w:hideMark/>
          </w:tcPr>
          <w:p w14:paraId="7923AB4B"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2" w:history="1">
              <w:r w:rsidRPr="00DD7BD1">
                <w:rPr>
                  <w:rStyle w:val="Hyperlink"/>
                  <w:rFonts w:ascii="Calibri" w:hAnsi="Calibri" w:cs="Calibri"/>
                  <w:b w:val="0"/>
                  <w:bCs w:val="0"/>
                  <w:sz w:val="22"/>
                  <w:szCs w:val="22"/>
                </w:rPr>
                <w:t>Oregon</w:t>
              </w:r>
            </w:hyperlink>
          </w:p>
        </w:tc>
        <w:tc>
          <w:tcPr>
            <w:tcW w:w="0" w:type="auto"/>
            <w:shd w:val="clear" w:color="auto" w:fill="FFFFFF"/>
            <w:tcMar>
              <w:top w:w="150" w:type="dxa"/>
              <w:left w:w="150" w:type="dxa"/>
              <w:bottom w:w="150" w:type="dxa"/>
              <w:right w:w="150" w:type="dxa"/>
            </w:tcMar>
            <w:hideMark/>
          </w:tcPr>
          <w:p w14:paraId="686F64FD"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$119,541 on a salary basis with exempt duties**     </w:t>
            </w:r>
          </w:p>
        </w:tc>
      </w:tr>
      <w:tr w:rsidR="00EB6E38" w:rsidRPr="00DD7BD1" w14:paraId="383D45DB" w14:textId="77777777" w:rsidTr="002C3050">
        <w:tc>
          <w:tcPr>
            <w:tcW w:w="0" w:type="auto"/>
            <w:shd w:val="clear" w:color="auto" w:fill="FFFFFF"/>
            <w:tcMar>
              <w:top w:w="150" w:type="dxa"/>
              <w:left w:w="150" w:type="dxa"/>
              <w:bottom w:w="150" w:type="dxa"/>
              <w:right w:w="150" w:type="dxa"/>
            </w:tcMar>
            <w:hideMark/>
          </w:tcPr>
          <w:p w14:paraId="60B0119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3" w:history="1">
              <w:r w:rsidRPr="00DD7BD1">
                <w:rPr>
                  <w:rStyle w:val="Hyperlink"/>
                  <w:rFonts w:ascii="Calibri" w:hAnsi="Calibri" w:cs="Calibri"/>
                  <w:b w:val="0"/>
                  <w:bCs w:val="0"/>
                  <w:sz w:val="22"/>
                  <w:szCs w:val="22"/>
                </w:rPr>
                <w:t>Rhode Island</w:t>
              </w:r>
            </w:hyperlink>
          </w:p>
        </w:tc>
        <w:tc>
          <w:tcPr>
            <w:tcW w:w="0" w:type="auto"/>
            <w:shd w:val="clear" w:color="auto" w:fill="FFFFFF"/>
            <w:tcMar>
              <w:top w:w="150" w:type="dxa"/>
              <w:left w:w="150" w:type="dxa"/>
              <w:bottom w:w="150" w:type="dxa"/>
              <w:right w:w="150" w:type="dxa"/>
            </w:tcMar>
            <w:hideMark/>
          </w:tcPr>
          <w:p w14:paraId="5D9F02DA"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$39,900 in regular pay (excluding overtime, Sunday, and holiday pay) on a salary basis with FLSA-exempt duties*</w:t>
            </w:r>
          </w:p>
        </w:tc>
      </w:tr>
      <w:tr w:rsidR="00EB6E38" w:rsidRPr="00DD7BD1" w14:paraId="552A013A" w14:textId="77777777" w:rsidTr="002C3050">
        <w:tc>
          <w:tcPr>
            <w:tcW w:w="0" w:type="auto"/>
            <w:shd w:val="clear" w:color="auto" w:fill="FFFFFF"/>
            <w:tcMar>
              <w:top w:w="150" w:type="dxa"/>
              <w:left w:w="150" w:type="dxa"/>
              <w:bottom w:w="150" w:type="dxa"/>
              <w:right w:w="150" w:type="dxa"/>
            </w:tcMar>
            <w:hideMark/>
          </w:tcPr>
          <w:p w14:paraId="21ADA22D"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4" w:history="1">
              <w:r w:rsidRPr="00DD7BD1">
                <w:rPr>
                  <w:rStyle w:val="Hyperlink"/>
                  <w:rFonts w:ascii="Calibri" w:hAnsi="Calibri" w:cs="Calibri"/>
                  <w:b w:val="0"/>
                  <w:bCs w:val="0"/>
                  <w:sz w:val="22"/>
                  <w:szCs w:val="22"/>
                </w:rPr>
                <w:t>Virginia</w:t>
              </w:r>
            </w:hyperlink>
          </w:p>
        </w:tc>
        <w:tc>
          <w:tcPr>
            <w:tcW w:w="0" w:type="auto"/>
            <w:shd w:val="clear" w:color="auto" w:fill="FFFFFF"/>
            <w:tcMar>
              <w:top w:w="150" w:type="dxa"/>
              <w:left w:w="150" w:type="dxa"/>
              <w:bottom w:w="150" w:type="dxa"/>
              <w:right w:w="150" w:type="dxa"/>
            </w:tcMar>
            <w:hideMark/>
          </w:tcPr>
          <w:p w14:paraId="1D3353F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$78,364.52 on a salary basis with FLSA-exempt duties, or mostly paid by commission/incentive/bonus</w:t>
            </w:r>
          </w:p>
        </w:tc>
      </w:tr>
      <w:tr w:rsidR="00EB6E38" w:rsidRPr="00DD7BD1" w14:paraId="1912CE2F" w14:textId="77777777" w:rsidTr="002C3050">
        <w:tc>
          <w:tcPr>
            <w:tcW w:w="0" w:type="auto"/>
            <w:shd w:val="clear" w:color="auto" w:fill="FFFFFF"/>
            <w:tcMar>
              <w:top w:w="150" w:type="dxa"/>
              <w:left w:w="150" w:type="dxa"/>
              <w:bottom w:w="150" w:type="dxa"/>
              <w:right w:w="150" w:type="dxa"/>
            </w:tcMar>
            <w:hideMark/>
          </w:tcPr>
          <w:p w14:paraId="477DF2A0"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95" w:history="1">
              <w:r w:rsidRPr="00DD7BD1">
                <w:rPr>
                  <w:rStyle w:val="Hyperlink"/>
                  <w:rFonts w:ascii="Calibri" w:hAnsi="Calibri" w:cs="Calibri"/>
                  <w:b w:val="0"/>
                  <w:bCs w:val="0"/>
                  <w:sz w:val="22"/>
                  <w:szCs w:val="22"/>
                </w:rPr>
                <w:t>Washington state</w:t>
              </w:r>
            </w:hyperlink>
          </w:p>
        </w:tc>
        <w:tc>
          <w:tcPr>
            <w:tcW w:w="0" w:type="auto"/>
            <w:shd w:val="clear" w:color="auto" w:fill="FFFFFF"/>
            <w:tcMar>
              <w:top w:w="150" w:type="dxa"/>
              <w:left w:w="150" w:type="dxa"/>
              <w:bottom w:w="150" w:type="dxa"/>
              <w:right w:w="150" w:type="dxa"/>
            </w:tcMar>
            <w:hideMark/>
          </w:tcPr>
          <w:p w14:paraId="45D1B4D3"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$126,858.83​ for employees, $317,147.09​ for independent contractors</w:t>
            </w:r>
          </w:p>
        </w:tc>
      </w:tr>
    </w:tbl>
    <w:p w14:paraId="017C982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*These states require the employees to be exempt under the federal Fair Labor Standards Act (FLSA).</w:t>
      </w:r>
    </w:p>
    <w:p w14:paraId="23E5B0B0"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****Oregon requires the employees to be exempt not just under the federal FLSA but under stricter state law as well. See Ore. Rev. Stat. 653.295(b).</w:t>
      </w:r>
    </w:p>
    <w:p w14:paraId="3DB82356"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NOTE: These thresholds may vary in certain circumstances, such as when an employee’s base salary is under the threshold but he or she usually makes more in commissions, incentives, or bonuses.</w:t>
      </w:r>
    </w:p>
    <w:p w14:paraId="5C305F96"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46CFEEA2" w14:textId="44AEEDED" w:rsidR="00EB6E38" w:rsidRPr="00DD7BD1" w:rsidRDefault="00EB6E38" w:rsidP="00EB6E38">
      <w:pPr>
        <w:pStyle w:val="Heading1"/>
        <w:shd w:val="clear" w:color="auto" w:fill="FFFFFF"/>
        <w:spacing w:before="0" w:beforeAutospacing="0" w:after="0" w:afterAutospacing="0"/>
        <w:jc w:val="center"/>
        <w:rPr>
          <w:rFonts w:ascii="Calibri" w:hAnsi="Calibri" w:cs="Calibri"/>
          <w:spacing w:val="-8"/>
          <w:sz w:val="28"/>
          <w:szCs w:val="28"/>
        </w:rPr>
      </w:pPr>
      <w:r w:rsidRPr="00DD7BD1">
        <w:rPr>
          <w:rFonts w:ascii="Calibri" w:hAnsi="Calibri" w:cs="Calibri"/>
          <w:spacing w:val="-8"/>
          <w:sz w:val="28"/>
          <w:szCs w:val="28"/>
        </w:rPr>
        <w:t>2026 Federal Poverty Levels Impact Employer Liability Under ACA Pay-or-Play Rules</w:t>
      </w:r>
    </w:p>
    <w:p w14:paraId="3202A155"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To avoid pay-or-play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196" w:history="1">
        <w:r w:rsidRPr="00DD7BD1">
          <w:rPr>
            <w:rStyle w:val="Hyperlink"/>
            <w:rFonts w:ascii="Calibri" w:eastAsiaTheme="majorEastAsia" w:hAnsi="Calibri" w:cs="Calibri"/>
            <w:b w:val="0"/>
            <w:bCs w:val="0"/>
            <w:sz w:val="22"/>
            <w:szCs w:val="22"/>
          </w:rPr>
          <w:t>2025 FPL guidelines</w:t>
        </w:r>
      </w:hyperlink>
      <w:r w:rsidRPr="00DD7BD1">
        <w:rPr>
          <w:rFonts w:ascii="Calibri" w:hAnsi="Calibri" w:cs="Calibri"/>
          <w:b w:val="0"/>
          <w:bCs w:val="0"/>
          <w:kern w:val="0"/>
          <w:sz w:val="22"/>
          <w:szCs w:val="22"/>
        </w:rPr>
        <w:t xml:space="preserve"> for the 2026 plan year, while ALEs with non-calendar-year health plans may use the new 2026 FPL guidelines.</w:t>
      </w:r>
    </w:p>
    <w:p w14:paraId="29F4039C"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16"/>
          <w:szCs w:val="16"/>
        </w:rPr>
      </w:pPr>
    </w:p>
    <w:p w14:paraId="113B4753"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The U.S. Department of Health and Human Services (HHS) updates federal poverty levels (FPLs) each year to determine eligibility for certain programs and benefits. HHS’ new</w:t>
      </w:r>
      <w:r w:rsidRPr="00DD7BD1">
        <w:rPr>
          <w:rFonts w:cs="Calibri"/>
          <w:szCs w:val="22"/>
        </w:rPr>
        <w:t xml:space="preserve"> </w:t>
      </w:r>
      <w:hyperlink r:id="rId197" w:history="1">
        <w:r w:rsidRPr="00DD7BD1">
          <w:rPr>
            <w:rStyle w:val="Hyperlink"/>
            <w:rFonts w:eastAsiaTheme="majorEastAsia" w:cs="Calibri"/>
            <w:szCs w:val="22"/>
          </w:rPr>
          <w:t>guidelines</w:t>
        </w:r>
      </w:hyperlink>
      <w:r w:rsidRPr="00DD7BD1">
        <w:rPr>
          <w:rFonts w:cs="Calibri"/>
          <w:szCs w:val="22"/>
        </w:rPr>
        <w:t xml:space="preserve"> </w:t>
      </w:r>
      <w:r w:rsidRPr="00DD7BD1">
        <w:rPr>
          <w:rFonts w:cs="Calibri"/>
          <w:color w:val="auto"/>
          <w:szCs w:val="22"/>
        </w:rPr>
        <w:t xml:space="preserve">set the 2026 FPL for an individual at $15,960 (up from $15,650 in 2025) in the 48 contiguous states and the District of Columbia. For Alaska and Hawaii, FPLs for an individual are $19,950 and $18,360, respectively (up from $19,550 and $17,990 in 2025). </w:t>
      </w:r>
    </w:p>
    <w:p w14:paraId="2A2BF1DA"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 xml:space="preserve">FPLs may impact an applicable large employer’s (ALE) potential liability under the Affordable Care Act’s (ACA) “pay-or-play” rules in two ways: </w:t>
      </w:r>
    </w:p>
    <w:p w14:paraId="72EA0299"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ALEs may use the FPL safe harbor to determine the affordability of their health plan coverage; and</w:t>
      </w:r>
    </w:p>
    <w:p w14:paraId="16728F96"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 xml:space="preserve">FPLs are used to determine eligibility for premium tax credits (PTC) for health insurance purchased through an ACA Marketplace. </w:t>
      </w:r>
    </w:p>
    <w:p w14:paraId="43FB2577" w14:textId="77777777" w:rsidR="00EB6E38" w:rsidRPr="00DD7BD1" w:rsidRDefault="00EB6E38" w:rsidP="00EB6E38">
      <w:pPr>
        <w:pStyle w:val="BodyText"/>
        <w:spacing w:after="0" w:line="240" w:lineRule="auto"/>
        <w:ind w:right="274"/>
        <w:rPr>
          <w:rFonts w:cs="Calibri"/>
          <w:color w:val="auto"/>
          <w:sz w:val="16"/>
          <w:szCs w:val="16"/>
        </w:rPr>
      </w:pPr>
    </w:p>
    <w:p w14:paraId="14D91402" w14:textId="77777777" w:rsidR="00EB6E38" w:rsidRPr="00DD7BD1" w:rsidRDefault="00EB6E38" w:rsidP="00EB6E38">
      <w:pPr>
        <w:pStyle w:val="BodyText"/>
        <w:spacing w:after="0" w:line="240" w:lineRule="auto"/>
        <w:ind w:right="274"/>
        <w:rPr>
          <w:rFonts w:cs="Calibri"/>
          <w:color w:val="auto"/>
          <w:szCs w:val="22"/>
        </w:rPr>
      </w:pPr>
      <w:r w:rsidRPr="00DD7BD1">
        <w:rPr>
          <w:rFonts w:cs="Calibri"/>
          <w:color w:val="auto"/>
          <w:szCs w:val="22"/>
        </w:rPr>
        <w:t xml:space="preserve">An ALE is only liable for a pay-or-play penalty if one or more of its full-time employees receive a PTC for health insurance purchased through a Marketplace. Individuals cannot receive these if they are eligible for affordable, minimum-value health coverage through their employer, regardless of whether their income meets FPL guidelines. </w:t>
      </w:r>
    </w:p>
    <w:p w14:paraId="66E15908" w14:textId="77777777" w:rsidR="00EB6E38" w:rsidRPr="00DD7BD1" w:rsidRDefault="00EB6E38" w:rsidP="00EB6E38">
      <w:pPr>
        <w:pStyle w:val="BodyText"/>
        <w:spacing w:after="0" w:line="240" w:lineRule="auto"/>
        <w:ind w:right="274"/>
        <w:rPr>
          <w:rFonts w:cs="Calibri"/>
          <w:color w:val="auto"/>
          <w:szCs w:val="22"/>
        </w:rPr>
      </w:pPr>
    </w:p>
    <w:p w14:paraId="6E216C9B" w14:textId="2A13624D"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Recovers More Than $295 Million in Back Wages in FY 2025</w:t>
      </w:r>
    </w:p>
    <w:p w14:paraId="13507B4F" w14:textId="77777777" w:rsidR="00EB6E38" w:rsidRPr="00DD7BD1" w:rsidRDefault="00EB6E38" w:rsidP="00EB6E38">
      <w:pPr>
        <w:pStyle w:val="BodyText"/>
        <w:spacing w:after="0" w:line="240" w:lineRule="auto"/>
        <w:ind w:right="274"/>
        <w:rPr>
          <w:rFonts w:cs="Calibri"/>
          <w:color w:val="auto"/>
          <w:szCs w:val="22"/>
        </w:rPr>
      </w:pPr>
      <w:r w:rsidRPr="00DD7BD1">
        <w:rPr>
          <w:rFonts w:cs="Calibri"/>
          <w:b/>
          <w:bCs/>
          <w:color w:val="auto"/>
          <w:kern w:val="36"/>
          <w:szCs w:val="22"/>
          <w:highlight w:val="lightGray"/>
        </w:rPr>
        <w:t xml:space="preserve">Employer Takeaway: </w:t>
      </w:r>
      <w:r w:rsidRPr="00DD7BD1">
        <w:rPr>
          <w:rFonts w:cs="Calibri"/>
          <w:color w:val="auto"/>
          <w:szCs w:val="22"/>
        </w:rPr>
        <w:t>The monetary recovery for FY 2025 even after the DOL undergoing significant changes, including reductions in the department’s workforce and funding and a shift from traditional enforcement actions toward employer compliance assistance and self-reporting, demonstrates the Department’s commitment to the lawful payment of wages to employees. In light of the increased DOL recoveries in FY 2025, employers should ensure wage and hour compliance to limit their exposures and reduce the risk of investigations.</w:t>
      </w:r>
    </w:p>
    <w:p w14:paraId="11974910" w14:textId="77777777" w:rsidR="00EB6E38" w:rsidRPr="00DD7BD1" w:rsidRDefault="00EB6E38" w:rsidP="00EB6E38">
      <w:pPr>
        <w:pStyle w:val="BodyText"/>
        <w:spacing w:after="0" w:line="240" w:lineRule="auto"/>
        <w:ind w:right="274"/>
        <w:rPr>
          <w:rFonts w:cs="Calibri"/>
          <w:color w:val="auto"/>
          <w:sz w:val="16"/>
          <w:szCs w:val="16"/>
        </w:rPr>
      </w:pPr>
    </w:p>
    <w:p w14:paraId="73DAA99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2025 Recoveries:</w:t>
      </w:r>
    </w:p>
    <w:p w14:paraId="4A15EC8A" w14:textId="10E486C8" w:rsidR="00EB6E38" w:rsidRPr="00DD7BD1" w:rsidRDefault="00EB6E38" w:rsidP="00EB6E38">
      <w:pPr>
        <w:rPr>
          <w:rFonts w:ascii="Calibri" w:hAnsi="Calibri" w:cs="Calibri"/>
        </w:rPr>
      </w:pPr>
      <w:r w:rsidRPr="00DD7BD1">
        <w:rPr>
          <w:rFonts w:ascii="Calibri" w:hAnsi="Calibri" w:cs="Calibri"/>
        </w:rPr>
        <w:t xml:space="preserve">The DOL recovered more than $295 million in back wages in FY 2025, up from $202 million in FY 2024, according to </w:t>
      </w:r>
      <w:hyperlink r:id="rId198" w:history="1">
        <w:r w:rsidRPr="00DD7BD1">
          <w:rPr>
            <w:rStyle w:val="Hyperlink"/>
            <w:rFonts w:ascii="Calibri" w:hAnsi="Calibri" w:cs="Calibri"/>
          </w:rPr>
          <w:t>agency data</w:t>
        </w:r>
      </w:hyperlink>
      <w:r w:rsidRPr="00DD7BD1">
        <w:rPr>
          <w:rFonts w:ascii="Calibri" w:hAnsi="Calibri" w:cs="Calibri"/>
        </w:rPr>
        <w:t>. The increase in recovered back wages comes despite the department conducting fewer compliance actions in FY 2025 than it did in FY 2024—17,000 compliance actions were concluded in FY 2025 compared to 17,300 in 2024. Additionally, the DOL assessed $58.7 million in penalties in FY 2025, compared to $35.9 million in FY 2024. According to agency data, a large portion of the cases resolved in FY 2025 originated from previous years, with many of the high-value cases involving violations that occurred between 2016 and 2024.</w:t>
      </w:r>
    </w:p>
    <w:p w14:paraId="4620518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Changes in Employer Resources</w:t>
      </w:r>
    </w:p>
    <w:p w14:paraId="42E89E97" w14:textId="3606CDB2" w:rsidR="00EB6E38" w:rsidRPr="00DD7BD1" w:rsidRDefault="00EB6E38" w:rsidP="00EB6E38">
      <w:pPr>
        <w:rPr>
          <w:rFonts w:ascii="Calibri" w:hAnsi="Calibri" w:cs="Calibri"/>
        </w:rPr>
      </w:pPr>
      <w:r w:rsidRPr="00DD7BD1">
        <w:rPr>
          <w:rFonts w:ascii="Calibri" w:hAnsi="Calibri" w:cs="Calibri"/>
        </w:rPr>
        <w:t xml:space="preserve">Recently, the DOL enhanced its compliance assistance efforts by providing new guidance and tools aimed at helping employers stay informed about their compliance obligations. For example, the department created an improved </w:t>
      </w:r>
      <w:hyperlink r:id="rId199" w:history="1">
        <w:r w:rsidRPr="00DD7BD1">
          <w:rPr>
            <w:rStyle w:val="Hyperlink"/>
            <w:rFonts w:ascii="Calibri" w:hAnsi="Calibri" w:cs="Calibri"/>
          </w:rPr>
          <w:t>compliance assistance hub</w:t>
        </w:r>
      </w:hyperlink>
      <w:r w:rsidRPr="00DD7BD1">
        <w:rPr>
          <w:rFonts w:ascii="Calibri" w:hAnsi="Calibri" w:cs="Calibri"/>
        </w:rPr>
        <w:t xml:space="preserve">, updated </w:t>
      </w:r>
      <w:hyperlink r:id="rId200" w:history="1">
        <w:r w:rsidRPr="00DD7BD1">
          <w:rPr>
            <w:rStyle w:val="Hyperlink"/>
            <w:rFonts w:ascii="Calibri" w:hAnsi="Calibri" w:cs="Calibri"/>
          </w:rPr>
          <w:t>compliance videos</w:t>
        </w:r>
      </w:hyperlink>
      <w:r w:rsidRPr="00DD7BD1">
        <w:rPr>
          <w:rFonts w:ascii="Calibri" w:hAnsi="Calibri" w:cs="Calibri"/>
        </w:rPr>
        <w:t xml:space="preserve"> on the FLSA and created a </w:t>
      </w:r>
      <w:hyperlink r:id="rId201" w:history="1">
        <w:r w:rsidRPr="00DD7BD1">
          <w:rPr>
            <w:rStyle w:val="Hyperlink"/>
            <w:rFonts w:ascii="Calibri" w:hAnsi="Calibri" w:cs="Calibri"/>
          </w:rPr>
          <w:t>YouTube series</w:t>
        </w:r>
      </w:hyperlink>
      <w:r w:rsidRPr="00DD7BD1">
        <w:rPr>
          <w:rFonts w:ascii="Calibri" w:hAnsi="Calibri" w:cs="Calibri"/>
        </w:rPr>
        <w:t xml:space="preserve"> on the FMLA. The DOL also relaunched the </w:t>
      </w:r>
      <w:hyperlink r:id="rId202" w:history="1">
        <w:r w:rsidRPr="00DD7BD1">
          <w:rPr>
            <w:rStyle w:val="Hyperlink"/>
            <w:rFonts w:ascii="Calibri" w:hAnsi="Calibri" w:cs="Calibri"/>
          </w:rPr>
          <w:t>opinion letter program</w:t>
        </w:r>
      </w:hyperlink>
      <w:r w:rsidRPr="00DD7BD1">
        <w:rPr>
          <w:rFonts w:ascii="Calibri" w:hAnsi="Calibri" w:cs="Calibri"/>
        </w:rPr>
        <w:t xml:space="preserve"> and </w:t>
      </w:r>
      <w:hyperlink r:id="rId203" w:history="1">
        <w:r w:rsidRPr="00DD7BD1">
          <w:rPr>
            <w:rStyle w:val="Hyperlink"/>
            <w:rFonts w:ascii="Calibri" w:hAnsi="Calibri" w:cs="Calibri"/>
          </w:rPr>
          <w:t>Payroll Audit Independent Determination program</w:t>
        </w:r>
      </w:hyperlink>
      <w:r w:rsidRPr="00DD7BD1">
        <w:rPr>
          <w:rFonts w:ascii="Calibri" w:hAnsi="Calibri" w:cs="Calibri"/>
        </w:rPr>
        <w:t>, which offers employers an opportunity to self-report and resolve potential minimum wage and overtime violations under the FLSA, as well as certain potential FMLA violations.</w:t>
      </w:r>
    </w:p>
    <w:p w14:paraId="7118CC2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5F5D41C5" w14:textId="77777777" w:rsidR="00EB6E38" w:rsidRPr="00DD7BD1" w:rsidRDefault="00EB6E38" w:rsidP="00EB6E38">
      <w:pPr>
        <w:pStyle w:val="PostBulletList"/>
        <w:spacing w:before="0" w:after="0" w:line="240" w:lineRule="auto"/>
        <w:rPr>
          <w:rFonts w:ascii="Calibri" w:hAnsi="Calibri" w:cs="Calibri"/>
        </w:rPr>
      </w:pPr>
      <w:r w:rsidRPr="00DD7BD1">
        <w:rPr>
          <w:rFonts w:ascii="Calibri" w:hAnsi="Calibri" w:cs="Calibri"/>
        </w:rPr>
        <w:t>The DOL’s Wage and Hour Division (WHD) enforces federal minimum wage, overtime pay, recordkeeping and child labor requirements of the Fair Labor Standards Act (FLSA). The WHD also enforces the Family and Medical Leave Act (FMLA) and a number of other employment standards and worker protections.  Under the FLSA, nonexempt employees must be paid minimum wage and 1.5 times their regular rate of pay for hours worked in excess of 40 hours in a workweek. Employees may pursue unpaid wages by filing a lawsuit or bringing an administrative wage claim before the DOL. Under the FLSA, employees who were not paid minimum wage or overtime compensation, or both, may be awarded their unpaid wages plus an additional equal amount as liquidated damages.</w:t>
      </w:r>
    </w:p>
    <w:p w14:paraId="17B10C98" w14:textId="77777777" w:rsidR="00EB6E38" w:rsidRPr="00DD7BD1" w:rsidRDefault="00EB6E38" w:rsidP="00EB6E38">
      <w:pPr>
        <w:pStyle w:val="BodyText"/>
        <w:spacing w:after="0" w:line="240" w:lineRule="auto"/>
        <w:ind w:right="274"/>
        <w:rPr>
          <w:rFonts w:cs="Calibri"/>
          <w:color w:val="auto"/>
          <w:szCs w:val="22"/>
        </w:rPr>
      </w:pPr>
    </w:p>
    <w:p w14:paraId="7E3CD784" w14:textId="25A92335"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Clarifies Applicable Minimum Wage &amp; Tip Compensation for Exempt Commissioned Employees</w:t>
      </w:r>
    </w:p>
    <w:p w14:paraId="43EF1581" w14:textId="03465845" w:rsidR="00EB6E38" w:rsidRPr="00DD7BD1" w:rsidRDefault="00EB6E38" w:rsidP="00EB6E38">
      <w:pPr>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DOL </w:t>
      </w:r>
      <w:r w:rsidRPr="00DD7BD1">
        <w:rPr>
          <w:rFonts w:ascii="Calibri" w:hAnsi="Calibri" w:cs="Calibri"/>
          <w:b/>
          <w:bCs/>
        </w:rPr>
        <w:t>confirms</w:t>
      </w:r>
      <w:r w:rsidRPr="00DD7BD1">
        <w:rPr>
          <w:rFonts w:ascii="Calibri" w:hAnsi="Calibri" w:cs="Calibri"/>
        </w:rPr>
        <w:t xml:space="preserve"> that Section 7(i)(1) expressly incorporates the </w:t>
      </w:r>
      <w:r w:rsidRPr="00DD7BD1">
        <w:rPr>
          <w:rFonts w:ascii="Calibri" w:hAnsi="Calibri" w:cs="Calibri"/>
          <w:b/>
          <w:bCs/>
        </w:rPr>
        <w:t>federal minimum wage and not any higher applicable minimum wage</w:t>
      </w:r>
      <w:r w:rsidRPr="00DD7BD1">
        <w:rPr>
          <w:rFonts w:ascii="Calibri" w:hAnsi="Calibri" w:cs="Calibri"/>
        </w:rPr>
        <w:t xml:space="preserve">. So, if a retail and service establishment employee receives a </w:t>
      </w:r>
      <w:r w:rsidRPr="00DD7BD1">
        <w:rPr>
          <w:rFonts w:ascii="Calibri" w:hAnsi="Calibri" w:cs="Calibri"/>
          <w:u w:val="single"/>
        </w:rPr>
        <w:t>regular rate of pay greater than 1.5 times the federal minimum wage</w:t>
      </w:r>
      <w:r w:rsidRPr="00DD7BD1">
        <w:rPr>
          <w:rFonts w:ascii="Calibri" w:hAnsi="Calibri" w:cs="Calibri"/>
        </w:rPr>
        <w:t xml:space="preserve">, the </w:t>
      </w:r>
      <w:r w:rsidRPr="00DD7BD1">
        <w:rPr>
          <w:rFonts w:ascii="Calibri" w:hAnsi="Calibri" w:cs="Calibri"/>
          <w:u w:val="single"/>
        </w:rPr>
        <w:t>employer satisfies the minimum pay standard in Section 7(i)(1) for a particular workweek.</w:t>
      </w:r>
      <w:r w:rsidRPr="00DD7BD1">
        <w:rPr>
          <w:rFonts w:ascii="Calibri" w:hAnsi="Calibri" w:cs="Calibri"/>
        </w:rPr>
        <w:t xml:space="preserve"> Additionally, the DOL advises that </w:t>
      </w:r>
      <w:r w:rsidRPr="00DD7BD1">
        <w:rPr>
          <w:rFonts w:ascii="Calibri" w:hAnsi="Calibri" w:cs="Calibri"/>
          <w:u w:val="single"/>
        </w:rPr>
        <w:t xml:space="preserve">tips are compensation </w:t>
      </w:r>
      <w:r w:rsidRPr="00DD7BD1">
        <w:rPr>
          <w:rFonts w:ascii="Calibri" w:hAnsi="Calibri" w:cs="Calibri"/>
        </w:rPr>
        <w:t xml:space="preserve">for purposes of Section 7(i)(2) </w:t>
      </w:r>
      <w:r w:rsidRPr="00DD7BD1">
        <w:rPr>
          <w:rFonts w:ascii="Calibri" w:hAnsi="Calibri" w:cs="Calibri"/>
          <w:u w:val="single"/>
        </w:rPr>
        <w:t>only to the extent that an employer relies on them to meet federal, state or other wage obligations</w:t>
      </w:r>
      <w:r w:rsidRPr="00DD7BD1">
        <w:rPr>
          <w:rFonts w:ascii="Calibri" w:hAnsi="Calibri" w:cs="Calibri"/>
        </w:rPr>
        <w:t>. These tips can be included when determining if more than half of an employee’s earnings come from commissions.  Employers should regularly review Section 7(i) exemptions to ensure they meet their FLSA pay requirements.</w:t>
      </w:r>
    </w:p>
    <w:p w14:paraId="4618CF41"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40D3BED7" w14:textId="77777777" w:rsidR="00EB6E38" w:rsidRPr="00DD7BD1" w:rsidRDefault="00EB6E38" w:rsidP="00EB6E38">
      <w:pPr>
        <w:jc w:val="both"/>
        <w:rPr>
          <w:rFonts w:ascii="Calibri" w:hAnsi="Calibri" w:cs="Calibri"/>
        </w:rPr>
      </w:pPr>
      <w:r w:rsidRPr="00DD7BD1">
        <w:rPr>
          <w:rFonts w:ascii="Calibri" w:hAnsi="Calibri" w:cs="Calibri"/>
        </w:rPr>
        <w:t xml:space="preserve">On Jan. 5, 2026, the U.S. Department of Labor (DOL) issued Opinion Letter </w:t>
      </w:r>
      <w:hyperlink r:id="rId204" w:history="1">
        <w:r w:rsidRPr="00DD7BD1">
          <w:rPr>
            <w:rStyle w:val="Hyperlink"/>
            <w:rFonts w:ascii="Calibri" w:hAnsi="Calibri" w:cs="Calibri"/>
          </w:rPr>
          <w:t>FLSA 2026-4</w:t>
        </w:r>
      </w:hyperlink>
      <w:r w:rsidRPr="00DD7BD1">
        <w:rPr>
          <w:rFonts w:ascii="Calibri" w:hAnsi="Calibri" w:cs="Calibri"/>
        </w:rPr>
        <w:t>, addressing the following:</w:t>
      </w:r>
    </w:p>
    <w:p w14:paraId="164D09DC"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in a jurisdiction where the state minimum wage exceeds the federal minimum wage, an employer must use the federal minimum to determine if it has satisfied the minimum pay standard in Section 7(i)(1) of the Fair Labor Standards Act (FLSA); and</w:t>
      </w:r>
    </w:p>
    <w:p w14:paraId="248008E7"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tips must be considered compensation when determining if more than half of an employee’s earnings come from commissions, as required by Section 7(i)(2).</w:t>
      </w:r>
    </w:p>
    <w:p w14:paraId="28CEDD35" w14:textId="265AF96E" w:rsidR="00EB6E38" w:rsidRPr="00DD7BD1" w:rsidRDefault="00EB6E38" w:rsidP="00EB6E38">
      <w:pPr>
        <w:jc w:val="both"/>
        <w:rPr>
          <w:rFonts w:ascii="Calibri" w:hAnsi="Calibri" w:cs="Calibri"/>
        </w:rPr>
      </w:pPr>
      <w:r w:rsidRPr="00DD7BD1">
        <w:rPr>
          <w:rFonts w:ascii="Calibri" w:hAnsi="Calibri" w:cs="Calibri"/>
        </w:rPr>
        <w:t>The opinion letter concerns an employer operating restaurants in a state with its own tip credit law and minimum wage that exceeds the federal minimum wage.</w:t>
      </w:r>
    </w:p>
    <w:p w14:paraId="23090FE6" w14:textId="0B1FA4F7" w:rsidR="00EB6E38" w:rsidRPr="00DD7BD1" w:rsidRDefault="00EB6E38" w:rsidP="003471D6">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DOL Issues Opinion Letter &amp; Clarifies Learned Professional Exemption</w:t>
      </w:r>
    </w:p>
    <w:p w14:paraId="624BE1D7" w14:textId="2CEC9A6B" w:rsidR="00EB6E38" w:rsidRPr="00DD7BD1" w:rsidRDefault="00EB6E38" w:rsidP="003471D6">
      <w:pPr>
        <w:pStyle w:val="ListParagraph"/>
        <w:spacing w:after="0" w:line="240" w:lineRule="auto"/>
        <w:ind w:left="0"/>
        <w:contextualSpacing w:val="0"/>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The FLSA prohibits employers from misclassifying nonexempt employees as exempt. Employers have the discretion to classify employees as nonexempt so long as they pay at least the federal minimum wage for all hours worked and the overtime premium for work in excess of 40 hours in a workweek.  In the scenario addressed by DOL in its most recently issued Opinion Letter, the DOL advised that even if the employee met the tests for the learned professional exemption, the employer may still choose to classify the employee as nonexempt.  The DOL further advised that the discontinuation of supervisory responsibilities does not preclude employees from being classified as learned professionals as long as they meet all of the exemption’s requirements, including being compensated at a rate no less than the FLSA’s standard salary level.</w:t>
      </w:r>
    </w:p>
    <w:p w14:paraId="2FA8CD40" w14:textId="77777777" w:rsidR="002242FA" w:rsidRPr="00DD7BD1" w:rsidRDefault="002242FA" w:rsidP="00EB6E38">
      <w:pPr>
        <w:pStyle w:val="BodyText"/>
        <w:spacing w:after="0" w:line="240" w:lineRule="auto"/>
        <w:ind w:right="274"/>
        <w:rPr>
          <w:rFonts w:cs="Calibri"/>
          <w:b/>
          <w:bCs/>
          <w:color w:val="auto"/>
          <w:sz w:val="16"/>
          <w:szCs w:val="16"/>
        </w:rPr>
      </w:pPr>
    </w:p>
    <w:p w14:paraId="1423D4B8" w14:textId="3D137CD5"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61768C76" w14:textId="705737D9" w:rsidR="00EB6E38" w:rsidRPr="00DD7BD1" w:rsidRDefault="00EB6E38" w:rsidP="00EB6E38">
      <w:pPr>
        <w:rPr>
          <w:rFonts w:ascii="Calibri" w:hAnsi="Calibri" w:cs="Calibri"/>
        </w:rPr>
      </w:pPr>
      <w:r w:rsidRPr="00DD7BD1">
        <w:rPr>
          <w:rFonts w:ascii="Calibri" w:hAnsi="Calibri" w:cs="Calibri"/>
        </w:rPr>
        <w:t xml:space="preserve">On Jan. 5, 2026, the U.S. Department of Labor (DOL) issued Opinion Letter </w:t>
      </w:r>
      <w:hyperlink r:id="rId205" w:history="1">
        <w:r w:rsidRPr="00DD7BD1">
          <w:rPr>
            <w:rStyle w:val="Hyperlink"/>
            <w:rFonts w:ascii="Calibri" w:hAnsi="Calibri" w:cs="Calibri"/>
          </w:rPr>
          <w:t>FLSA2026-1</w:t>
        </w:r>
      </w:hyperlink>
      <w:r w:rsidRPr="00DD7BD1">
        <w:rPr>
          <w:rFonts w:ascii="Calibri" w:hAnsi="Calibri" w:cs="Calibri"/>
        </w:rPr>
        <w:t>, responding to an employee’s question about being reclassified from an exempt employee to a nonexempt employee while believing that they continue to satisfy the education and job duties criteria of an exempt learned professional under Section 13(a)(1) of the Fair Labor Standards Act (FLSA). The question concerns an individual employed as a licensed clinical social worker for a health care organization.</w:t>
      </w:r>
    </w:p>
    <w:p w14:paraId="7F7467AD" w14:textId="4F272801" w:rsidR="00EB6E38" w:rsidRPr="00DD7BD1" w:rsidRDefault="00EB6E38" w:rsidP="00EB6E38">
      <w:pPr>
        <w:rPr>
          <w:rFonts w:ascii="Calibri" w:hAnsi="Calibri" w:cs="Calibri"/>
        </w:rPr>
      </w:pPr>
      <w:r w:rsidRPr="00DD7BD1">
        <w:rPr>
          <w:rFonts w:ascii="Calibri" w:hAnsi="Calibri" w:cs="Calibri"/>
        </w:rPr>
        <w:t xml:space="preserve">The FLSA generally requires employers to pay employees at least the federal minimum wage for every hour worked and 1.5 times their regular pay rate for each hour worked over 40 in a workweek. Section 13(a)(1) of the FLSA provides an exemption from both minimum wage and overtime pay for employees employed as bona fide executive, administrative, professional and outside sales employees. </w:t>
      </w:r>
    </w:p>
    <w:p w14:paraId="2FBA62D7" w14:textId="58084D74"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 xml:space="preserve">EEOC Rescinds </w:t>
      </w:r>
      <w:r w:rsidRPr="00DD7BD1">
        <w:rPr>
          <w:rFonts w:ascii="Calibri" w:hAnsi="Calibri" w:cs="Calibri"/>
          <w:i/>
          <w:iCs/>
          <w:sz w:val="28"/>
          <w:szCs w:val="28"/>
        </w:rPr>
        <w:t xml:space="preserve">Enforcement Guidance </w:t>
      </w:r>
      <w:r w:rsidRPr="00DD7BD1">
        <w:rPr>
          <w:rFonts w:ascii="Calibri" w:hAnsi="Calibri" w:cs="Calibri"/>
          <w:sz w:val="28"/>
          <w:szCs w:val="28"/>
        </w:rPr>
        <w:t>on Harassment in the Workplace</w:t>
      </w:r>
    </w:p>
    <w:p w14:paraId="5C76B835" w14:textId="17D0DD0E" w:rsidR="00EB6E38" w:rsidRPr="00DD7BD1" w:rsidRDefault="00EB6E38" w:rsidP="00EB6E38">
      <w:pPr>
        <w:rPr>
          <w:rFonts w:ascii="Calibri" w:hAnsi="Calibri" w:cs="Calibri"/>
        </w:rPr>
      </w:pPr>
      <w:r w:rsidRPr="00DD7BD1">
        <w:rPr>
          <w:rFonts w:ascii="Calibri" w:hAnsi="Calibri" w:cs="Calibri"/>
        </w:rPr>
        <w:t xml:space="preserve">On </w:t>
      </w:r>
      <w:r w:rsidRPr="00DD7BD1">
        <w:rPr>
          <w:rFonts w:ascii="Calibri" w:hAnsi="Calibri" w:cs="Calibri"/>
          <w:b/>
          <w:bCs/>
        </w:rPr>
        <w:t>Jan. 22, 2026</w:t>
      </w:r>
      <w:r w:rsidRPr="00DD7BD1">
        <w:rPr>
          <w:rFonts w:ascii="Calibri" w:hAnsi="Calibri" w:cs="Calibri"/>
        </w:rPr>
        <w:t>, the U.S. Equal Employment Opportunity Commission (EEOC) voted to rescind its</w:t>
      </w:r>
      <w:r w:rsidRPr="00DD7BD1">
        <w:rPr>
          <w:rFonts w:ascii="Calibri" w:hAnsi="Calibri" w:cs="Calibri"/>
          <w:i/>
          <w:iCs/>
        </w:rPr>
        <w:t xml:space="preserve"> Enforcement Guidance</w:t>
      </w:r>
      <w:r w:rsidRPr="00DD7BD1">
        <w:rPr>
          <w:rFonts w:ascii="Calibri" w:hAnsi="Calibri" w:cs="Calibri"/>
        </w:rPr>
        <w:t xml:space="preserve"> on Harassment in the Workplace (Enforcement Guidance).</w:t>
      </w:r>
    </w:p>
    <w:p w14:paraId="5185A2F1" w14:textId="77777777" w:rsidR="00EB6E38" w:rsidRPr="00DD7BD1" w:rsidRDefault="00EB6E38" w:rsidP="001931A2">
      <w:pPr>
        <w:spacing w:after="0" w:line="240" w:lineRule="auto"/>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0EC8E1A7" w14:textId="77777777" w:rsidR="00EB6E38" w:rsidRPr="00DD7BD1" w:rsidRDefault="00EB6E38" w:rsidP="001931A2">
      <w:pPr>
        <w:pStyle w:val="ListParagraph"/>
        <w:numPr>
          <w:ilvl w:val="0"/>
          <w:numId w:val="301"/>
        </w:numPr>
        <w:spacing w:after="0" w:line="240" w:lineRule="auto"/>
        <w:rPr>
          <w:rFonts w:ascii="Calibri" w:hAnsi="Calibri" w:cs="Calibri"/>
        </w:rPr>
      </w:pPr>
      <w:r w:rsidRPr="00DD7BD1">
        <w:rPr>
          <w:rFonts w:ascii="Calibri" w:hAnsi="Calibri" w:cs="Calibri"/>
        </w:rPr>
        <w:t xml:space="preserve">The EEOC’s rescission of the </w:t>
      </w:r>
      <w:r w:rsidRPr="00DD7BD1">
        <w:rPr>
          <w:rFonts w:ascii="Calibri" w:hAnsi="Calibri" w:cs="Calibri"/>
          <w:i/>
          <w:iCs/>
        </w:rPr>
        <w:t xml:space="preserve">Enforcement Guidance </w:t>
      </w:r>
      <w:r w:rsidRPr="00DD7BD1">
        <w:rPr>
          <w:rFonts w:ascii="Calibri" w:hAnsi="Calibri" w:cs="Calibri"/>
          <w:b/>
          <w:bCs/>
        </w:rPr>
        <w:t>does not alter federal law</w:t>
      </w:r>
      <w:r w:rsidRPr="00DD7BD1">
        <w:rPr>
          <w:rFonts w:ascii="Calibri" w:hAnsi="Calibri" w:cs="Calibri"/>
        </w:rPr>
        <w:t xml:space="preserve">, it does </w:t>
      </w:r>
      <w:r w:rsidRPr="00DD7BD1">
        <w:rPr>
          <w:rFonts w:ascii="Calibri" w:hAnsi="Calibri" w:cs="Calibri"/>
          <w:u w:val="single"/>
        </w:rPr>
        <w:t>eliminate informal guidance</w:t>
      </w:r>
      <w:r w:rsidRPr="00DD7BD1">
        <w:rPr>
          <w:rFonts w:ascii="Calibri" w:hAnsi="Calibri" w:cs="Calibri"/>
        </w:rPr>
        <w:t xml:space="preserve"> regarding the EEOC’s enforcement of federal harassment laws, which could lead to </w:t>
      </w:r>
      <w:r w:rsidRPr="00DD7BD1">
        <w:rPr>
          <w:rFonts w:ascii="Calibri" w:hAnsi="Calibri" w:cs="Calibri"/>
          <w:b/>
          <w:bCs/>
        </w:rPr>
        <w:t>uncertainty for employers in complying with such laws</w:t>
      </w:r>
      <w:r w:rsidRPr="00DD7BD1">
        <w:rPr>
          <w:rFonts w:ascii="Calibri" w:hAnsi="Calibri" w:cs="Calibri"/>
        </w:rPr>
        <w:t xml:space="preserve">. </w:t>
      </w:r>
    </w:p>
    <w:p w14:paraId="4B857EF0"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i/>
          <w:iCs/>
        </w:rPr>
        <w:t xml:space="preserve">Bostock </w:t>
      </w:r>
      <w:r w:rsidRPr="00DD7BD1">
        <w:rPr>
          <w:rFonts w:ascii="Calibri" w:hAnsi="Calibri" w:cs="Calibri"/>
          <w:b/>
          <w:bCs/>
        </w:rPr>
        <w:t>still prohibits employment discrimination based on sexual orientation and gender identity</w:t>
      </w:r>
      <w:r w:rsidRPr="00DD7BD1">
        <w:rPr>
          <w:rFonts w:ascii="Calibri" w:hAnsi="Calibri" w:cs="Calibri"/>
        </w:rPr>
        <w:t>.</w:t>
      </w:r>
    </w:p>
    <w:p w14:paraId="5B638AA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may also be subject to state or local laws that prohibit sexual orientation and gender identity harassment and discrimination. </w:t>
      </w:r>
    </w:p>
    <w:p w14:paraId="14CB6E8E"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should continue to ensure compliance with all relevant discrimination and harassment laws. </w:t>
      </w:r>
    </w:p>
    <w:p w14:paraId="5B5D0C6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The EEOC did not specify whether it will issue new guidance, but employers should monitor for updates.  </w:t>
      </w:r>
    </w:p>
    <w:p w14:paraId="1BB1F548"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Recap:</w:t>
      </w:r>
    </w:p>
    <w:p w14:paraId="151B9C88"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April 29, 2024</w:t>
      </w:r>
      <w:r w:rsidRPr="00DD7BD1">
        <w:rPr>
          <w:rFonts w:ascii="Calibri" w:hAnsi="Calibri" w:cs="Calibri"/>
        </w:rPr>
        <w:t xml:space="preserve">, the EEOC updated the Enforcement Guidance. Among the updates, the EEOC added protections for gender identity and sexual orientation harassment to incorporate case law, including the Supreme Court’s 2020 decision in </w:t>
      </w:r>
      <w:r w:rsidRPr="00DD7BD1">
        <w:rPr>
          <w:rFonts w:ascii="Calibri" w:hAnsi="Calibri" w:cs="Calibri"/>
          <w:i/>
          <w:iCs/>
        </w:rPr>
        <w:t>Bostock v. Clayton County</w:t>
      </w:r>
      <w:r w:rsidRPr="00DD7BD1">
        <w:rPr>
          <w:rFonts w:ascii="Calibri" w:hAnsi="Calibri" w:cs="Calibri"/>
        </w:rPr>
        <w:t>, which holds that discrimination on the basis of sexual orientation constitutes sex discrimination under Title VII of the Civil Rights Act (Title VII). The updated Enforcement Guidance also provided guidance regarding emerging issues, such as harassment in a remote work environment.</w:t>
      </w:r>
    </w:p>
    <w:p w14:paraId="5F50CAEC"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May 15, 2025</w:t>
      </w:r>
      <w:r w:rsidRPr="00DD7BD1">
        <w:rPr>
          <w:rFonts w:ascii="Calibri" w:hAnsi="Calibri" w:cs="Calibri"/>
        </w:rPr>
        <w:t xml:space="preserve">, the U.S. District Court for the Northern District of Texas </w:t>
      </w:r>
      <w:hyperlink r:id="rId206" w:history="1">
        <w:r w:rsidRPr="00DD7BD1">
          <w:rPr>
            <w:rStyle w:val="Hyperlink"/>
            <w:rFonts w:ascii="Calibri" w:hAnsi="Calibri" w:cs="Calibri"/>
          </w:rPr>
          <w:t>ruled</w:t>
        </w:r>
      </w:hyperlink>
      <w:r w:rsidRPr="00DD7BD1">
        <w:rPr>
          <w:rFonts w:ascii="Calibri" w:hAnsi="Calibri" w:cs="Calibri"/>
        </w:rPr>
        <w:t xml:space="preserve"> that the EEOC exceeded its authority in expanding the definition of “sex” to include “sexual orientation” and “gender identity” and that neither Title VII nor the ruling in </w:t>
      </w:r>
      <w:r w:rsidRPr="00DD7BD1">
        <w:rPr>
          <w:rFonts w:ascii="Calibri" w:hAnsi="Calibri" w:cs="Calibri"/>
          <w:i/>
          <w:iCs/>
        </w:rPr>
        <w:t xml:space="preserve">Bostock </w:t>
      </w:r>
      <w:r w:rsidRPr="00DD7BD1">
        <w:rPr>
          <w:rFonts w:ascii="Calibri" w:hAnsi="Calibri" w:cs="Calibri"/>
        </w:rPr>
        <w:t>defines “sex” accordingly. In its ruling, the Texas District Court vacated related elements of the Enforcement Guidance.</w:t>
      </w:r>
    </w:p>
    <w:p w14:paraId="561C45AB" w14:textId="59CC91BE"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b/>
          <w:bCs/>
        </w:rPr>
        <w:t xml:space="preserve">On Jan. 22, 2026, the EEOC voted to rescind the </w:t>
      </w:r>
      <w:r w:rsidRPr="00DD7BD1">
        <w:rPr>
          <w:rFonts w:ascii="Calibri" w:hAnsi="Calibri" w:cs="Calibri"/>
          <w:b/>
          <w:bCs/>
          <w:i/>
          <w:iCs/>
        </w:rPr>
        <w:t>Enforcement Guidance</w:t>
      </w:r>
      <w:r w:rsidRPr="00DD7BD1">
        <w:rPr>
          <w:rFonts w:ascii="Calibri" w:hAnsi="Calibri" w:cs="Calibri"/>
          <w:b/>
          <w:bCs/>
        </w:rPr>
        <w:t xml:space="preserve"> which</w:t>
      </w:r>
      <w:r w:rsidRPr="00DD7BD1">
        <w:rPr>
          <w:rFonts w:ascii="Calibri" w:hAnsi="Calibri" w:cs="Calibri"/>
          <w:i/>
          <w:iCs/>
        </w:rPr>
        <w:t xml:space="preserve"> </w:t>
      </w:r>
      <w:r w:rsidRPr="00DD7BD1">
        <w:rPr>
          <w:rFonts w:ascii="Calibri" w:hAnsi="Calibri" w:cs="Calibri"/>
        </w:rPr>
        <w:t xml:space="preserve">included real-world examples and employer best practices to prevent harassment claims, </w:t>
      </w:r>
      <w:r w:rsidRPr="00DD7BD1">
        <w:rPr>
          <w:rFonts w:ascii="Calibri" w:hAnsi="Calibri" w:cs="Calibri"/>
          <w:u w:val="single"/>
        </w:rPr>
        <w:t>rather than the protection provisions regarding sexual orientation and gender identity.</w:t>
      </w:r>
    </w:p>
    <w:p w14:paraId="55BC53CA" w14:textId="77777777" w:rsidR="00EB6E38" w:rsidRPr="00DD7BD1" w:rsidRDefault="00EB6E38" w:rsidP="00EB6E38">
      <w:pPr>
        <w:pStyle w:val="ListParagraph"/>
        <w:spacing w:after="0" w:line="240" w:lineRule="auto"/>
        <w:rPr>
          <w:rFonts w:ascii="Calibri" w:hAnsi="Calibri" w:cs="Calibri"/>
        </w:rPr>
      </w:pPr>
    </w:p>
    <w:p w14:paraId="15A98B30" w14:textId="51903E0C" w:rsidR="00EB6E38" w:rsidRPr="00DD7BD1" w:rsidRDefault="00EB6E38" w:rsidP="001931A2">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EBSA’s 2026 National Employee Benefit Plan Enforcement Projects</w:t>
      </w:r>
    </w:p>
    <w:p w14:paraId="49E783B2" w14:textId="5822BA39" w:rsidR="00EB6E38" w:rsidRPr="00DD7BD1" w:rsidRDefault="00EB6E38" w:rsidP="001931A2">
      <w:pPr>
        <w:spacing w:after="0" w:line="240" w:lineRule="auto"/>
        <w:rPr>
          <w:rFonts w:ascii="Calibri" w:hAnsi="Calibri" w:cs="Calibri"/>
        </w:rPr>
      </w:pPr>
      <w:r w:rsidRPr="00DD7BD1">
        <w:rPr>
          <w:rFonts w:ascii="Calibri" w:hAnsi="Calibri" w:cs="Calibri"/>
        </w:rPr>
        <w:t xml:space="preserve">On Jan. 15, 2026, the Employee Benefits Security Administration (EBSA) </w:t>
      </w:r>
      <w:hyperlink r:id="rId207" w:history="1">
        <w:r w:rsidRPr="00DD7BD1">
          <w:rPr>
            <w:rStyle w:val="Hyperlink"/>
            <w:rFonts w:ascii="Calibri" w:hAnsi="Calibri" w:cs="Calibri"/>
          </w:rPr>
          <w:t>announced</w:t>
        </w:r>
      </w:hyperlink>
      <w:r w:rsidRPr="00DD7BD1">
        <w:rPr>
          <w:rFonts w:ascii="Calibri" w:hAnsi="Calibri" w:cs="Calibri"/>
        </w:rPr>
        <w:t xml:space="preserve"> updates to its national enforcement projects for fiscal year 2026. According to EBSA, these projects highlight areas in which the agency will prioritize enforcement efforts to enhance overall employee benefit plan compliance, address abusive practices, and strengthen protections for plan participants and beneficiaries.</w:t>
      </w:r>
    </w:p>
    <w:p w14:paraId="5B660DCC" w14:textId="77777777" w:rsidR="0039489E" w:rsidRPr="00DD7BD1" w:rsidRDefault="0039489E" w:rsidP="00EB6E38">
      <w:pPr>
        <w:pStyle w:val="Heading2"/>
        <w:rPr>
          <w:rFonts w:ascii="Calibri" w:hAnsi="Calibri" w:cs="Calibri"/>
          <w:b/>
          <w:bCs/>
          <w:color w:val="auto"/>
          <w:sz w:val="12"/>
          <w:szCs w:val="12"/>
        </w:rPr>
      </w:pPr>
    </w:p>
    <w:p w14:paraId="51B41303" w14:textId="2AC4CFD6"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Updated Enforcement Projects</w:t>
      </w:r>
    </w:p>
    <w:p w14:paraId="044A41A5" w14:textId="77777777" w:rsidR="00EB6E38" w:rsidRPr="00DD7BD1" w:rsidRDefault="00EB6E38" w:rsidP="00EB6E38">
      <w:pPr>
        <w:rPr>
          <w:rFonts w:ascii="Calibri" w:hAnsi="Calibri" w:cs="Calibri"/>
        </w:rPr>
      </w:pPr>
      <w:r w:rsidRPr="00DD7BD1">
        <w:rPr>
          <w:rFonts w:ascii="Calibri" w:hAnsi="Calibri" w:cs="Calibri"/>
        </w:rPr>
        <w:t>EBSA’s national projects identify the priority areas guiding its enforcement efforts. Under the updated initiatives, investigators will prioritize cases related to:</w:t>
      </w:r>
    </w:p>
    <w:p w14:paraId="2FC50B7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Cybersecurity—</w:t>
      </w:r>
      <w:r w:rsidRPr="00DD7BD1">
        <w:rPr>
          <w:rFonts w:ascii="Calibri" w:hAnsi="Calibri" w:cs="Calibri"/>
          <w:sz w:val="22"/>
          <w:szCs w:val="22"/>
        </w:rPr>
        <w:t>This project addresses the growing risks cyberattacks pose to employee benefit plans and participants.</w:t>
      </w:r>
    </w:p>
    <w:p w14:paraId="3555BABC"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Mental health and substance use disorder (MH/SUD) benefits—EBSA will target violations by plans and service providers that block participants and beneficiaries from accessing promised MH/SUD benefits, including burdensome claims processes, unjustified treatment exclusions, inaccurate provider lists and unreasonable limits on care.</w:t>
      </w:r>
    </w:p>
    <w:p w14:paraId="34E9845B"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Surprise billing—This project reviews compliance with the No Surprises Act (NSA), ensuring plans follow the prudent layperson standard for emergency services, apply in</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network cost</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sharing to NSA</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protected services and provide required notices and disclosures. Compliance with other NSA protections, such as prohibitions on prior authorization and more restrictive administrative requirements, will also be reviewed.</w:t>
      </w:r>
    </w:p>
    <w:p w14:paraId="7D876A86"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 xml:space="preserve">Protecting benefit distributions—This project aims to ensure that participants receive retirement benefits owed to them when plan sponsors fail to act, struggle financially or abandon their plans. </w:t>
      </w:r>
    </w:p>
    <w:p w14:paraId="4F0EA43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Retirement asset management—This project focuses on protecting retirement income by ensuring fiduciaries prudently select and monitor plan investments.</w:t>
      </w:r>
    </w:p>
    <w:p w14:paraId="7FBED6D3"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Criminal abuse of contributory benefit plans—This project centers on protecting workers who contribute to employer-sponsored retirement and health benefit plans from criminal abuse.</w:t>
      </w:r>
    </w:p>
    <w:p w14:paraId="57445EBA" w14:textId="77777777" w:rsidR="00EB6E38" w:rsidRPr="00DD7BD1" w:rsidRDefault="00EB6E38" w:rsidP="00EB6E38">
      <w:pPr>
        <w:pStyle w:val="PostBulletList"/>
        <w:spacing w:before="120"/>
        <w:rPr>
          <w:rFonts w:ascii="Calibri" w:hAnsi="Calibri" w:cs="Calibri"/>
          <w:sz w:val="22"/>
          <w:szCs w:val="22"/>
        </w:rPr>
      </w:pPr>
      <w:r w:rsidRPr="00DD7BD1">
        <w:rPr>
          <w:rFonts w:ascii="Calibri" w:hAnsi="Calibri" w:cs="Calibri"/>
          <w:sz w:val="22"/>
          <w:szCs w:val="22"/>
        </w:rPr>
        <w:t xml:space="preserve">In addition, although not a national project, EBSA will continue to identify abusive </w:t>
      </w:r>
      <w:hyperlink r:id="rId208" w:history="1">
        <w:r w:rsidRPr="00DD7BD1">
          <w:rPr>
            <w:rStyle w:val="Hyperlink"/>
            <w:rFonts w:ascii="Calibri" w:hAnsi="Calibri" w:cs="Calibri"/>
            <w:sz w:val="22"/>
            <w:szCs w:val="22"/>
          </w:rPr>
          <w:t>Multiple Employer Welfare Arrangements (MEWAs) and prevent fraudulent MEWA operators</w:t>
        </w:r>
      </w:hyperlink>
      <w:r w:rsidRPr="00DD7BD1">
        <w:rPr>
          <w:rFonts w:ascii="Calibri" w:hAnsi="Calibri" w:cs="Calibri"/>
          <w:sz w:val="22"/>
          <w:szCs w:val="22"/>
        </w:rPr>
        <w:t xml:space="preserve"> from opening new arrangements in other states.</w:t>
      </w:r>
    </w:p>
    <w:p w14:paraId="74F2EBFF" w14:textId="77777777"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Background</w:t>
      </w:r>
    </w:p>
    <w:p w14:paraId="1202F91A" w14:textId="47A3895B" w:rsidR="00EB6E38" w:rsidRPr="00DD7BD1" w:rsidRDefault="00EB6E38" w:rsidP="00EB6E38">
      <w:pPr>
        <w:rPr>
          <w:rFonts w:ascii="Calibri" w:hAnsi="Calibri" w:cs="Calibri"/>
        </w:rPr>
      </w:pPr>
      <w:r w:rsidRPr="00DD7BD1">
        <w:rPr>
          <w:rFonts w:ascii="Calibri" w:hAnsi="Calibri" w:cs="Calibri"/>
        </w:rPr>
        <w:t>EBSA is an agency within the U.S. Department of Labor that administers and enforces Title I of the Employee Retirement Income Security Act (ERISA), which establishes fiduciary and other standards for employee benefit plans sponsored by private-sector employers. EBSA is responsible for protecting more than 156 million workers, retirees and their families who are covered by approximately 2.6 million health plans, 801,000 private retirement plans and 514,000 additional welfare benefit plans.</w:t>
      </w:r>
    </w:p>
    <w:p w14:paraId="171B0276" w14:textId="253AAE31" w:rsidR="00EB6E38" w:rsidRPr="00DD7BD1" w:rsidRDefault="00EB6E38" w:rsidP="0039489E">
      <w:pPr>
        <w:spacing w:after="0" w:line="240" w:lineRule="auto"/>
        <w:jc w:val="center"/>
        <w:rPr>
          <w:rFonts w:ascii="Calibri" w:hAnsi="Calibri" w:cs="Calibri"/>
          <w:b/>
          <w:bCs/>
          <w:color w:val="C00000"/>
          <w:kern w:val="36"/>
          <w:sz w:val="28"/>
          <w:szCs w:val="28"/>
        </w:rPr>
      </w:pPr>
      <w:r w:rsidRPr="00DD7BD1">
        <w:rPr>
          <w:rFonts w:ascii="Calibri" w:hAnsi="Calibri" w:cs="Calibri"/>
          <w:b/>
          <w:bCs/>
          <w:kern w:val="36"/>
          <w:sz w:val="28"/>
          <w:szCs w:val="28"/>
        </w:rPr>
        <w:t>'Stay or Pay' Contractual Repayment Provisions Under State Scrutiny</w:t>
      </w:r>
    </w:p>
    <w:p w14:paraId="0A586DE7" w14:textId="171A0F06" w:rsidR="00EB6E38" w:rsidRPr="00DD7BD1" w:rsidRDefault="00EB6E38" w:rsidP="0039489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see an uptick in some states’ regulations limiting an employers’ ability to claw back funds based on employees’ continued employment with an organization.  Employers offering employment agreements with claw-back arrangements for employees in California and New York are encouraged to note the recent enactments.  Moreover, it is important for employers offering employment agreements with repayment obligation provisions (oftentimes associated with associated with tuition reimbursement, relocation, sign on bonus programs) remain aware of and compliance with applicable state regulations.</w:t>
      </w:r>
    </w:p>
    <w:p w14:paraId="604119D4" w14:textId="77777777" w:rsidR="00765D8F" w:rsidRPr="00DD7BD1" w:rsidRDefault="00765D8F" w:rsidP="0039489E">
      <w:pPr>
        <w:spacing w:after="0" w:line="240" w:lineRule="auto"/>
        <w:rPr>
          <w:rFonts w:ascii="Calibri" w:hAnsi="Calibri" w:cs="Calibri"/>
          <w:sz w:val="16"/>
          <w:szCs w:val="16"/>
        </w:rPr>
      </w:pPr>
    </w:p>
    <w:p w14:paraId="3D63FFE8" w14:textId="4DEFFD7C" w:rsidR="00EB6E38" w:rsidRPr="00DD7BD1" w:rsidRDefault="00EB6E38" w:rsidP="00EB6E38">
      <w:pPr>
        <w:rPr>
          <w:rFonts w:ascii="Calibri" w:hAnsi="Calibri" w:cs="Calibri"/>
        </w:rPr>
      </w:pPr>
      <w:r w:rsidRPr="00DD7BD1">
        <w:rPr>
          <w:rFonts w:ascii="Calibri" w:hAnsi="Calibri" w:cs="Calibri"/>
        </w:rPr>
        <w:t>Employers frequently enter into agreements with employees that provide them with money up front in the form of a signing bonus, tuition reimbursement, relocation expenses or other monetary benefits. Some of these agreements require the employee to repay the money in total or in part if the employee does not remain employed for a certain amount of time. For example, 50 percent of the money might have to be returned if the employee leaves in less than a year, 25 percent might have to be returned if the employee leaves in less than two years, and all repayment is forgiven if the employee stays for longer than two years. These “stay or pay” agreements benefit employers because they encourage employee retention and allow employers to recover their investment if the employee chooses to leave early. However, states with a pro-employee focus are starting to restrict such agreements.</w:t>
      </w:r>
    </w:p>
    <w:p w14:paraId="55A647C7" w14:textId="52446FD7" w:rsidR="00EB6E38" w:rsidRPr="00DD7BD1" w:rsidRDefault="00EB6E38" w:rsidP="00EB6E38">
      <w:pPr>
        <w:rPr>
          <w:rFonts w:ascii="Calibri" w:hAnsi="Calibri" w:cs="Calibri"/>
        </w:rPr>
      </w:pPr>
      <w:r w:rsidRPr="00DD7BD1">
        <w:rPr>
          <w:rFonts w:ascii="Calibri" w:hAnsi="Calibri" w:cs="Calibri"/>
        </w:rPr>
        <w:t>In December 2025, New York enacted the Trapped at Work Act to restrict stay or pay provisions. The act prohibits provisions that require workers to repay money if they leave the job before a specific date. It further restricts employers’ ability to recover training expenses or to claim that workers owe their employer reimbursement of such expenses. As of Jan. 1, 2026, California has a similar law. Pursuant to the law, employers may no longer require workers to pay back money because their employment ended before a certain date.</w:t>
      </w:r>
    </w:p>
    <w:p w14:paraId="49722C44" w14:textId="77DA121B" w:rsidR="00EB6E38" w:rsidRPr="00DD7BD1" w:rsidRDefault="00EB6E38" w:rsidP="00EB6E38">
      <w:pPr>
        <w:rPr>
          <w:rFonts w:ascii="Calibri" w:hAnsi="Calibri" w:cs="Calibri"/>
        </w:rPr>
      </w:pPr>
      <w:r w:rsidRPr="00DD7BD1">
        <w:rPr>
          <w:rFonts w:ascii="Calibri" w:hAnsi="Calibri" w:cs="Calibri"/>
        </w:rPr>
        <w:t>Both laws have some exceptions, such as repayment agreements related to loans and some agreements for tuition reimbursement. However, the exceptions are narrow, and employers in New York and California should expect scrutiny on any agreement term that requires repayment of money conditioned on the length of time a worker decides to remain employed.  -Jan 21, 2026, article published by Barnes &amp; Thornburg, LLP</w:t>
      </w:r>
    </w:p>
    <w:p w14:paraId="3C1906B1" w14:textId="4327BEF9" w:rsidR="00EB6E38" w:rsidRPr="00DD7BD1" w:rsidRDefault="00EB6E38" w:rsidP="005D3C19">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OSHA Clarifies Key Compliance Expectations Through 7 Letters of Interpretation</w:t>
      </w:r>
    </w:p>
    <w:p w14:paraId="749122CA" w14:textId="7112E39D" w:rsidR="00EB6E38" w:rsidRPr="00DD7BD1" w:rsidRDefault="00EB6E38" w:rsidP="005D3C19">
      <w:pPr>
        <w:spacing w:after="0" w:line="240" w:lineRule="auto"/>
        <w:rPr>
          <w:rFonts w:ascii="Calibri" w:hAnsi="Calibri" w:cs="Calibri"/>
        </w:rPr>
      </w:pPr>
      <w:r w:rsidRPr="00DD7BD1">
        <w:rPr>
          <w:rFonts w:ascii="Calibri" w:hAnsi="Calibri" w:cs="Calibri"/>
        </w:rPr>
        <w:t xml:space="preserve">Recently, OSHA </w:t>
      </w:r>
      <w:hyperlink r:id="rId209" w:history="1">
        <w:r w:rsidRPr="00DD7BD1">
          <w:rPr>
            <w:rStyle w:val="Hyperlink"/>
            <w:rFonts w:ascii="Calibri" w:hAnsi="Calibri" w:cs="Calibri"/>
          </w:rPr>
          <w:t>issued</w:t>
        </w:r>
      </w:hyperlink>
      <w:r w:rsidRPr="00DD7BD1">
        <w:rPr>
          <w:rFonts w:ascii="Calibri" w:hAnsi="Calibri" w:cs="Calibri"/>
        </w:rPr>
        <w:t xml:space="preserve"> seven letters of interpretation clarifying its interpretation and enforcement of specific regulatory requirements. </w:t>
      </w:r>
    </w:p>
    <w:p w14:paraId="03C3506C" w14:textId="77777777" w:rsidR="005D3C19" w:rsidRPr="00DD7BD1" w:rsidRDefault="005D3C19" w:rsidP="005D3C19">
      <w:pPr>
        <w:spacing w:after="0" w:line="240" w:lineRule="auto"/>
        <w:rPr>
          <w:rFonts w:ascii="Calibri" w:hAnsi="Calibri" w:cs="Calibri"/>
          <w:sz w:val="16"/>
          <w:szCs w:val="16"/>
        </w:rPr>
      </w:pPr>
    </w:p>
    <w:p w14:paraId="7EF094B8" w14:textId="6D9EE4FB" w:rsidR="00EB6E38" w:rsidRPr="00DD7BD1" w:rsidRDefault="00EB6E38" w:rsidP="005D3C19">
      <w:pPr>
        <w:spacing w:after="0" w:line="240" w:lineRule="auto"/>
        <w:rPr>
          <w:rFonts w:ascii="Calibri" w:hAnsi="Calibri" w:cs="Calibri"/>
        </w:rPr>
      </w:pPr>
      <w:r w:rsidRPr="00DD7BD1">
        <w:rPr>
          <w:rFonts w:ascii="Calibri" w:hAnsi="Calibri" w:cs="Calibri"/>
        </w:rPr>
        <w:t xml:space="preserve">These letters address the following topics: </w:t>
      </w:r>
    </w:p>
    <w:p w14:paraId="6E864210"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Permit-required confined spaces;</w:t>
      </w:r>
    </w:p>
    <w:p w14:paraId="2FA15D52"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COVID-19 recordkeeping and reporting status;</w:t>
      </w:r>
    </w:p>
    <w:p w14:paraId="5C85CFDB"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Powered industrial truck (PIT) training;</w:t>
      </w:r>
    </w:p>
    <w:p w14:paraId="1483DFD3"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Recordkeeping software;</w:t>
      </w:r>
    </w:p>
    <w:p w14:paraId="222E5E45"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Engineering control standards for benzene and 1,3-butadiene;</w:t>
      </w:r>
    </w:p>
    <w:p w14:paraId="67E354E1"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Audiometric testing for workers with cochlear implants (CIs); and</w:t>
      </w:r>
    </w:p>
    <w:p w14:paraId="7C27E5FB" w14:textId="7CB422B1" w:rsidR="00EB6E38" w:rsidRPr="00DD7BD1" w:rsidRDefault="00EB6E38" w:rsidP="00EB6E38">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Stair angle and tread depth compliance.</w:t>
      </w:r>
    </w:p>
    <w:p w14:paraId="199835D2" w14:textId="77777777" w:rsidR="005D3C19" w:rsidRPr="00DD7BD1" w:rsidRDefault="005D3C19" w:rsidP="005D3C19">
      <w:pPr>
        <w:tabs>
          <w:tab w:val="left" w:pos="288"/>
        </w:tabs>
        <w:spacing w:after="0" w:line="240" w:lineRule="auto"/>
        <w:rPr>
          <w:rFonts w:ascii="Calibri" w:hAnsi="Calibri" w:cs="Calibri"/>
          <w:sz w:val="16"/>
          <w:szCs w:val="16"/>
        </w:rPr>
      </w:pPr>
    </w:p>
    <w:p w14:paraId="46EEE337" w14:textId="763D8816" w:rsidR="00EB6E38" w:rsidRPr="00DD7BD1" w:rsidRDefault="00EB6E38" w:rsidP="00EB6E38">
      <w:pPr>
        <w:rPr>
          <w:rFonts w:ascii="Calibri" w:hAnsi="Calibri" w:cs="Calibri"/>
        </w:rPr>
      </w:pPr>
      <w:r w:rsidRPr="00DD7BD1">
        <w:rPr>
          <w:rFonts w:ascii="Calibri" w:hAnsi="Calibri" w:cs="Calibri"/>
        </w:rPr>
        <w:t xml:space="preserve">These letters </w:t>
      </w:r>
      <w:r w:rsidRPr="00DD7BD1">
        <w:rPr>
          <w:rFonts w:ascii="Calibri" w:hAnsi="Calibri" w:cs="Calibri"/>
          <w:b/>
          <w:bCs/>
        </w:rPr>
        <w:t>do not create new obligations for employers</w:t>
      </w:r>
      <w:r w:rsidRPr="00DD7BD1">
        <w:rPr>
          <w:rFonts w:ascii="Calibri" w:hAnsi="Calibri" w:cs="Calibri"/>
        </w:rPr>
        <w:t xml:space="preserve">. They provide </w:t>
      </w:r>
      <w:r w:rsidRPr="00DD7BD1">
        <w:rPr>
          <w:rFonts w:ascii="Calibri" w:hAnsi="Calibri" w:cs="Calibri"/>
          <w:b/>
          <w:bCs/>
        </w:rPr>
        <w:t>practical guidance</w:t>
      </w:r>
      <w:r w:rsidRPr="00DD7BD1">
        <w:rPr>
          <w:rFonts w:ascii="Calibri" w:hAnsi="Calibri" w:cs="Calibri"/>
        </w:rPr>
        <w:t xml:space="preserve"> for employers, helping them understand regulatory expectations, reduce compliance risks and avoid potential citations. Employers are encouraged to access and review the Letters to determine applicability and validate their current practices for confined space entry, recordkeeping, equipment training, exposure controls and physical workplace design. By aligning policies and procedures with OSHA’s clarified expectations, employers can reduce compliance uncertainty, strengthen safety programs, and better position themselves during inspections or audits.</w:t>
      </w:r>
    </w:p>
    <w:p w14:paraId="558F9B2F" w14:textId="4CA3CE22" w:rsidR="00EB6E38" w:rsidRPr="00DD7BD1" w:rsidRDefault="00EB6E38" w:rsidP="00EB6E38">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OSHA Extends Its Hazard Communication Standard Compliance Dates</w:t>
      </w:r>
    </w:p>
    <w:p w14:paraId="0B628363" w14:textId="1622A6E8" w:rsidR="001F3144" w:rsidRPr="00DD7BD1" w:rsidRDefault="00EB6E38" w:rsidP="001F3144">
      <w:pPr>
        <w:pStyle w:val="Heading2"/>
        <w:spacing w:before="0"/>
        <w:rPr>
          <w:rFonts w:ascii="Calibri" w:eastAsiaTheme="minorHAnsi" w:hAnsi="Calibri" w:cs="Calibri"/>
          <w:color w:val="auto"/>
          <w:sz w:val="22"/>
          <w:szCs w:val="22"/>
        </w:rPr>
      </w:pPr>
      <w:r w:rsidRPr="00DD7BD1">
        <w:rPr>
          <w:rFonts w:ascii="Calibri" w:eastAsiaTheme="minorHAnsi" w:hAnsi="Calibri" w:cs="Calibri"/>
          <w:color w:val="auto"/>
          <w:sz w:val="22"/>
          <w:szCs w:val="22"/>
        </w:rPr>
        <w:t xml:space="preserve">On Jan. 15, 2026, OSHA issued a </w:t>
      </w:r>
      <w:hyperlink r:id="rId210" w:history="1">
        <w:r w:rsidRPr="00DD7BD1">
          <w:rPr>
            <w:rStyle w:val="Hyperlink"/>
            <w:rFonts w:ascii="Calibri" w:eastAsiaTheme="minorHAnsi" w:hAnsi="Calibri" w:cs="Calibri"/>
            <w:sz w:val="22"/>
            <w:szCs w:val="22"/>
          </w:rPr>
          <w:t>final rule</w:t>
        </w:r>
      </w:hyperlink>
      <w:r w:rsidRPr="00DD7BD1">
        <w:rPr>
          <w:rFonts w:ascii="Calibri" w:eastAsiaTheme="minorHAnsi" w:hAnsi="Calibri" w:cs="Calibri"/>
          <w:color w:val="auto"/>
          <w:sz w:val="22"/>
          <w:szCs w:val="22"/>
        </w:rPr>
        <w:t xml:space="preserve"> formally extending the compliance deadlines associated with its updated </w:t>
      </w:r>
      <w:r w:rsidRPr="00DD7BD1">
        <w:rPr>
          <w:rFonts w:ascii="Calibri" w:eastAsiaTheme="minorHAnsi" w:hAnsi="Calibri" w:cs="Calibri"/>
          <w:b/>
          <w:bCs/>
          <w:color w:val="auto"/>
          <w:sz w:val="22"/>
          <w:szCs w:val="22"/>
        </w:rPr>
        <w:t>Hazard Communication Standard (HCS)</w:t>
      </w:r>
      <w:r w:rsidRPr="00DD7BD1">
        <w:rPr>
          <w:rFonts w:ascii="Calibri" w:eastAsiaTheme="minorHAnsi" w:hAnsi="Calibri" w:cs="Calibri"/>
          <w:color w:val="auto"/>
          <w:sz w:val="22"/>
          <w:szCs w:val="22"/>
        </w:rPr>
        <w:t>. The underlying revision to the standard, intended to align the HCS with the seventh edition of the Globally Harmonized System, was finalized on May 20, 2024, and took effect on July 19, 2024. Applicable Employers should be prepared for a staggered rollout of updated SDS and chemical labels as manufacturers and distributors meet the extended compliance deadlines. As new hazard information arrives in the workplace, employers will be responsible for updating their written HCS programs, revising on-site labeling systems and providing additional training to employees. Although the deadlines for employer compliance actions have been extended, the changes that were required in the HCS 2024 final rule have not changed.  ETC does not typically monitor or report on OSHA-related matters.  Employers are encouraged to stay ahead of any applicable compliance obligations.</w:t>
      </w:r>
    </w:p>
    <w:p w14:paraId="58D4C728" w14:textId="60FC5DB5"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Update Benefit Limits &amp; Obligations 2026</w:t>
      </w:r>
    </w:p>
    <w:p w14:paraId="75E9417D"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10825133"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7271BD82"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211">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108015F9"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1CD79ABF"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16584816"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3D23E65"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7ABB4A2" w14:textId="08F385CB"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A25DEBE" w14:textId="77777777" w:rsidR="001F3144" w:rsidRPr="00DD7BD1" w:rsidRDefault="001F3144" w:rsidP="001F3144">
      <w:pPr>
        <w:pStyle w:val="Heading1"/>
        <w:shd w:val="clear" w:color="auto" w:fill="FFFFFF"/>
        <w:spacing w:before="0" w:beforeAutospacing="0" w:after="0" w:afterAutospacing="0"/>
        <w:ind w:left="720"/>
        <w:rPr>
          <w:rFonts w:ascii="Calibri" w:hAnsi="Calibri" w:cs="Calibri"/>
          <w:b w:val="0"/>
          <w:bCs w:val="0"/>
          <w:sz w:val="22"/>
          <w:szCs w:val="22"/>
        </w:rPr>
      </w:pPr>
    </w:p>
    <w:p w14:paraId="413D9EFE" w14:textId="33445EFA" w:rsidR="00EB6E38" w:rsidRPr="00DD7BD1" w:rsidRDefault="00EB6E38" w:rsidP="00EB6E38">
      <w:pPr>
        <w:pStyle w:val="Heading1"/>
        <w:shd w:val="clear" w:color="auto" w:fill="FFFFFF"/>
        <w:spacing w:before="0" w:beforeAutospacing="0" w:after="0" w:afterAutospacing="0"/>
        <w:jc w:val="center"/>
        <w:rPr>
          <w:rFonts w:ascii="Calibri" w:hAnsi="Calibri" w:cs="Calibri"/>
          <w:spacing w:val="-11"/>
          <w:sz w:val="28"/>
          <w:szCs w:val="28"/>
        </w:rPr>
      </w:pPr>
      <w:r w:rsidRPr="00DD7BD1">
        <w:rPr>
          <w:rFonts w:ascii="Calibri" w:hAnsi="Calibri" w:cs="Calibri"/>
          <w:spacing w:val="-11"/>
          <w:sz w:val="28"/>
          <w:szCs w:val="28"/>
        </w:rPr>
        <w:t xml:space="preserve">Federal: OSHA Form 300A Posting Begins February 1 &amp; </w:t>
      </w:r>
      <w:r w:rsidRPr="00DD7BD1">
        <w:rPr>
          <w:rFonts w:ascii="Calibri" w:hAnsi="Calibri" w:cs="Calibri"/>
          <w:spacing w:val="-11"/>
          <w:sz w:val="28"/>
          <w:szCs w:val="28"/>
        </w:rPr>
        <w:br/>
        <w:t>Electronic Reporting Due March 2</w:t>
      </w:r>
    </w:p>
    <w:p w14:paraId="74093E94" w14:textId="77777777" w:rsidR="00EB6E38" w:rsidRPr="00DD7BD1" w:rsidRDefault="00EB6E38" w:rsidP="00EB6E38">
      <w:pPr>
        <w:pStyle w:val="Heading1"/>
        <w:spacing w:before="0" w:beforeAutospacing="0" w:after="0" w:afterAutospacing="0"/>
        <w:rPr>
          <w:rFonts w:ascii="Calibri" w:eastAsiaTheme="minorHAnsi" w:hAnsi="Calibri" w:cs="Calibri"/>
          <w:b w:val="0"/>
          <w:bCs w:val="0"/>
          <w:sz w:val="23"/>
          <w:szCs w:val="23"/>
        </w:rPr>
      </w:pPr>
      <w:r w:rsidRPr="00DD7BD1">
        <w:rPr>
          <w:rFonts w:ascii="Calibri" w:eastAsiaTheme="minorHAnsi" w:hAnsi="Calibri" w:cs="Calibri"/>
          <w:sz w:val="23"/>
          <w:szCs w:val="23"/>
        </w:rPr>
        <w:t>Form 300A Workplace Posting Begins February 1</w:t>
      </w:r>
      <w:r w:rsidRPr="00DD7BD1">
        <w:rPr>
          <w:rFonts w:ascii="Calibri" w:eastAsiaTheme="minorHAnsi" w:hAnsi="Calibri" w:cs="Calibri"/>
          <w:b w:val="0"/>
          <w:bCs w:val="0"/>
          <w:sz w:val="23"/>
          <w:szCs w:val="23"/>
        </w:rPr>
        <w:br/>
        <w:t>Covered employers that had 11 or more employees in the entire company at any point in 2025 are required to post the Occupational Safety and Health Administration (OSHA) Form 300A, Summary of Work-Related Injury and Illnesses, from February 1 through April 30. This requirement applies even if the company didn’t have any recordable incidents in 2025.</w:t>
      </w:r>
    </w:p>
    <w:p w14:paraId="21B29879"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B90123A"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OSHA Form 300A must be certified by a company executive and posted in each establishment in a conspicuous location where notices to employees are customarily posted.</w:t>
      </w:r>
    </w:p>
    <w:p w14:paraId="411824B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6458507"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212" w:tgtFrame="_blank" w:history="1">
        <w:r w:rsidRPr="00DD7BD1">
          <w:rPr>
            <w:rStyle w:val="Hyperlink"/>
            <w:rFonts w:ascii="Calibri" w:hAnsi="Calibri" w:cs="Calibri"/>
            <w:b w:val="0"/>
            <w:bCs w:val="0"/>
            <w:spacing w:val="-11"/>
            <w:sz w:val="22"/>
            <w:szCs w:val="22"/>
          </w:rPr>
          <w:t>here</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The exemption is “partial” because all employers must notify OSHA when an employee is killed on the job or suffers a work-related hospitalization, amputation, or loss of an eye.)</w:t>
      </w:r>
    </w:p>
    <w:p w14:paraId="440D43BF"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CC6EF" w14:textId="77777777" w:rsidR="00EB6E38" w:rsidRPr="00DD7BD1" w:rsidRDefault="00EB6E38" w:rsidP="00EB6E38">
      <w:pPr>
        <w:pStyle w:val="Heading1"/>
        <w:spacing w:before="0" w:beforeAutospacing="0" w:after="0" w:afterAutospacing="0"/>
        <w:ind w:right="-90"/>
        <w:rPr>
          <w:rFonts w:ascii="Calibri" w:hAnsi="Calibri" w:cs="Calibri"/>
          <w:b w:val="0"/>
          <w:bCs w:val="0"/>
          <w:spacing w:val="-11"/>
          <w:sz w:val="22"/>
          <w:szCs w:val="22"/>
        </w:rPr>
      </w:pPr>
      <w:r w:rsidRPr="00DD7BD1">
        <w:rPr>
          <w:rFonts w:ascii="Calibri" w:eastAsiaTheme="minorHAnsi" w:hAnsi="Calibri" w:cs="Calibri"/>
          <w:sz w:val="23"/>
          <w:szCs w:val="23"/>
        </w:rPr>
        <w:t>Form 300A Electronic Submission Due by March 2</w:t>
      </w:r>
      <w:r w:rsidRPr="00DD7BD1">
        <w:rPr>
          <w:rFonts w:ascii="Calibri" w:eastAsiaTheme="minorHAnsi" w:hAnsi="Calibri" w:cs="Calibri"/>
          <w:b w:val="0"/>
          <w:bCs w:val="0"/>
          <w:sz w:val="23"/>
          <w:szCs w:val="23"/>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b w:val="0"/>
          <w:bCs w:val="0"/>
          <w:spacing w:val="-11"/>
          <w:sz w:val="22"/>
          <w:szCs w:val="22"/>
        </w:rPr>
        <w:t> </w:t>
      </w:r>
      <w:hyperlink r:id="rId213" w:tgtFrame="_blank" w:history="1">
        <w:r w:rsidRPr="00DD7BD1">
          <w:rPr>
            <w:rStyle w:val="Hyperlink"/>
            <w:rFonts w:ascii="Calibri" w:hAnsi="Calibri" w:cs="Calibri"/>
            <w:b w:val="0"/>
            <w:bCs w:val="0"/>
            <w:spacing w:val="-11"/>
            <w:sz w:val="22"/>
            <w:szCs w:val="22"/>
          </w:rPr>
          <w:t>Injury Tracking Application</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b w:val="0"/>
          <w:bCs w:val="0"/>
          <w:spacing w:val="-11"/>
          <w:sz w:val="22"/>
          <w:szCs w:val="22"/>
        </w:rPr>
        <w:t> </w:t>
      </w:r>
      <w:hyperlink r:id="rId214" w:tgtFrame="_blank" w:history="1">
        <w:r w:rsidRPr="00DD7BD1">
          <w:rPr>
            <w:rStyle w:val="Hyperlink"/>
            <w:rFonts w:ascii="Calibri" w:hAnsi="Calibri" w:cs="Calibri"/>
            <w:b w:val="0"/>
            <w:bCs w:val="0"/>
            <w:spacing w:val="-11"/>
            <w:sz w:val="22"/>
            <w:szCs w:val="22"/>
          </w:rPr>
          <w:t>must also use the ITA</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to send data electronically.</w:t>
      </w:r>
    </w:p>
    <w:p w14:paraId="5598A2C7" w14:textId="77777777" w:rsidR="00EB6E38" w:rsidRPr="00DD7BD1" w:rsidRDefault="00EB6E38" w:rsidP="00EB6E38">
      <w:pPr>
        <w:pStyle w:val="Heading1"/>
        <w:spacing w:before="0" w:beforeAutospacing="0" w:after="0" w:afterAutospacing="0"/>
        <w:jc w:val="both"/>
        <w:rPr>
          <w:rFonts w:ascii="Calibri" w:hAnsi="Calibri" w:cs="Calibri"/>
          <w:b w:val="0"/>
          <w:bCs w:val="0"/>
          <w:w w:val="110"/>
          <w:sz w:val="16"/>
          <w:szCs w:val="16"/>
        </w:rPr>
      </w:pPr>
    </w:p>
    <w:p w14:paraId="5BA991F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Employers that meet any of the following criteria DO NOT have to send Form 300A information to OSHA:</w:t>
      </w:r>
    </w:p>
    <w:p w14:paraId="1351C398"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are partially exempt from OSHA’s routine recordkeeping requirements, as mentioned above.</w:t>
      </w:r>
    </w:p>
    <w:p w14:paraId="42C9524B"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never had 20 or more employees during the previous calendar year, regardless of industry.</w:t>
      </w:r>
    </w:p>
    <w:p w14:paraId="4066EA4D"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had between 20 and 249 employees at some point during the previous calendar year but are NOT on this</w:t>
      </w:r>
      <w:r w:rsidRPr="00DD7BD1">
        <w:rPr>
          <w:rFonts w:ascii="Calibri" w:hAnsi="Calibri" w:cs="Calibri"/>
          <w:b w:val="0"/>
          <w:bCs w:val="0"/>
          <w:spacing w:val="-11"/>
          <w:sz w:val="22"/>
          <w:szCs w:val="22"/>
        </w:rPr>
        <w:t> </w:t>
      </w:r>
      <w:hyperlink r:id="rId215" w:tgtFrame="_blank" w:history="1">
        <w:r w:rsidRPr="00DD7BD1">
          <w:rPr>
            <w:rStyle w:val="Hyperlink"/>
            <w:rFonts w:ascii="Calibri" w:hAnsi="Calibri" w:cs="Calibri"/>
            <w:b w:val="0"/>
            <w:bCs w:val="0"/>
            <w:spacing w:val="-11"/>
            <w:sz w:val="22"/>
            <w:szCs w:val="22"/>
          </w:rPr>
          <w:t>list</w:t>
        </w:r>
      </w:hyperlink>
      <w:r w:rsidRPr="00DD7BD1">
        <w:rPr>
          <w:rFonts w:ascii="Calibri" w:eastAsiaTheme="minorHAnsi" w:hAnsi="Calibri" w:cs="Calibri"/>
          <w:b w:val="0"/>
          <w:bCs w:val="0"/>
          <w:sz w:val="23"/>
          <w:szCs w:val="23"/>
        </w:rPr>
        <w:t> of high-hazard industries.</w:t>
      </w:r>
    </w:p>
    <w:p w14:paraId="47376AC2"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340765B3"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Additional information, FAQs, and the ITA can be found on OSHA’s</w:t>
      </w:r>
      <w:r w:rsidRPr="00DD7BD1">
        <w:rPr>
          <w:rFonts w:ascii="Calibri" w:hAnsi="Calibri" w:cs="Calibri"/>
          <w:b w:val="0"/>
          <w:bCs w:val="0"/>
          <w:w w:val="110"/>
          <w:sz w:val="22"/>
          <w:szCs w:val="22"/>
        </w:rPr>
        <w:t> </w:t>
      </w:r>
      <w:hyperlink r:id="rId216" w:tgtFrame="_blank" w:history="1">
        <w:r w:rsidRPr="00DD7BD1">
          <w:rPr>
            <w:rStyle w:val="Hyperlink"/>
            <w:rFonts w:ascii="Calibri" w:hAnsi="Calibri" w:cs="Calibri"/>
            <w:b w:val="0"/>
            <w:bCs w:val="0"/>
            <w:spacing w:val="-11"/>
            <w:sz w:val="22"/>
            <w:szCs w:val="22"/>
          </w:rPr>
          <w:t>ITA page</w:t>
        </w:r>
      </w:hyperlink>
      <w:r w:rsidRPr="00DD7BD1">
        <w:rPr>
          <w:rFonts w:ascii="Calibri" w:hAnsi="Calibri" w:cs="Calibri"/>
          <w:b w:val="0"/>
          <w:bCs w:val="0"/>
          <w:spacing w:val="-11"/>
          <w:sz w:val="22"/>
          <w:szCs w:val="22"/>
        </w:rPr>
        <w:t>.</w:t>
      </w:r>
    </w:p>
    <w:p w14:paraId="1AD559F9"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05E9660D" w14:textId="77777777" w:rsidR="00EB6E38"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Form 300 and Form 301 Electronic Submission Required by March 2</w:t>
      </w:r>
      <w:r w:rsidRPr="00DD7BD1">
        <w:rPr>
          <w:rFonts w:ascii="Calibri" w:eastAsiaTheme="minorHAnsi" w:hAnsi="Calibri" w:cs="Calibri"/>
          <w:b w:val="0"/>
          <w:bCs w:val="0"/>
          <w:sz w:val="23"/>
          <w:szCs w:val="23"/>
        </w:rPr>
        <w:br/>
        <w:t>Covered establishments in designated</w:t>
      </w:r>
      <w:r w:rsidRPr="00DD7BD1">
        <w:rPr>
          <w:rFonts w:ascii="Calibri" w:hAnsi="Calibri" w:cs="Calibri"/>
          <w:b w:val="0"/>
          <w:bCs w:val="0"/>
          <w:spacing w:val="-11"/>
          <w:sz w:val="22"/>
          <w:szCs w:val="22"/>
        </w:rPr>
        <w:t> </w:t>
      </w:r>
      <w:hyperlink r:id="rId217" w:tgtFrame="_blank" w:history="1">
        <w:r w:rsidRPr="00DD7BD1">
          <w:rPr>
            <w:rStyle w:val="Hyperlink"/>
            <w:rFonts w:ascii="Calibri" w:hAnsi="Calibri" w:cs="Calibri"/>
            <w:b w:val="0"/>
            <w:bCs w:val="0"/>
            <w:spacing w:val="-11"/>
            <w:sz w:val="22"/>
            <w:szCs w:val="22"/>
          </w:rPr>
          <w:t>high-hazard industries</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that had 100 or more employees in the prior calendar year will need to electronically submit information from their Form 300, Log of Work-Related Injuries and Illnesses, and Form 301, Injury and Illness Incident Report, through OSHA’s ITA. This is in addition to submitting information from their Form 300A.</w:t>
      </w:r>
    </w:p>
    <w:p w14:paraId="65FCA3DD"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8C588" w14:textId="3321D064" w:rsidR="00DA444A"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Help Determining Coverage</w:t>
      </w:r>
      <w:r w:rsidRPr="00DD7BD1">
        <w:rPr>
          <w:rFonts w:ascii="Calibri" w:hAnsi="Calibri" w:cs="Calibri"/>
          <w:b w:val="0"/>
          <w:bCs w:val="0"/>
          <w:spacing w:val="-11"/>
          <w:sz w:val="22"/>
          <w:szCs w:val="22"/>
        </w:rPr>
        <w:br/>
      </w:r>
      <w:r w:rsidRPr="00DD7BD1">
        <w:rPr>
          <w:rFonts w:ascii="Calibri" w:eastAsiaTheme="minorHAnsi" w:hAnsi="Calibri" w:cs="Calibri"/>
          <w:b w:val="0"/>
          <w:bCs w:val="0"/>
          <w:sz w:val="23"/>
          <w:szCs w:val="23"/>
        </w:rPr>
        <w:t>Employers can use the</w:t>
      </w:r>
      <w:r w:rsidRPr="00DD7BD1">
        <w:rPr>
          <w:rFonts w:ascii="Calibri" w:hAnsi="Calibri" w:cs="Calibri"/>
          <w:b w:val="0"/>
          <w:bCs w:val="0"/>
          <w:spacing w:val="-11"/>
          <w:sz w:val="22"/>
          <w:szCs w:val="22"/>
        </w:rPr>
        <w:t> </w:t>
      </w:r>
      <w:hyperlink r:id="rId218" w:tgtFrame="_blank" w:history="1">
        <w:r w:rsidRPr="00DD7BD1">
          <w:rPr>
            <w:rStyle w:val="Hyperlink"/>
            <w:rFonts w:ascii="Calibri" w:hAnsi="Calibri" w:cs="Calibri"/>
            <w:b w:val="0"/>
            <w:bCs w:val="0"/>
            <w:spacing w:val="-11"/>
            <w:sz w:val="22"/>
            <w:szCs w:val="22"/>
          </w:rPr>
          <w:t>ITA Coverage Application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if they’re required to electronically submit their injury and illness information and whether they should review an applicable </w:t>
      </w:r>
      <w:hyperlink r:id="rId219" w:tgtFrame="_blank" w:history="1">
        <w:r w:rsidRPr="00DD7BD1">
          <w:rPr>
            <w:rStyle w:val="Hyperlink"/>
            <w:rFonts w:ascii="Calibri" w:hAnsi="Calibri" w:cs="Calibri"/>
            <w:b w:val="0"/>
            <w:bCs w:val="0"/>
            <w:spacing w:val="-11"/>
            <w:sz w:val="22"/>
            <w:szCs w:val="22"/>
          </w:rPr>
          <w:t>State Plan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reporting requirements.</w:t>
      </w:r>
      <w:r w:rsidRPr="00DD7BD1">
        <w:rPr>
          <w:rFonts w:ascii="Calibri" w:hAnsi="Calibri" w:cs="Calibri"/>
          <w:b w:val="0"/>
          <w:bCs w:val="0"/>
          <w:spacing w:val="-11"/>
          <w:sz w:val="22"/>
          <w:szCs w:val="22"/>
        </w:rPr>
        <w:t xml:space="preserve"> </w:t>
      </w:r>
      <w:r w:rsidRPr="00DD7BD1">
        <w:rPr>
          <w:rFonts w:ascii="Calibri" w:eastAsiaTheme="minorHAnsi" w:hAnsi="Calibri" w:cs="Calibri"/>
          <w:sz w:val="23"/>
          <w:szCs w:val="23"/>
        </w:rPr>
        <w:t>See also ETC’s compliance reminder sent Jan 13, 2026.</w:t>
      </w:r>
    </w:p>
    <w:p w14:paraId="00BE5939" w14:textId="77777777" w:rsidR="00DA444A" w:rsidRPr="00DD7BD1" w:rsidRDefault="00DA444A" w:rsidP="001558B8">
      <w:pPr>
        <w:pStyle w:val="BodyText"/>
        <w:spacing w:after="0" w:line="240" w:lineRule="auto"/>
        <w:ind w:right="274"/>
        <w:rPr>
          <w:rFonts w:eastAsiaTheme="minorHAnsi" w:cs="Calibri"/>
          <w:b/>
          <w:bCs/>
          <w:color w:val="auto"/>
          <w:kern w:val="36"/>
          <w:szCs w:val="22"/>
        </w:rPr>
      </w:pPr>
    </w:p>
    <w:p w14:paraId="1BC479BF" w14:textId="4EB4E9EE" w:rsidR="00632423" w:rsidRPr="00DD7BD1" w:rsidRDefault="00632423"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 xml:space="preserve">December </w:t>
      </w:r>
      <w:r w:rsidR="00DA444A" w:rsidRPr="00DD7BD1">
        <w:rPr>
          <w:rFonts w:eastAsiaTheme="minorHAnsi" w:cs="Calibri"/>
          <w:b/>
          <w:bCs/>
          <w:color w:val="C00000"/>
          <w:kern w:val="36"/>
          <w:szCs w:val="22"/>
        </w:rPr>
        <w:t xml:space="preserve">2025 </w:t>
      </w:r>
      <w:r w:rsidRPr="00DD7BD1">
        <w:rPr>
          <w:rFonts w:eastAsiaTheme="minorHAnsi" w:cs="Calibri"/>
          <w:b/>
          <w:bCs/>
          <w:color w:val="C00000"/>
          <w:kern w:val="36"/>
          <w:szCs w:val="22"/>
        </w:rPr>
        <w:t>Alerts/Reminders:</w:t>
      </w:r>
    </w:p>
    <w:p w14:paraId="6ED63B6E" w14:textId="7DFB0725" w:rsidR="00EB6E38" w:rsidRPr="00DD7BD1" w:rsidRDefault="0004551D" w:rsidP="0004551D">
      <w:pPr>
        <w:pStyle w:val="BodyText"/>
        <w:tabs>
          <w:tab w:val="left" w:pos="1663"/>
        </w:tabs>
        <w:spacing w:after="0" w:line="240" w:lineRule="auto"/>
        <w:ind w:right="274"/>
        <w:rPr>
          <w:rFonts w:eastAsiaTheme="minorHAnsi" w:cs="Calibri"/>
          <w:b/>
          <w:bCs/>
          <w:color w:val="auto"/>
          <w:kern w:val="36"/>
          <w:sz w:val="16"/>
          <w:szCs w:val="16"/>
        </w:rPr>
      </w:pPr>
      <w:r w:rsidRPr="00DD7BD1">
        <w:rPr>
          <w:rFonts w:eastAsiaTheme="minorHAnsi" w:cs="Calibri"/>
          <w:b/>
          <w:bCs/>
          <w:color w:val="auto"/>
          <w:kern w:val="36"/>
          <w:szCs w:val="22"/>
        </w:rPr>
        <w:tab/>
      </w:r>
    </w:p>
    <w:p w14:paraId="2F08E643" w14:textId="58D02A20"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December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January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03766C43" w14:textId="77777777"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2"/>
          <w:szCs w:val="22"/>
        </w:rPr>
      </w:pPr>
    </w:p>
    <w:p w14:paraId="71240A99" w14:textId="751689CF"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Looking ahead to January 2026 – Updated Benefit Limits &amp; Obligations</w:t>
      </w:r>
    </w:p>
    <w:p w14:paraId="0EB77BA2"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300EA6A2"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3D1B51D8"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220">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5C1F9FC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4440E2F1"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084F0EFF"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BFEFF2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08ECBE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130AC10" w14:textId="77777777"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2"/>
          <w:szCs w:val="22"/>
        </w:rPr>
      </w:pPr>
    </w:p>
    <w:p w14:paraId="2345D188" w14:textId="54B1B338"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USCIS Updates Certain Validity Periods for EAD (Employment Authorization Documents)</w:t>
      </w:r>
    </w:p>
    <w:p w14:paraId="1008F612" w14:textId="49395557" w:rsidR="005B033C" w:rsidRPr="00DD7BD1" w:rsidRDefault="005B033C" w:rsidP="005B033C">
      <w:pPr>
        <w:rPr>
          <w:rFonts w:ascii="Calibri" w:hAnsi="Calibri" w:cs="Calibri"/>
        </w:rPr>
      </w:pPr>
      <w:r w:rsidRPr="00DD7BD1">
        <w:rPr>
          <w:rFonts w:ascii="Calibri" w:hAnsi="Calibri" w:cs="Calibri"/>
        </w:rPr>
        <w:t xml:space="preserve">On Dec. 4, 2025, the U.S. Citizenship and Immigration Services (USCIS) issued policy guidance in its </w:t>
      </w:r>
      <w:hyperlink r:id="rId221" w:history="1">
        <w:r w:rsidRPr="00DD7BD1">
          <w:rPr>
            <w:rStyle w:val="Hyperlink"/>
            <w:rFonts w:ascii="Calibri" w:hAnsi="Calibri" w:cs="Calibri"/>
          </w:rPr>
          <w:t>Policy Manual</w:t>
        </w:r>
      </w:hyperlink>
      <w:r w:rsidRPr="00DD7BD1">
        <w:rPr>
          <w:rFonts w:ascii="Calibri" w:hAnsi="Calibri" w:cs="Calibri"/>
        </w:rPr>
        <w:t xml:space="preserve"> updating the maximum validity periods for Employment Authorization Documents (EADs), also known as Form I-766, for certain EAD categories.</w:t>
      </w:r>
    </w:p>
    <w:p w14:paraId="42D4D912" w14:textId="77777777" w:rsidR="005B033C" w:rsidRPr="00DD7BD1" w:rsidRDefault="005B033C" w:rsidP="009C0036">
      <w:pPr>
        <w:spacing w:after="0" w:line="240" w:lineRule="auto"/>
        <w:rPr>
          <w:rFonts w:ascii="Calibri" w:hAnsi="Calibri" w:cs="Calibri"/>
        </w:rPr>
      </w:pPr>
      <w:r w:rsidRPr="00DD7BD1">
        <w:rPr>
          <w:rFonts w:ascii="Calibri" w:hAnsi="Calibri" w:cs="Calibri"/>
        </w:rPr>
        <w:t>Based on the USCIS’ announcement, the maximum validity period for i</w:t>
      </w:r>
      <w:r w:rsidRPr="00DD7BD1">
        <w:rPr>
          <w:rFonts w:ascii="Calibri" w:hAnsi="Calibri" w:cs="Calibri"/>
          <w:u w:val="single"/>
        </w:rPr>
        <w:t>nitial and renewal EADs will be changed from 5 years to 18 months for several categories of “aliens,</w:t>
      </w:r>
      <w:r w:rsidRPr="00DD7BD1">
        <w:rPr>
          <w:rFonts w:ascii="Calibri" w:hAnsi="Calibri" w:cs="Calibri"/>
        </w:rPr>
        <w:t>” a term used by the USCIS,</w:t>
      </w:r>
      <w:r w:rsidRPr="00DD7BD1">
        <w:rPr>
          <w:rFonts w:ascii="Calibri" w:hAnsi="Calibri" w:cs="Calibri"/>
          <w:u w:val="single"/>
        </w:rPr>
        <w:t xml:space="preserve"> including those who</w:t>
      </w:r>
      <w:r w:rsidRPr="00DD7BD1">
        <w:rPr>
          <w:rFonts w:ascii="Calibri" w:hAnsi="Calibri" w:cs="Calibri"/>
        </w:rPr>
        <w:t>:</w:t>
      </w:r>
    </w:p>
    <w:p w14:paraId="7A985AC8"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admitted as refugees;</w:t>
      </w:r>
    </w:p>
    <w:p w14:paraId="41DFA34B"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asylum;</w:t>
      </w:r>
    </w:p>
    <w:p w14:paraId="3B8838CE"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withholding of deportation or removal;</w:t>
      </w:r>
    </w:p>
    <w:p w14:paraId="73F8186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asylum or withholding of removal;</w:t>
      </w:r>
    </w:p>
    <w:p w14:paraId="0FCCA13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adjustment of status under INA 245; and</w:t>
      </w:r>
    </w:p>
    <w:p w14:paraId="155ADBBD" w14:textId="5543100A"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suspension of deportation, cancellation of removal or relief under the Nicaraguan Adjustment and Central American Relief Act.</w:t>
      </w:r>
    </w:p>
    <w:p w14:paraId="4D49ACBB" w14:textId="7633C5FB" w:rsidR="005B033C" w:rsidRPr="00DD7BD1" w:rsidRDefault="005B033C" w:rsidP="005B033C">
      <w:pPr>
        <w:rPr>
          <w:rFonts w:ascii="Calibri" w:hAnsi="Calibri" w:cs="Calibri"/>
        </w:rPr>
      </w:pPr>
      <w:r w:rsidRPr="00DD7BD1">
        <w:rPr>
          <w:rFonts w:ascii="Calibri" w:hAnsi="Calibri" w:cs="Calibri"/>
        </w:rPr>
        <w:t>This change affects foreign workers with applications for employment authorization that are pending or filed on or after Dec. 5, 2025, and based on any of the above categories.</w:t>
      </w:r>
    </w:p>
    <w:p w14:paraId="71A3C495" w14:textId="09484A7B" w:rsidR="005B033C" w:rsidRPr="00DD7BD1" w:rsidRDefault="005B033C" w:rsidP="005B033C">
      <w:pPr>
        <w:rPr>
          <w:rFonts w:ascii="Calibri" w:hAnsi="Calibri" w:cs="Calibri"/>
        </w:rPr>
      </w:pPr>
      <w:r w:rsidRPr="00DD7BD1">
        <w:rPr>
          <w:rFonts w:ascii="Calibri" w:hAnsi="Calibri" w:cs="Calibri"/>
          <w:b/>
          <w:bCs/>
          <w:highlight w:val="lightGray"/>
        </w:rPr>
        <w:t>Employer Informational Takeaway:</w:t>
      </w:r>
      <w:r w:rsidRPr="00DD7BD1">
        <w:rPr>
          <w:rFonts w:ascii="Calibri" w:hAnsi="Calibri" w:cs="Calibri"/>
        </w:rPr>
        <w:t xml:space="preserve"> This change will likely result in more EAD renewals for employers relying on foreign workers. This will likely significantly increase the number of Forms I-756 the USCIS receives, resulting in longer processing times and potential backlogs. As a result, employers must plan accordingly to avoid disruptions in work authorization.</w:t>
      </w:r>
    </w:p>
    <w:p w14:paraId="32B96E8F" w14:textId="1779F75E" w:rsidR="005B033C" w:rsidRPr="00DD7BD1" w:rsidRDefault="005B033C" w:rsidP="005B033C">
      <w:pPr>
        <w:jc w:val="center"/>
        <w:rPr>
          <w:rFonts w:ascii="Calibri" w:hAnsi="Calibri" w:cs="Calibri"/>
          <w:b/>
          <w:bCs/>
          <w:color w:val="C00000"/>
          <w:sz w:val="28"/>
          <w:szCs w:val="28"/>
        </w:rPr>
      </w:pPr>
      <w:r w:rsidRPr="00DD7BD1">
        <w:rPr>
          <w:rFonts w:ascii="Calibri" w:hAnsi="Calibri" w:cs="Calibri"/>
          <w:b/>
          <w:bCs/>
          <w:sz w:val="28"/>
          <w:szCs w:val="28"/>
        </w:rPr>
        <w:t>US Postal Services Changes Regarding Postmark Date System –</w:t>
      </w:r>
      <w:r w:rsidRPr="00DD7BD1">
        <w:rPr>
          <w:rFonts w:ascii="Calibri" w:hAnsi="Calibri" w:cs="Calibri"/>
          <w:b/>
          <w:bCs/>
          <w:color w:val="C00000"/>
          <w:sz w:val="28"/>
          <w:szCs w:val="28"/>
        </w:rPr>
        <w:t xml:space="preserve"> Eff Dec 24, 2025</w:t>
      </w:r>
    </w:p>
    <w:p w14:paraId="54F6EE18" w14:textId="067705A4" w:rsidR="005B033C" w:rsidRPr="00DD7BD1" w:rsidRDefault="005B033C" w:rsidP="005B033C">
      <w:pPr>
        <w:rPr>
          <w:rFonts w:ascii="Calibri" w:hAnsi="Calibri" w:cs="Calibri"/>
        </w:rPr>
      </w:pPr>
      <w:r w:rsidRPr="00DD7BD1">
        <w:rPr>
          <w:rFonts w:ascii="Calibri" w:hAnsi="Calibri" w:cs="Calibri"/>
        </w:rPr>
        <w:t>The United States Postal Service (USPS) has adopted a final rule (</w:t>
      </w:r>
      <w:hyperlink r:id="rId222" w:history="1">
        <w:r w:rsidRPr="00DD7BD1">
          <w:rPr>
            <w:rStyle w:val="Hyperlink"/>
            <w:rFonts w:ascii="Calibri" w:hAnsi="Calibri" w:cs="Calibri"/>
          </w:rPr>
          <w:t>FR Doc. 2025-20740</w:t>
        </w:r>
      </w:hyperlink>
      <w:r w:rsidRPr="00DD7BD1">
        <w:rPr>
          <w:rFonts w:ascii="Calibri" w:hAnsi="Calibri" w:cs="Calibri"/>
        </w:rPr>
        <w:t>) adding Section 608.11, "Postmarks and Postal Possession," to the Domestic Mail Manual (DMM). The rule formally defines postmarks and identifies the types of markings that qualify as such. Its primary purpose is to improve public understanding that while a postmark confirms the USPS possessed a mail piece on the date inscribed, that date does not necessarily align with the date the USPS first accepted possession of the item. The rule clarifies that the USPS does not postmark all mail in the ordinary course of operations and that the absence of a postmark does not imply the USPS did not accept custody.</w:t>
      </w:r>
    </w:p>
    <w:p w14:paraId="77F1B85C" w14:textId="179940A2" w:rsidR="005B033C" w:rsidRPr="00DD7BD1" w:rsidRDefault="005B033C" w:rsidP="005B033C">
      <w:pPr>
        <w:rPr>
          <w:rFonts w:ascii="Calibri" w:hAnsi="Calibri" w:cs="Calibri"/>
        </w:rPr>
      </w:pPr>
      <w:r w:rsidRPr="00DD7BD1">
        <w:rPr>
          <w:rFonts w:ascii="Calibri" w:hAnsi="Calibri" w:cs="Calibri"/>
          <w:b/>
          <w:bCs/>
        </w:rPr>
        <w:t>Impact on Postmarking Timing</w:t>
      </w:r>
      <w:r w:rsidRPr="00DD7BD1">
        <w:rPr>
          <w:rFonts w:ascii="Calibri" w:hAnsi="Calibri" w:cs="Calibri"/>
        </w:rPr>
        <w:t> The rule clarifies that the date displayed on a machine-applied postmark represents the "date of the first automated processing operation" performed at a processing facility, rather than the date the mail was dropped off.</w:t>
      </w:r>
    </w:p>
    <w:p w14:paraId="53637665" w14:textId="10BF52C3" w:rsidR="005B033C" w:rsidRPr="00DD7BD1" w:rsidRDefault="005B033C" w:rsidP="00EA4EA1">
      <w:pPr>
        <w:numPr>
          <w:ilvl w:val="0"/>
          <w:numId w:val="280"/>
        </w:numPr>
        <w:spacing w:after="0" w:line="240" w:lineRule="auto"/>
        <w:rPr>
          <w:rFonts w:ascii="Calibri" w:hAnsi="Calibri" w:cs="Calibri"/>
        </w:rPr>
      </w:pPr>
      <w:r w:rsidRPr="00DD7BD1">
        <w:rPr>
          <w:rFonts w:ascii="Calibri" w:hAnsi="Calibri" w:cs="Calibri"/>
          <w:b/>
          <w:bCs/>
        </w:rPr>
        <w:t>Potential Delays:</w:t>
      </w:r>
      <w:r w:rsidRPr="00DD7BD1">
        <w:rPr>
          <w:rFonts w:ascii="Calibri" w:hAnsi="Calibri" w:cs="Calibri"/>
        </w:rPr>
        <w:t> Because most postmarks are applied at processing facilities, the date inscribed may be later than the date the mail piece was first accepted by the USPS. This discrepancy is expected to become more common due to the implementation of the "Regional Transportation Optimization" (RTO) initiative and the adoption of "leg-based" service standards.</w:t>
      </w:r>
    </w:p>
    <w:p w14:paraId="2B2E1AF1" w14:textId="15E4507F" w:rsidR="00EA4EA1" w:rsidRPr="00DD7BD1" w:rsidRDefault="005B033C" w:rsidP="005B033C">
      <w:pPr>
        <w:numPr>
          <w:ilvl w:val="0"/>
          <w:numId w:val="280"/>
        </w:numPr>
        <w:spacing w:after="0" w:line="240" w:lineRule="auto"/>
        <w:rPr>
          <w:rFonts w:ascii="Calibri" w:hAnsi="Calibri" w:cs="Calibri"/>
        </w:rPr>
      </w:pPr>
      <w:r w:rsidRPr="00DD7BD1">
        <w:rPr>
          <w:rFonts w:ascii="Calibri" w:hAnsi="Calibri" w:cs="Calibri"/>
          <w:b/>
          <w:bCs/>
        </w:rPr>
        <w:t>Operational Reality:</w:t>
      </w:r>
      <w:r w:rsidRPr="00DD7BD1">
        <w:rPr>
          <w:rFonts w:ascii="Calibri" w:hAnsi="Calibri" w:cs="Calibri"/>
        </w:rPr>
        <w:t> The rule codifies the operational reality that postmarking operations often cross calendar days or occur after transportation from a retail unit, </w:t>
      </w:r>
      <w:r w:rsidRPr="00DD7BD1">
        <w:rPr>
          <w:rFonts w:ascii="Calibri" w:hAnsi="Calibri" w:cs="Calibri"/>
          <w:b/>
          <w:bCs/>
        </w:rPr>
        <w:t>meaning the postmark date is not a "perfectly reliable indicator" of the date of mailing.</w:t>
      </w:r>
    </w:p>
    <w:p w14:paraId="105DD0A4" w14:textId="1F200A0B" w:rsidR="005B033C" w:rsidRPr="00DD7BD1" w:rsidRDefault="005B033C" w:rsidP="005B033C">
      <w:pPr>
        <w:rPr>
          <w:rFonts w:ascii="Calibri" w:hAnsi="Calibri" w:cs="Calibri"/>
        </w:rPr>
      </w:pPr>
      <w:r w:rsidRPr="00DD7BD1">
        <w:rPr>
          <w:rFonts w:ascii="Calibri" w:hAnsi="Calibri" w:cs="Calibri"/>
          <w:b/>
          <w:bCs/>
        </w:rPr>
        <w:t>Ensuring a Postmark on the Date of Delivery</w:t>
      </w:r>
      <w:r w:rsidRPr="00DD7BD1">
        <w:rPr>
          <w:rFonts w:ascii="Calibri" w:hAnsi="Calibri" w:cs="Calibri"/>
        </w:rPr>
        <w:t> To assure a postmark is applied on the same day a document is delivered to the USPS, individuals must utilize specific retail services. The final rule outlines the following methods:</w:t>
      </w:r>
    </w:p>
    <w:p w14:paraId="7A19EE6E"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Request a Manual Postmark:</w:t>
      </w:r>
      <w:r w:rsidRPr="00DD7BD1">
        <w:rPr>
          <w:rFonts w:ascii="Calibri" w:hAnsi="Calibri" w:cs="Calibri"/>
        </w:rPr>
        <w:t> Customers may present a mail piece at a retail counter and request a "manual (local) postmark". This postmark is applied at the time of acceptance, so the date aligns with the date the USPS took possession.</w:t>
      </w:r>
    </w:p>
    <w:p w14:paraId="4FDCDD68"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Postage Validation Imprint (PVI):</w:t>
      </w:r>
      <w:r w:rsidRPr="00DD7BD1">
        <w:rPr>
          <w:rFonts w:ascii="Calibri" w:hAnsi="Calibri" w:cs="Calibri"/>
        </w:rPr>
        <w:t> When a customer pays for postage at a retail counter, the PVI label applied by the employee also indicates the date of acceptance.</w:t>
      </w:r>
    </w:p>
    <w:p w14:paraId="6726CAE7"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Certificates of Mailing:</w:t>
      </w:r>
      <w:r w:rsidRPr="00DD7BD1">
        <w:rPr>
          <w:rFonts w:ascii="Calibri" w:hAnsi="Calibri" w:cs="Calibri"/>
        </w:rPr>
        <w:t> Customers may purchase a Certificate of Mailing, or use Registered or Certified Mail, to obtain a receipt that serves as evidence of the date the item was presented for mailing.</w:t>
      </w:r>
    </w:p>
    <w:p w14:paraId="5642DDE1"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color w:val="C00000"/>
          <w:kern w:val="0"/>
          <w:sz w:val="22"/>
          <w:szCs w:val="22"/>
        </w:rPr>
      </w:pPr>
    </w:p>
    <w:p w14:paraId="5E46D209" w14:textId="1BD57C1C" w:rsidR="005B033C" w:rsidRPr="00DD7BD1" w:rsidRDefault="005B033C" w:rsidP="00EA4EA1">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2026 Federal EEO Trends</w:t>
      </w:r>
    </w:p>
    <w:p w14:paraId="5DF4802E"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Equal Employment Opportunity Commission (EEOC), other federal agencies and the executive branch have significantly shifted their priorities.</w:t>
      </w:r>
    </w:p>
    <w:p w14:paraId="07E6478C"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16"/>
          <w:szCs w:val="16"/>
        </w:rPr>
      </w:pPr>
    </w:p>
    <w:p w14:paraId="28536961" w14:textId="77777777" w:rsidR="005B033C" w:rsidRPr="00DD7BD1" w:rsidRDefault="005B033C" w:rsidP="005B033C">
      <w:pPr>
        <w:pStyle w:val="BodyText"/>
        <w:rPr>
          <w:rFonts w:cs="Calibri"/>
          <w:color w:val="auto"/>
          <w:szCs w:val="22"/>
        </w:rPr>
      </w:pPr>
      <w:r w:rsidRPr="00DD7BD1">
        <w:rPr>
          <w:rFonts w:cs="Calibri"/>
          <w:color w:val="auto"/>
          <w:szCs w:val="22"/>
        </w:rPr>
        <w:t>Employers can expect these changes in federal equal employment opportunity (EEO) trends to both continue and accelerate throughout 2026. In 2026, employers can expect to see the EEOC prioritize the following issues:</w:t>
      </w:r>
    </w:p>
    <w:p w14:paraId="22FE6576"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Diversity, equity and inclusion (DEI) motivated race and sex discrimination;</w:t>
      </w:r>
    </w:p>
    <w:p w14:paraId="148734B0"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Reverse discrimination;</w:t>
      </w:r>
    </w:p>
    <w:p w14:paraId="21FD0F18"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Sex discrimination (including a shift away from protections for sexual orientation and gender identity);</w:t>
      </w:r>
    </w:p>
    <w:p w14:paraId="0438C651"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Pregnancy discrimination and accommodations;</w:t>
      </w:r>
    </w:p>
    <w:p w14:paraId="111CC68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National origin discrimination, with a particular focus on anti-American bias; and</w:t>
      </w:r>
    </w:p>
    <w:p w14:paraId="17F9E0BF"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discrimination.</w:t>
      </w:r>
    </w:p>
    <w:p w14:paraId="682FCAD6"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In addition, in October 2025, the EEOC restored its quorum, so employers may anticipate increased rulemaking and guidance throughout 2026.</w:t>
      </w:r>
    </w:p>
    <w:p w14:paraId="0C857094" w14:textId="77777777" w:rsidR="005B033C" w:rsidRPr="00DD7BD1" w:rsidRDefault="005B033C" w:rsidP="005B033C">
      <w:pPr>
        <w:pStyle w:val="BodyText"/>
        <w:spacing w:after="0" w:line="240" w:lineRule="auto"/>
        <w:ind w:right="270"/>
        <w:rPr>
          <w:rFonts w:cs="Calibri"/>
          <w:color w:val="auto"/>
          <w:szCs w:val="22"/>
        </w:rPr>
      </w:pPr>
    </w:p>
    <w:p w14:paraId="763C8267" w14:textId="04D5418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Executive Order Restricting State Regulations of Artificial Intelligence</w:t>
      </w:r>
    </w:p>
    <w:p w14:paraId="0A63A2CE" w14:textId="77777777" w:rsidR="005B033C" w:rsidRPr="00DD7BD1" w:rsidRDefault="005B033C" w:rsidP="005B033C">
      <w:pPr>
        <w:rPr>
          <w:rFonts w:ascii="Calibri" w:hAnsi="Calibri" w:cs="Calibri"/>
        </w:rPr>
      </w:pPr>
      <w:r w:rsidRPr="00DD7BD1">
        <w:rPr>
          <w:rFonts w:ascii="Calibri" w:hAnsi="Calibri" w:cs="Calibri"/>
        </w:rPr>
        <w:t xml:space="preserve">Recently, a number of states have passed legislation to regulate the use and development of AI, including the use of AI in employment decision-making. For example, California, Illinois, Texas and Colorado have enacted laws restricting the use of AI that results in discrimination based on an employee’s protected trait. Further, Congress recently attempted but failed to pass legislation that would ban states from enacting AI regulations.  On Dec. 11, 2025, President Donald Trump issued an executive order (EO) titled </w:t>
      </w:r>
      <w:hyperlink r:id="rId223" w:history="1">
        <w:r w:rsidRPr="00DD7BD1">
          <w:rPr>
            <w:rStyle w:val="Hyperlink"/>
            <w:rFonts w:ascii="Calibri" w:hAnsi="Calibri" w:cs="Calibri"/>
          </w:rPr>
          <w:t>Ensuring a National Policy Framework for Artificial Intelligence</w:t>
        </w:r>
      </w:hyperlink>
      <w:r w:rsidRPr="00DD7BD1">
        <w:rPr>
          <w:rFonts w:ascii="Calibri" w:hAnsi="Calibri" w:cs="Calibri"/>
        </w:rPr>
        <w:t xml:space="preserve">. The EO aims to restrict states from implementing their own laws and regulations regarding the use and development of artificial intelligence (AI). </w:t>
      </w:r>
    </w:p>
    <w:p w14:paraId="2B697634" w14:textId="77777777" w:rsidR="005B033C" w:rsidRPr="00DD7BD1" w:rsidRDefault="005B033C" w:rsidP="005B033C">
      <w:pPr>
        <w:pStyle w:val="Heading2"/>
        <w:spacing w:before="0"/>
        <w:rPr>
          <w:rFonts w:ascii="Calibri" w:hAnsi="Calibri" w:cs="Calibri"/>
          <w:sz w:val="12"/>
          <w:szCs w:val="12"/>
        </w:rPr>
      </w:pPr>
    </w:p>
    <w:p w14:paraId="07E879AB" w14:textId="77777777" w:rsidR="005B033C" w:rsidRPr="00DD7BD1" w:rsidRDefault="005B033C" w:rsidP="005B033C">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EO Highlights</w:t>
      </w:r>
    </w:p>
    <w:p w14:paraId="7C904140" w14:textId="77777777" w:rsidR="005B033C" w:rsidRPr="00DD7BD1" w:rsidRDefault="005B033C" w:rsidP="005B033C">
      <w:pPr>
        <w:rPr>
          <w:rFonts w:ascii="Calibri" w:hAnsi="Calibri" w:cs="Calibri"/>
        </w:rPr>
      </w:pPr>
      <w:r w:rsidRPr="00DD7BD1">
        <w:rPr>
          <w:rFonts w:ascii="Calibri" w:hAnsi="Calibri" w:cs="Calibri"/>
        </w:rPr>
        <w:t>The EO argues that excessive state regulation restricts AI innovation, makes compliance more challenging, embeds ideological bias within AI models and impinges on interstate commerce. The Trump EO states its policy of global AI dominance through a minimally burdensome national standard. To achieve this, the EO calls for:</w:t>
      </w:r>
    </w:p>
    <w:p w14:paraId="452433E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establishment of an AI Litigation Task Force within 30 days of the EO to challenge state AI laws inconsistent with such policy; </w:t>
      </w:r>
    </w:p>
    <w:p w14:paraId="18E8F8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secretary of Commerce, within 90 days of the EO, to publish an evaluation of state laws in conflict with such policy;</w:t>
      </w:r>
    </w:p>
    <w:p w14:paraId="3C9A7A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secretary of Commerce, within 90 days of the EO, to issue a policy notice specifying the conditions under which states are eligible for funding under the Broadband Equity Access and Development Program and to stop funding to states with onerous AI laws;</w:t>
      </w:r>
    </w:p>
    <w:p w14:paraId="0D62B073"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Federal Communications Commission, within 90 days of the secretary of Commerce’s publication of its state law evaluation, to determine whether to adopt a federal reporting and disclosure standard for AI models that preempts state laws;</w:t>
      </w:r>
    </w:p>
    <w:p w14:paraId="1E17E9D2"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Federal Trade Commission, within 90 days of the EO, to issue a statement explaining when state laws requiring alterations to truthful AI outputs are preempted by the ban on deceptive acts or practices affecting commerce; and</w:t>
      </w:r>
    </w:p>
    <w:p w14:paraId="1671E00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A recommendation for federal AI legislation that preempts conflicting state AI laws.</w:t>
      </w:r>
    </w:p>
    <w:p w14:paraId="29AD267F" w14:textId="77777777" w:rsidR="005B033C" w:rsidRPr="00DD7BD1" w:rsidRDefault="005B033C" w:rsidP="005B033C">
      <w:pPr>
        <w:rPr>
          <w:rFonts w:ascii="Calibri" w:hAnsi="Calibri" w:cs="Calibri"/>
          <w:sz w:val="12"/>
          <w:szCs w:val="12"/>
        </w:rPr>
      </w:pPr>
    </w:p>
    <w:p w14:paraId="13DB58CC" w14:textId="73243465" w:rsidR="005B033C" w:rsidRPr="00DD7BD1" w:rsidRDefault="005B033C" w:rsidP="004E0ED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particularly those in states with laws regulating AI in the workplace, should prepare for uncertainty following the EO. The EO is likely to face legal challenges by states with existing AI legislation who may argue that the EO is an infringement on states’ rights. Therefore, employers should monitor the status of applicable state AI laws and further federal actions. </w:t>
      </w:r>
    </w:p>
    <w:p w14:paraId="60EA39FD" w14:textId="5F19DDA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Employment Policies to Review Ahead of 2026</w:t>
      </w:r>
    </w:p>
    <w:p w14:paraId="14BF7B60"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Employee handbooks serve as a foundational tool for shaping workplace culture, guiding employee behavior and safeguarding organizations against legal exposure. Yet too often, employers overlook the importance of keeping employment policies current.</w:t>
      </w:r>
    </w:p>
    <w:p w14:paraId="10ECCAE6" w14:textId="77777777" w:rsidR="005B033C" w:rsidRPr="00DD7BD1" w:rsidRDefault="005B033C" w:rsidP="005B033C">
      <w:pPr>
        <w:pStyle w:val="BodyText"/>
        <w:spacing w:after="0" w:line="240" w:lineRule="auto"/>
        <w:ind w:right="270"/>
        <w:rPr>
          <w:rFonts w:cs="Calibri"/>
          <w:color w:val="auto"/>
          <w:sz w:val="16"/>
          <w:szCs w:val="16"/>
        </w:rPr>
      </w:pPr>
    </w:p>
    <w:p w14:paraId="673095CC" w14:textId="77777777" w:rsidR="005B033C" w:rsidRPr="00DD7BD1" w:rsidRDefault="005B033C" w:rsidP="005B033C">
      <w:pPr>
        <w:pStyle w:val="BodyText"/>
        <w:ind w:right="270"/>
        <w:rPr>
          <w:rFonts w:cs="Calibri"/>
          <w:color w:val="auto"/>
          <w:szCs w:val="22"/>
        </w:rPr>
      </w:pPr>
      <w:r w:rsidRPr="00DD7BD1">
        <w:rPr>
          <w:rFonts w:cs="Calibri"/>
          <w:color w:val="auto"/>
          <w:szCs w:val="22"/>
        </w:rPr>
        <w:t xml:space="preserve">When employee handbooks are not regularly reviewed and updated, organizations can face increased exposure to legal risks and liabilities. In today’s rapidly evolving environment, where complex employment laws are constantly changing, employers must stay informed about regulatory developments that may impact their operations. The start of the year presents an opportune time for employers to review and update their policies to ensure compliance and mitigate potential risks. Important legal developments in 2025 include: </w:t>
      </w:r>
    </w:p>
    <w:p w14:paraId="4DEF8E72"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Employee leave laws;</w:t>
      </w:r>
    </w:p>
    <w:p w14:paraId="7A38955C"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Pay transparency;</w:t>
      </w:r>
    </w:p>
    <w:p w14:paraId="67C6E4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Captive audience bans;</w:t>
      </w:r>
    </w:p>
    <w:p w14:paraId="543818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Increased reverse discrimination claims;</w:t>
      </w:r>
    </w:p>
    <w:p w14:paraId="070FD957"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accommodations;</w:t>
      </w:r>
    </w:p>
    <w:p w14:paraId="061189F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Artificial intelligence (AI) legislation; and</w:t>
      </w:r>
    </w:p>
    <w:p w14:paraId="69E78F44"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See attached resource to read more.</w:t>
      </w:r>
    </w:p>
    <w:p w14:paraId="7370142B" w14:textId="77777777" w:rsidR="005B033C" w:rsidRPr="00DD7BD1" w:rsidRDefault="005B033C" w:rsidP="005B033C">
      <w:pPr>
        <w:pStyle w:val="BodyText"/>
        <w:spacing w:after="0" w:line="240" w:lineRule="auto"/>
        <w:ind w:right="270"/>
        <w:rPr>
          <w:rFonts w:cs="Calibri"/>
          <w:color w:val="auto"/>
          <w:szCs w:val="22"/>
        </w:rPr>
      </w:pPr>
    </w:p>
    <w:p w14:paraId="2DC2A81D" w14:textId="7EEA28A2" w:rsidR="005B033C" w:rsidRPr="00DD7BD1" w:rsidRDefault="005B033C" w:rsidP="005B033C">
      <w:pPr>
        <w:pStyle w:val="BodyText"/>
        <w:spacing w:line="240" w:lineRule="auto"/>
        <w:ind w:right="270"/>
        <w:jc w:val="center"/>
        <w:rPr>
          <w:rFonts w:eastAsiaTheme="minorHAnsi" w:cs="Calibri"/>
          <w:b/>
          <w:bCs/>
          <w:color w:val="auto"/>
          <w:sz w:val="28"/>
          <w:szCs w:val="28"/>
        </w:rPr>
      </w:pPr>
      <w:r w:rsidRPr="00DD7BD1">
        <w:rPr>
          <w:rFonts w:eastAsiaTheme="minorHAnsi" w:cs="Calibri"/>
          <w:b/>
          <w:bCs/>
          <w:color w:val="auto"/>
          <w:sz w:val="28"/>
          <w:szCs w:val="28"/>
        </w:rPr>
        <w:t>2026 Has 27 Bi-Weekly Pay Periods: What That Means for Employers</w:t>
      </w:r>
    </w:p>
    <w:p w14:paraId="1FB828FE"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In 2026, employers with bi-weekly payroll schedules will encounter a 27-pay-period year. Advance planning can help avoid unintended payroll and budgeting impacts.</w:t>
      </w:r>
    </w:p>
    <w:p w14:paraId="7709648C"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What Is the Issue?</w:t>
      </w:r>
    </w:p>
    <w:p w14:paraId="3E634B9E"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 xml:space="preserve">An employee with an annual salary is automatically and regularly paid 1/26th of that annual salary on a bi-weekly payroll (52 divided by 2). In a year with 27 bi-weekly pay periods, that same structure can result in an additional payment and therefore a higher annual salary. This is lawful. The question for employers, however, is whether that additional payroll expense is accounted for in the company budget. If not, and you want options, access a recent blog post published by Greenberg Glusker Fields Claman &amp; Machtinger LLP  </w:t>
      </w:r>
      <w:hyperlink r:id="rId224" w:history="1">
        <w:r w:rsidRPr="00DD7BD1">
          <w:rPr>
            <w:rStyle w:val="Hyperlink"/>
            <w:rFonts w:cs="Calibri"/>
            <w:szCs w:val="22"/>
          </w:rPr>
          <w:t>HERE</w:t>
        </w:r>
      </w:hyperlink>
    </w:p>
    <w:p w14:paraId="0258B083" w14:textId="77777777" w:rsidR="005B033C" w:rsidRPr="00DD7BD1" w:rsidRDefault="005B033C" w:rsidP="005B033C">
      <w:pPr>
        <w:pStyle w:val="BodyText"/>
        <w:spacing w:after="0" w:line="240" w:lineRule="auto"/>
        <w:ind w:right="270"/>
        <w:rPr>
          <w:rFonts w:cs="Calibri"/>
          <w:color w:val="auto"/>
          <w:szCs w:val="22"/>
        </w:rPr>
      </w:pPr>
    </w:p>
    <w:p w14:paraId="1F784957" w14:textId="69B42FFB"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Annual Gag Clause Attestation –</w:t>
      </w:r>
      <w:r w:rsidRPr="00DD7BD1">
        <w:rPr>
          <w:rFonts w:ascii="Calibri" w:eastAsiaTheme="minorHAnsi" w:hAnsi="Calibri" w:cs="Calibri"/>
          <w:color w:val="C00000"/>
          <w:kern w:val="0"/>
          <w:sz w:val="28"/>
          <w:szCs w:val="28"/>
        </w:rPr>
        <w:t xml:space="preserve"> Filing Deadline Dec 31, 2025</w:t>
      </w:r>
    </w:p>
    <w:p w14:paraId="64A2477A"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Group health plans and health insurance issuers offering group or individual health insurance coverage must annually submit a Gag Clause Prohibition Compliance Attestation (GCPCA) to the Department of Health and Human Services (HHS), which is collecting the attestations on behalf of the Departments of Labor, HHS, and the Treasury (the Departments).</w:t>
      </w:r>
    </w:p>
    <w:p w14:paraId="409CFEFE"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12"/>
          <w:szCs w:val="12"/>
        </w:rPr>
      </w:pP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B033C" w:rsidRPr="00DD7BD1" w14:paraId="3F05A5FE"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302F790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61EF30C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Which entities are required to submit a Gag Clause Prohibition Compliance Attestation?</w:t>
                  </w:r>
                </w:p>
              </w:tc>
            </w:tr>
          </w:tbl>
          <w:p w14:paraId="284375A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6B3E1562"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6333521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56BDD3B2" w14:textId="77777777" w:rsidR="005B033C" w:rsidRPr="00DD7BD1" w:rsidRDefault="005B033C" w:rsidP="005B033C">
                  <w:pPr>
                    <w:pStyle w:val="Heading1"/>
                    <w:numPr>
                      <w:ilvl w:val="0"/>
                      <w:numId w:val="271"/>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group health insurance coverage;</w:t>
                  </w:r>
                </w:p>
                <w:p w14:paraId="4B6F2603" w14:textId="77777777" w:rsidR="005B033C" w:rsidRPr="00DD7BD1" w:rsidRDefault="005B033C" w:rsidP="005B033C">
                  <w:pPr>
                    <w:pStyle w:val="Heading1"/>
                    <w:numPr>
                      <w:ilvl w:val="0"/>
                      <w:numId w:val="272"/>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individual health insurance coverage, including student health insurance coverage and individual health insurance coverage issued through an association; and</w:t>
                  </w:r>
                </w:p>
                <w:p w14:paraId="02120C79" w14:textId="77777777" w:rsidR="005B033C" w:rsidRPr="00DD7BD1" w:rsidRDefault="005B033C" w:rsidP="005B033C">
                  <w:pPr>
                    <w:pStyle w:val="Heading1"/>
                    <w:numPr>
                      <w:ilvl w:val="0"/>
                      <w:numId w:val="273"/>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fully-insured and self-insured group health plans, including ERISA plans, non-Federal governmental plans and church plans subject to the Code.</w:t>
                  </w:r>
                </w:p>
                <w:p w14:paraId="09752719" w14:textId="77777777" w:rsidR="005B033C" w:rsidRPr="00DD7BD1" w:rsidRDefault="005B033C" w:rsidP="005B033C">
                  <w:pPr>
                    <w:pStyle w:val="Heading1"/>
                    <w:numPr>
                      <w:ilvl w:val="0"/>
                      <w:numId w:val="274"/>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 enforced against plans that consist solely of account based HRAs.  This includes individual coverage HRAs for which the issuer of the individual coverage will be required to submit the attestation. ICHRAs are exempt.</w:t>
                  </w:r>
                </w:p>
                <w:p w14:paraId="6E6992D8" w14:textId="77777777" w:rsidR="005B033C" w:rsidRPr="00DD7BD1" w:rsidRDefault="005B033C" w:rsidP="005B033C">
                  <w:pPr>
                    <w:pStyle w:val="Heading1"/>
                    <w:numPr>
                      <w:ilvl w:val="0"/>
                      <w:numId w:val="275"/>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Enforcement and penalties have not been defined outside of possible Plan Fiduciary and ERISA violations for noncompliance. Good faith relief ended in 2022.</w:t>
                  </w:r>
                </w:p>
              </w:tc>
            </w:tr>
          </w:tbl>
          <w:p w14:paraId="42E1CB3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2B71F2E6"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1C4857D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7C73BF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WHAT NOW?</w:t>
                  </w:r>
                </w:p>
                <w:p w14:paraId="4154A489" w14:textId="77777777" w:rsidR="005B033C" w:rsidRPr="00DD7BD1" w:rsidRDefault="005B033C" w:rsidP="005B033C">
                  <w:pPr>
                    <w:pStyle w:val="Heading1"/>
                    <w:numPr>
                      <w:ilvl w:val="0"/>
                      <w:numId w:val="276"/>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 aware of your carrier / TPA / PBM approaches and deadlines. EACH ISSUER and CARRIER IS DIFFERENT</w:t>
                  </w:r>
                </w:p>
                <w:p w14:paraId="6738F6E1" w14:textId="77777777" w:rsidR="005B033C" w:rsidRPr="00DD7BD1" w:rsidRDefault="005B033C" w:rsidP="005B033C">
                  <w:pPr>
                    <w:pStyle w:val="Heading1"/>
                    <w:numPr>
                      <w:ilvl w:val="0"/>
                      <w:numId w:val="277"/>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Confirm that your carrier / TPA / PBM contracts in effect for 2025 are in compliance through publicly distributed statements or in writing directly (client communications).</w:t>
                  </w:r>
                </w:p>
                <w:p w14:paraId="0F641126" w14:textId="77777777" w:rsidR="005B033C" w:rsidRPr="00DD7BD1" w:rsidRDefault="005B033C" w:rsidP="005B033C">
                  <w:pPr>
                    <w:pStyle w:val="Heading1"/>
                    <w:numPr>
                      <w:ilvl w:val="0"/>
                      <w:numId w:val="278"/>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Confirm if your carriers are going to submit the required Group Health Plan attestation on behalf of your Group Health plan in addition to their own attestation. </w:t>
                  </w:r>
                </w:p>
                <w:p w14:paraId="0CF29881" w14:textId="77777777" w:rsidR="005B033C" w:rsidRPr="00DD7BD1" w:rsidRDefault="005B033C" w:rsidP="00160731">
                  <w:pPr>
                    <w:pStyle w:val="Heading1"/>
                    <w:shd w:val="clear" w:color="auto" w:fill="FFFFFF"/>
                    <w:spacing w:before="0" w:beforeAutospacing="0" w:after="0" w:afterAutospacing="0"/>
                    <w:ind w:left="720"/>
                    <w:rPr>
                      <w:rFonts w:ascii="Calibri" w:eastAsiaTheme="minorHAnsi" w:hAnsi="Calibri" w:cs="Calibri"/>
                      <w:b w:val="0"/>
                      <w:bCs w:val="0"/>
                      <w:sz w:val="16"/>
                      <w:szCs w:val="16"/>
                    </w:rPr>
                  </w:pPr>
                </w:p>
                <w:p w14:paraId="51D13B18"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Look for or request communication from your Medical/PBM carriers asap.  </w:t>
                  </w:r>
                </w:p>
                <w:p w14:paraId="62D4E454"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Still unsure what is next? Contact your </w:t>
                  </w:r>
                  <w:r w:rsidRPr="00DD7BD1">
                    <w:rPr>
                      <w:rFonts w:ascii="Calibri" w:eastAsiaTheme="minorHAnsi" w:hAnsi="Calibri" w:cs="Calibri"/>
                      <w:b w:val="0"/>
                      <w:bCs w:val="0"/>
                      <w:sz w:val="22"/>
                      <w:szCs w:val="22"/>
                      <w:u w:val="single"/>
                    </w:rPr>
                    <w:t>Benefits Broker </w:t>
                  </w:r>
                  <w:r w:rsidRPr="00DD7BD1">
                    <w:rPr>
                      <w:rFonts w:ascii="Calibri" w:eastAsiaTheme="minorHAnsi" w:hAnsi="Calibri" w:cs="Calibri"/>
                      <w:b w:val="0"/>
                      <w:bCs w:val="0"/>
                      <w:sz w:val="22"/>
                      <w:szCs w:val="22"/>
                    </w:rPr>
                    <w:t>to learn more about this benefits-related obligation.</w:t>
                  </w:r>
                </w:p>
              </w:tc>
            </w:tr>
          </w:tbl>
          <w:p w14:paraId="1E5E871C"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bl>
    <w:p w14:paraId="37EF8E6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3F983C9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7480C427" w14:textId="5B7F5978" w:rsidR="00C54149" w:rsidRPr="00DD7BD1" w:rsidRDefault="00C54149"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November Alerts/Reminders:</w:t>
      </w:r>
    </w:p>
    <w:p w14:paraId="6B5CDE94" w14:textId="77777777" w:rsidR="0077371C" w:rsidRPr="00DD7BD1" w:rsidRDefault="0077371C" w:rsidP="0077371C">
      <w:pPr>
        <w:pStyle w:val="Heading1"/>
        <w:shd w:val="clear" w:color="auto" w:fill="FFFFFF"/>
        <w:spacing w:before="0" w:beforeAutospacing="0" w:after="0" w:afterAutospacing="0"/>
        <w:jc w:val="center"/>
        <w:rPr>
          <w:rFonts w:ascii="Calibri" w:eastAsiaTheme="minorHAnsi" w:hAnsi="Calibri" w:cs="Calibri"/>
          <w:color w:val="C00000"/>
          <w:sz w:val="28"/>
          <w:szCs w:val="28"/>
        </w:rPr>
      </w:pPr>
      <w:r w:rsidRPr="00DD7BD1">
        <w:rPr>
          <w:rFonts w:ascii="Calibri" w:eastAsiaTheme="minorHAnsi" w:hAnsi="Calibri" w:cs="Calibri"/>
          <w:sz w:val="28"/>
          <w:szCs w:val="28"/>
        </w:rPr>
        <w:t>Reducing Risk at Holiday Parties</w:t>
      </w:r>
    </w:p>
    <w:p w14:paraId="64D3C8CD"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Holiday parties offer a great opportunity to connect with coworkers and colleagues, and yet, everyone has heard stories of holiday parties gone bad. </w:t>
      </w:r>
    </w:p>
    <w:p w14:paraId="2BCB5630" w14:textId="77777777" w:rsidR="0077371C" w:rsidRPr="00DD7BD1" w:rsidRDefault="0077371C" w:rsidP="0077371C">
      <w:pPr>
        <w:pStyle w:val="Heading1"/>
        <w:shd w:val="clear" w:color="auto" w:fill="FFFFFF"/>
        <w:spacing w:before="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Employers should consider the risks of providing or permitting the consumption of alcohol. A party can be made safer by hiring professional bartenders who know how to spot and diplomatically cut off people who’ve had enough. Distributing drink tickets to limit consumption is another option, and offering free rides home for people who have overindulged is also another good idea to protect employees and the organization.</w:t>
      </w:r>
    </w:p>
    <w:p w14:paraId="32B630A0"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Event coordinators and vendors should ensure that intoxicated individuals aren’t served as employers could potentially be subject to liability if they allow employees to be overserved and there’s a car accident.  As mentioned, employees who are intoxicated shouldn’t be permitted to drive.  </w:t>
      </w:r>
    </w:p>
    <w:p w14:paraId="12744504"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11886A98"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Holiday parties may also increase the risk of harassment complaints, as the celebration and alcohol consumption tends to lower inhibitions. Be vigilant in investigating any claim of inappropriate harassment arising out of a holiday party. Additionally, managers should be reminded that if they see inappropriate behavior at a celebration, they have the same obligation to report and correct the issue.</w:t>
      </w:r>
    </w:p>
    <w:p w14:paraId="396E0F47"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4E4CEA43"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Attached is a Risk Mitigation Checklist which may be helpful.</w:t>
      </w:r>
    </w:p>
    <w:p w14:paraId="297E1742" w14:textId="77777777" w:rsidR="00CC3ABE" w:rsidRPr="00DD7BD1" w:rsidRDefault="00CC3ABE"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608DB36D" w14:textId="3C8C990F"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November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December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3729589B" w14:textId="77777777"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2"/>
          <w:szCs w:val="22"/>
        </w:rPr>
      </w:pPr>
    </w:p>
    <w:p w14:paraId="4838FD63" w14:textId="4C1E2C0C"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EEOC Releases Guidance on National Origin Discrimination and Anti-American Bias</w:t>
      </w:r>
    </w:p>
    <w:p w14:paraId="1AC1A840" w14:textId="308A7E5B" w:rsidR="00CC3ABE" w:rsidRPr="00DD7BD1" w:rsidRDefault="00CC3ABE" w:rsidP="00CC3ABE">
      <w:pPr>
        <w:rPr>
          <w:rFonts w:ascii="Calibri" w:hAnsi="Calibri" w:cs="Calibri"/>
        </w:rPr>
      </w:pPr>
      <w:r w:rsidRPr="00DD7BD1">
        <w:rPr>
          <w:rFonts w:ascii="Calibri" w:hAnsi="Calibri" w:cs="Calibri"/>
        </w:rPr>
        <w:t xml:space="preserve">On Nov. 19, 2025, the U.S. Equal Employment Opportunity Commission (EEOC) released new materials on national origin discrimination, including a technical assistance document, </w:t>
      </w:r>
      <w:hyperlink r:id="rId225" w:history="1">
        <w:r w:rsidRPr="00DD7BD1">
          <w:rPr>
            <w:rStyle w:val="Hyperlink"/>
            <w:rFonts w:ascii="Calibri" w:hAnsi="Calibri" w:cs="Calibri"/>
          </w:rPr>
          <w:t>Discrimination Against American Workers Is Against the Law</w:t>
        </w:r>
      </w:hyperlink>
      <w:r w:rsidRPr="00DD7BD1">
        <w:rPr>
          <w:rFonts w:ascii="Calibri" w:hAnsi="Calibri" w:cs="Calibri"/>
        </w:rPr>
        <w:t xml:space="preserve">, and updates to its national origin </w:t>
      </w:r>
      <w:hyperlink r:id="rId226" w:history="1">
        <w:r w:rsidRPr="00DD7BD1">
          <w:rPr>
            <w:rStyle w:val="Hyperlink"/>
            <w:rFonts w:ascii="Calibri" w:hAnsi="Calibri" w:cs="Calibri"/>
          </w:rPr>
          <w:t>webpage</w:t>
        </w:r>
      </w:hyperlink>
      <w:r w:rsidRPr="00DD7BD1">
        <w:rPr>
          <w:rFonts w:ascii="Calibri" w:hAnsi="Calibri" w:cs="Calibri"/>
        </w:rPr>
        <w:t xml:space="preserve">. The new materials reflect the EEOC’s efforts to combat national origin discrimination, with a focus on anti-American national origin bias. </w:t>
      </w:r>
    </w:p>
    <w:p w14:paraId="12607067" w14:textId="77777777" w:rsidR="00CC3ABE" w:rsidRPr="00DD7BD1" w:rsidRDefault="00CC3ABE" w:rsidP="00CC3AB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Overview of New Guidance</w:t>
      </w:r>
    </w:p>
    <w:p w14:paraId="503A9F9D" w14:textId="5B81A3E9" w:rsidR="00CC3ABE" w:rsidRPr="00DD7BD1" w:rsidRDefault="00CC3ABE" w:rsidP="002242FA">
      <w:pPr>
        <w:rPr>
          <w:rFonts w:ascii="Calibri" w:hAnsi="Calibri" w:cs="Calibri"/>
        </w:rPr>
      </w:pPr>
      <w:r w:rsidRPr="00DD7BD1">
        <w:rPr>
          <w:rFonts w:ascii="Calibri" w:hAnsi="Calibri" w:cs="Calibri"/>
        </w:rPr>
        <w:t>Title VII of the Civil Rights Act prohibits employers with 15 or more employees from discriminating against applicants and employees on the basis of their national origin. The EEOC technical guidance provides guidance specifically on national origin discrimination against American workers in favor of foreign workers. The guidance provides examples of discrimination against Americans in the workplace, including:</w:t>
      </w:r>
    </w:p>
    <w:p w14:paraId="474DD4AC" w14:textId="04F63115"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Discriminatory job advertisements</w:t>
      </w:r>
      <w:r w:rsidRPr="00DD7BD1">
        <w:rPr>
          <w:rFonts w:ascii="Calibri" w:hAnsi="Calibri" w:cs="Calibri"/>
        </w:rPr>
        <w:t>, including ads that say the employer prefers or requires applicants from a particular country or with a particular visa status;</w:t>
      </w:r>
    </w:p>
    <w:p w14:paraId="51305972" w14:textId="4724DA2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Disparate treatment</w:t>
      </w:r>
      <w:r w:rsidRPr="00DD7BD1">
        <w:rPr>
          <w:rFonts w:ascii="Calibri" w:hAnsi="Calibri" w:cs="Calibri"/>
        </w:rPr>
        <w:t>, including discrimination in the terms, conditions or privileges of employment, including but not limited to hiring, firing, job assignments, compensation, training, fringe benefits, promotion and demotion. Examples of disparate treatment include firing American workers who are on the “bench” between assignments at a higher rate than employees on guest visas or making it more difficult for applicants from one national origin to apply for positions;</w:t>
      </w:r>
    </w:p>
    <w:p w14:paraId="3E15838B" w14:textId="3B24D883"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 xml:space="preserve">Harassment </w:t>
      </w:r>
      <w:r w:rsidRPr="00DD7BD1">
        <w:rPr>
          <w:rFonts w:ascii="Calibri" w:hAnsi="Calibri" w:cs="Calibri"/>
        </w:rPr>
        <w:t>based on national origin, including unwelcome remarks or conduct based on national origin. Harassment is illegal when it results in an adverse change to a term, condition or privilege of employment, or is so frequent or severe as to be intimidating, hostile or abusive; and</w:t>
      </w:r>
    </w:p>
    <w:p w14:paraId="54EFB877" w14:textId="6C550A9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Retaliation</w:t>
      </w:r>
      <w:r w:rsidRPr="00DD7BD1">
        <w:rPr>
          <w:rFonts w:ascii="Calibri" w:hAnsi="Calibri" w:cs="Calibri"/>
        </w:rPr>
        <w:t xml:space="preserve"> by an employer because an individual engaged in protected activity, such as objecting to national origin discrimination, participating in an investigation or filing a charge.</w:t>
      </w:r>
    </w:p>
    <w:p w14:paraId="0B84800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further clarifies that Title VII’s protections apply across all terms and conditions of employment, including hiring, firing, job assignments, training, benefits, and layoffs. </w:t>
      </w:r>
      <w:r w:rsidRPr="00DD7BD1">
        <w:rPr>
          <w:rFonts w:ascii="Calibri" w:hAnsi="Calibri" w:cs="Calibri"/>
          <w:b w:val="0"/>
          <w:bCs w:val="0"/>
          <w:sz w:val="22"/>
          <w:szCs w:val="22"/>
        </w:rPr>
        <w:t>The guidance further states that business reasons, including customer or client preference, cost of labor or beliefs regarding the productivity of certain groups, do not excuse an employer’s decision to hire foreign workers over American workers.</w:t>
      </w:r>
    </w:p>
    <w:p w14:paraId="75305B5D"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5B2E024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Given the heightened scrutiny, employers are encouraged to review and update their policies, recruiting practices, compensation systems, and workplace conduct standards to ensure they do not favor workers of particular national origins or visa statuses.</w:t>
      </w:r>
    </w:p>
    <w:p w14:paraId="0F1A7BF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6129D95" w14:textId="4B17AB0E" w:rsidR="00CC3ABE" w:rsidRPr="00DD7BD1" w:rsidRDefault="00CC3ABE" w:rsidP="00CC3ABE">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Rhode Island and Massachusetts Have Special Laws Regarding Work on Holidays</w:t>
      </w:r>
    </w:p>
    <w:p w14:paraId="1334115B"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While many employers offer most or all federal holidays off work for their employees, federal law does not require private employers to provide days off for traditionally recognized holidays.  That said, some states have holiday regulatory requirements applicable to holidays. </w:t>
      </w:r>
    </w:p>
    <w:p w14:paraId="4F8A9AB0"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Specifically, Rhode Island requires premium pay at a rate of time and a half for most employees if they are required to work on New Year’s Day, Memorial Day, Juneteenth, Independence Day, Victory Day, Labor Day, Indigenous Peoples/Columbus Day, Veterans Day, Thanksgiving or Christmas. This holiday premium pay requirement does </w:t>
      </w:r>
      <w:r w:rsidRPr="00DD7BD1">
        <w:rPr>
          <w:rFonts w:ascii="Calibri" w:eastAsiaTheme="minorHAnsi" w:hAnsi="Calibri" w:cs="Calibri"/>
          <w:sz w:val="22"/>
          <w:szCs w:val="22"/>
        </w:rPr>
        <w:t xml:space="preserve">not </w:t>
      </w:r>
      <w:r w:rsidRPr="00DD7BD1">
        <w:rPr>
          <w:rFonts w:ascii="Calibri" w:eastAsiaTheme="minorHAnsi" w:hAnsi="Calibri" w:cs="Calibri"/>
          <w:b w:val="0"/>
          <w:bCs w:val="0"/>
          <w:sz w:val="22"/>
          <w:szCs w:val="22"/>
        </w:rPr>
        <w:t>apply to doctors, dentists, attorneys, accountants, supervisory employees, hotel and restaurant workers and a few other groups of employees.</w:t>
      </w:r>
    </w:p>
    <w:p w14:paraId="135D287C"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Massachusetts does not require premium pay, but its Blue Laws place restrictions on when employees can work on holidays. Retail workers are not allowed to work on Columbus Day (before noon), Veterans Day (before 1 pm), Thanksgiving, or Christmas unless the police have granted their employer a permit. Businesses can operate without a permit on New Year’s Day, Memorial Day, Juneteenth, Independence Day, Labor Day, Columbus Day (after noon), and Veterans Day (after 1 pm), but retail employees have the right to refuse to work on those dates. Businesses may operate without restriction on Martin Luther King Day, President’s Day, Evacuation Day, Patriots’ Day, and Bunker Hill Day. Manufacturers face similar restrictions under the Blue Laws, but their schedule is slightly different. No work without a permit is allowed on Memorial Day, Independence Day, Labor Day, Columbus Day (before noon), Veterans Day (before 1:00), Thanksgiving, and Christmas.</w:t>
      </w:r>
    </w:p>
    <w:p w14:paraId="77E6C8A7" w14:textId="77777777" w:rsidR="00CC3ABE" w:rsidRPr="00DD7BD1" w:rsidRDefault="00CC3ABE" w:rsidP="00CC3ABE">
      <w:pPr>
        <w:pStyle w:val="Heading1"/>
        <w:spacing w:before="0" w:beforeAutospacing="0" w:after="0" w:afterAutospacing="0"/>
        <w:jc w:val="center"/>
        <w:rPr>
          <w:rFonts w:ascii="Calibri" w:eastAsiaTheme="minorHAnsi" w:hAnsi="Calibri" w:cs="Calibri"/>
          <w:color w:val="C00000"/>
          <w:kern w:val="0"/>
          <w:sz w:val="22"/>
          <w:szCs w:val="22"/>
        </w:rPr>
      </w:pPr>
    </w:p>
    <w:p w14:paraId="6BACA3EE" w14:textId="77777777" w:rsidR="00CC3ABE" w:rsidRPr="00DD7BD1" w:rsidRDefault="00CC3ABE" w:rsidP="00CC3ABE">
      <w:pPr>
        <w:pStyle w:val="Heading1"/>
        <w:spacing w:before="0" w:beforeAutospacing="0" w:after="0" w:afterAutospacing="0"/>
        <w:jc w:val="center"/>
        <w:rPr>
          <w:rFonts w:ascii="Calibri" w:eastAsiaTheme="minorHAnsi" w:hAnsi="Calibri" w:cs="Calibri"/>
          <w:b w:val="0"/>
          <w:bCs w:val="0"/>
          <w:kern w:val="0"/>
          <w:sz w:val="22"/>
          <w:szCs w:val="22"/>
        </w:rPr>
      </w:pPr>
      <w:r w:rsidRPr="00DD7BD1">
        <w:rPr>
          <w:rFonts w:ascii="Calibri" w:eastAsiaTheme="minorHAnsi" w:hAnsi="Calibri" w:cs="Calibri"/>
          <w:kern w:val="0"/>
          <w:sz w:val="28"/>
          <w:szCs w:val="28"/>
        </w:rPr>
        <w:t>Update:  “One Big Beautiful Bill Act” (OBBBA) IRS Gives Employers Relief on 2025 Tip &amp; Overtime Reporting</w:t>
      </w:r>
    </w:p>
    <w:p w14:paraId="5919C5A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Since the enactment of the “One Big Beautiful Bill Act” (OBBBA) on July 4, 2025, employers have awaited guidance on recordkeeping and reporting obligations related to the law’s “no tax on tips” and “no tax on overtime” deductions. The IRS has now announced that, for the 2025 tax year, employers will not be penalized for not separately reporting tips or overtime pay on tax forms, giving organizations time to adjust to these significant changes. While this transition relief eases immediate compliance concerns, new reporting requirements will take effect in 2026, and employers should use this period to review payroll systems and recordkeeping practices. Employers are also encouraged to help employees claim available deductions by providing information about their tips and overtime and should stay alert for further IRS guidance as implementation continues.</w:t>
      </w:r>
    </w:p>
    <w:p w14:paraId="4CBFF8DF"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p>
    <w:p w14:paraId="7BBB6A1C"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Recap of the Tip and Overtime Deductions</w:t>
      </w:r>
    </w:p>
    <w:p w14:paraId="5FE2B1FA"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“no tax” term is a bit misleading. Both the “no tax on tips” and “no tax on overtime” provisions actually create limited income tax deductions for qualifying individuals, rather than making tips or overtime entirely tax-free. Importantly, these deductions do not affect the taxability of tips or overtime pay for Social Security and Medicare (FICA) taxes.</w:t>
      </w:r>
    </w:p>
    <w:p w14:paraId="16D29CC3"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discussed in our (Ackerman, LLP’s) earlier blog post </w:t>
      </w:r>
      <w:hyperlink r:id="rId227" w:tgtFrame="_blank"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the OBBBA introduced two new deductions for individuals, which also raise several compliance questions for employers:</w:t>
      </w:r>
    </w:p>
    <w:p w14:paraId="28D4AF9F"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Tips: Employees (and self-employed individuals) in occupations that “customarily and regularly” receive tips may claim an above-the-line deduction for up to $25,000 in “qualified tips” from their taxable income.</w:t>
      </w:r>
    </w:p>
    <w:p w14:paraId="026224E2"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Overtime: Workers may deduct up to $12,500 in “qualified overtime compensation” from their income subject to federal income tax ($25,000 for joint filers).</w:t>
      </w:r>
    </w:p>
    <w:p w14:paraId="0A2D9579"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OBBBA left several questions unanswered, including (1) how should employers account for and report a worker’s qualified tip amount; (2) which occupations qualify for the tip deduction; and (3) how should employers account for and report qualified overtime compensation? The IRS is working to address these uncertainties, which, if left unaddressed, have the potential to frustrate employers preparing for the 2026 tax season. Notably, the OBBBA allows employers to “approximate” the amount of “qualified overtime compensation” using a “reasonable method,” but further IRS guidance is still pending on what constitutes a “reasonable method.”</w:t>
      </w:r>
    </w:p>
    <w:p w14:paraId="11CBEC3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November 5, 2025, the IRS issued </w:t>
      </w:r>
      <w:hyperlink r:id="rId228" w:tgtFrame="_blank" w:history="1">
        <w:r w:rsidRPr="00DD7BD1">
          <w:rPr>
            <w:rStyle w:val="Hyperlink"/>
            <w:rFonts w:ascii="Calibri" w:eastAsiaTheme="minorHAnsi" w:hAnsi="Calibri" w:cs="Calibri"/>
            <w:b w:val="0"/>
            <w:bCs w:val="0"/>
            <w:sz w:val="22"/>
            <w:szCs w:val="22"/>
          </w:rPr>
          <w:t>Notice 2025-62</w:t>
        </w:r>
      </w:hyperlink>
      <w:r w:rsidRPr="00DD7BD1">
        <w:rPr>
          <w:rFonts w:ascii="Calibri" w:eastAsiaTheme="minorHAnsi" w:hAnsi="Calibri" w:cs="Calibri"/>
          <w:b w:val="0"/>
          <w:bCs w:val="0"/>
          <w:sz w:val="22"/>
          <w:szCs w:val="22"/>
        </w:rPr>
        <w:t>, providing penalty relief to employers for tax year 2025 relating to the new reporting requirements for qualified tips and qualified overtime compensation under the OBBBA. This means employers will not be penalized for failing to separately report qualified tips or the occupation of the workers receiving such tips, or for failing to report the total amount of qualified overtime compensation. In its </w:t>
      </w:r>
      <w:hyperlink r:id="rId229"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the IRS acknowledged that “employers and other payors may not currently have the information required to be reported under the [OBBBA], or the systems or procedures in place to be able to correctly file the additional information with the IRS, or SSA in the case of a Form W-2, and provide it to employees and other payees.”</w:t>
      </w:r>
    </w:p>
    <w:p w14:paraId="5732FA94"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encourages employers to provide employees, particularly those in tipped occupations, with their occupation codes and a separate accounting of cash tips, so employees can claim the deduction for qualified tips for tax year 2025. The IRS likewise encourages employers to provide employees with separate accountings of overtime compensation, so that they can claim the deduction for qualified overtime compensation for tax year 2025. Employers can make the information available to employees through an online portal, written statements, or (in the case of qualified overtime compensation) in box 14 of Form W-2.</w:t>
      </w:r>
    </w:p>
    <w:p w14:paraId="59C3D838"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Qualifying Occupations and Qualified Tips</w:t>
      </w:r>
    </w:p>
    <w:p w14:paraId="494AB369"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qualify for the “qualified tip” deduction under the OBBBA, a worker must be in an occupation that “customarily and regularly” receives tips and must receive qualified tips. On September 19, 2025, the IRS issued </w:t>
      </w:r>
      <w:hyperlink r:id="rId230" w:tgtFrame="_blank" w:history="1">
        <w:r w:rsidRPr="00DD7BD1">
          <w:rPr>
            <w:rStyle w:val="Hyperlink"/>
            <w:rFonts w:ascii="Calibri" w:eastAsiaTheme="minorHAnsi" w:hAnsi="Calibri" w:cs="Calibri"/>
            <w:b w:val="0"/>
            <w:bCs w:val="0"/>
            <w:sz w:val="22"/>
            <w:szCs w:val="22"/>
          </w:rPr>
          <w:t>proposed regulations</w:t>
        </w:r>
      </w:hyperlink>
      <w:r w:rsidRPr="00DD7BD1">
        <w:rPr>
          <w:rFonts w:ascii="Calibri" w:eastAsiaTheme="minorHAnsi" w:hAnsi="Calibri" w:cs="Calibri"/>
          <w:b w:val="0"/>
          <w:bCs w:val="0"/>
          <w:sz w:val="22"/>
          <w:szCs w:val="22"/>
        </w:rPr>
        <w:t> identifying nearly 70 occupations that qualify, grouped into eight categories: (1) beverage and food service; (2) entertainment and events; (3) hospitality and guest services; (4) home services; (5) personal services; (6) personal appearance and wellness; (7) recreation and instruction; and (8) transportation and delivery.</w:t>
      </w:r>
    </w:p>
    <w:p w14:paraId="51D19F88"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explained that the proposed list was drafted “based on a review of IRS data, legislative history, and survey data regarding tipped occupations and the presence of certain factors demonstrating that those occupations customarily and regularly received tips.” Notably, certain occupations, such as dishwashers, are included even though they do not typically interact with customers for purposes of the Fair Labor Standards Act (FLSA). The IRS explained that “certain occupations that may not involve direct interactions with customers should still be considered occupations that customarily and regularly received tips if employees in such occupations participated in tip-sharing arrangements such as tip pooling or tip-outs with employees who do interact with customers.” Employers should review the preliminary list to determine whether they have employees who meet the proposed definition of “occupations that customarily and regularly received tips.”</w:t>
      </w:r>
    </w:p>
    <w:p w14:paraId="71E1FCD2"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Other important limitations on the qualified tips provision include:</w:t>
      </w:r>
    </w:p>
    <w:p w14:paraId="05ACEB05" w14:textId="77777777" w:rsidR="00CC3ABE" w:rsidRPr="00DD7BD1" w:rsidRDefault="00CC3ABE" w:rsidP="00CC3ABE">
      <w:pPr>
        <w:pStyle w:val="Heading1"/>
        <w:numPr>
          <w:ilvl w:val="0"/>
          <w:numId w:val="264"/>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Voluntary Tips Only: “Qualified tips” must be paid voluntarily by the customer and not subject to negotiation. This means that qualified tips do not include automatic service charges (i.e., an automatic added service charge for large parties if there is no option for the customer to disregard or modify it).</w:t>
      </w:r>
    </w:p>
    <w:p w14:paraId="55C0D37D"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Illegal Activity Exclusion: Any amount received for illegal activity, prostitution services, or pornographic activity is not a qualified tip.</w:t>
      </w:r>
    </w:p>
    <w:p w14:paraId="617E56D9"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Income Phase-Out: The deduction phases out for taxpayers with modified adjusted gross income over $150,000 ($300,000 for joint filers).</w:t>
      </w:r>
    </w:p>
    <w:p w14:paraId="46D6A703"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Certain Service Business Excluded: Certain specified service trade or business activity is excluded from this provision. Those trades or businesses include: (a) performance of services in the fields of health, law, accounting, actuarial science, performing arts, consulting, athletics, financial services, brokerage services, or any trade or business where the principal asset of such trade or business is the reputation or skill of one or more of its employees or owners, or (b) those involving the performance of services that consist of investing and investment management, trading, or dealing in securities, partnership interests, or commodities.</w:t>
      </w:r>
    </w:p>
    <w:p w14:paraId="33D1F24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August 5, 2025, the IRS issued a </w:t>
      </w:r>
      <w:hyperlink r:id="rId231"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announcing that Forms W-2 and 1099 for tax year 2025 would not be updated to account for the changes implemented by the OBBBA. Thus, employers are to use the current Forms W-2 and 1099 for tax year 2025, which do not have separate boxes for reporting qualified tips or qualified overtime compensation. Employers should prepare to comply with updated reporting requirements for tax year 2026 and ensure adequate systems are in place to track this type of compensation starting on January 1.</w:t>
      </w:r>
    </w:p>
    <w:p w14:paraId="1849A0D6"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 fact, the IRS has already released a draft Form W-2 for tax year 2026, which is intended to address the new reporting requirements under the OBBBA for tipped and overtime workers. The draft Form W-2 includes a new Box 14b for employers to report the employee’s qualifying occupation (a “Treasury tipped occupation code”). The draft instructions direct employers to use Box 12 to report the employee’s “qualified tips” using code “TP” and “qualified overtime compensation” using code “TT.” The draft form is for informational purposes only and should not be used for tax year 2025, but it provides insight into future reporting requirements and can help employers plan system changes.</w:t>
      </w:r>
    </w:p>
    <w:p w14:paraId="5BABE6F1"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is expected to continue releasing guidance on the OBBBA requirements. In the meantime, employers should continue to maintain accurate records and plan ahead for new tracking and reporting requirements. While employers can avail themselves of the penalty relief in Notice 2025-62 for not reporting qualified tips or qualified overtime compensation on the relevant Forms W-2 and/or 1099 for tax year 2025 (as long as the forms are otherwise accurate, complete, and timely), employers should still make this information available to employees. Because not all tips or overtime may qualify, employers should review existing tip and overtime policies in light of the OBBBA and recent IRS guidance to determine applicability.</w:t>
      </w:r>
    </w:p>
    <w:p w14:paraId="6CC7840A"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-November 18, 2025 Blog Post Article published by Ackerman, LLP</w:t>
      </w:r>
    </w:p>
    <w:p w14:paraId="3D21615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p>
    <w:p w14:paraId="449FAA5C" w14:textId="2A0D1A16" w:rsidR="00CC3ABE" w:rsidRPr="00DD7BD1" w:rsidRDefault="00CC3ABE" w:rsidP="00CC3ABE">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BE3945" w:rsidRPr="00DD7BD1">
        <w:rPr>
          <w:rFonts w:ascii="Calibri" w:eastAsiaTheme="minorHAnsi" w:hAnsi="Calibri" w:cs="Calibri"/>
          <w:kern w:val="0"/>
          <w:sz w:val="28"/>
          <w:szCs w:val="28"/>
        </w:rPr>
        <w:t xml:space="preserve">Gag Clause Attestations </w:t>
      </w:r>
      <w:r w:rsidRPr="00DD7BD1">
        <w:rPr>
          <w:rFonts w:ascii="Calibri" w:eastAsiaTheme="minorHAnsi" w:hAnsi="Calibri" w:cs="Calibri"/>
          <w:kern w:val="0"/>
          <w:sz w:val="28"/>
          <w:szCs w:val="28"/>
        </w:rPr>
        <w:t xml:space="preserve">– Deadline </w:t>
      </w:r>
      <w:r w:rsidRPr="00DD7BD1">
        <w:rPr>
          <w:rFonts w:ascii="Calibri" w:eastAsiaTheme="minorHAnsi" w:hAnsi="Calibri" w:cs="Calibri"/>
          <w:color w:val="C00000"/>
          <w:kern w:val="0"/>
          <w:sz w:val="28"/>
          <w:szCs w:val="28"/>
        </w:rPr>
        <w:t>December 31, 2025</w:t>
      </w:r>
    </w:p>
    <w:p w14:paraId="3C5752E7" w14:textId="77777777" w:rsidR="00CC3ABE" w:rsidRPr="00DD7BD1" w:rsidRDefault="00CC3ABE" w:rsidP="00CC3ABE">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7F873039" w14:textId="77777777" w:rsidR="00C54149" w:rsidRPr="00DD7BD1" w:rsidRDefault="00C54149" w:rsidP="001558B8">
      <w:pPr>
        <w:pStyle w:val="BodyText"/>
        <w:spacing w:after="0" w:line="240" w:lineRule="auto"/>
        <w:ind w:right="274"/>
        <w:rPr>
          <w:rFonts w:eastAsiaTheme="minorHAnsi" w:cs="Calibri"/>
          <w:b/>
          <w:bCs/>
          <w:color w:val="auto"/>
          <w:kern w:val="36"/>
          <w:szCs w:val="22"/>
        </w:rPr>
      </w:pPr>
    </w:p>
    <w:p w14:paraId="6FB75F84" w14:textId="0AF1F66B" w:rsidR="00D326EC" w:rsidRPr="00DD7BD1" w:rsidRDefault="00D326EC"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October Alerts/Reminders:</w:t>
      </w:r>
    </w:p>
    <w:p w14:paraId="3BDC2F97" w14:textId="77777777"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DHS Ends Automatic Extension of Employment Authorization</w:t>
      </w:r>
    </w:p>
    <w:p w14:paraId="091A8DFF" w14:textId="77777777" w:rsidR="00D326EC" w:rsidRPr="00DD7BD1" w:rsidRDefault="00D326EC" w:rsidP="00D326EC">
      <w:pPr>
        <w:pStyle w:val="NormalWeb"/>
        <w:spacing w:before="0" w:beforeAutospacing="0" w:after="0" w:afterAutospacing="0"/>
        <w:rPr>
          <w:rFonts w:ascii="Calibri" w:hAnsi="Calibri" w:cs="Calibri"/>
          <w:sz w:val="22"/>
          <w:szCs w:val="22"/>
        </w:rPr>
      </w:pPr>
      <w:bookmarkStart w:id="5" w:name="m_8429637592762638778_m_-580922486091443"/>
      <w:bookmarkEnd w:id="5"/>
      <w:r w:rsidRPr="00DD7BD1">
        <w:rPr>
          <w:rFonts w:ascii="Calibri" w:hAnsi="Calibri" w:cs="Calibri"/>
          <w:sz w:val="22"/>
          <w:szCs w:val="22"/>
        </w:rPr>
        <w:t>The Department of Homeland Security has announced an </w:t>
      </w:r>
      <w:hyperlink r:id="rId232" w:tgtFrame="_blank" w:history="1">
        <w:r w:rsidRPr="00DD7BD1">
          <w:rPr>
            <w:rStyle w:val="Hyperlink"/>
            <w:rFonts w:ascii="Calibri" w:hAnsi="Calibri" w:cs="Calibri"/>
            <w:color w:val="1155CC"/>
            <w:sz w:val="22"/>
            <w:szCs w:val="22"/>
          </w:rPr>
          <w:t>interim final rule</w:t>
        </w:r>
      </w:hyperlink>
      <w:r w:rsidRPr="00DD7BD1">
        <w:rPr>
          <w:rFonts w:ascii="Calibri" w:hAnsi="Calibri" w:cs="Calibri"/>
          <w:color w:val="222222"/>
          <w:sz w:val="22"/>
          <w:szCs w:val="22"/>
        </w:rPr>
        <w:t> </w:t>
      </w:r>
      <w:r w:rsidRPr="00DD7BD1">
        <w:rPr>
          <w:rFonts w:ascii="Calibri" w:hAnsi="Calibri" w:cs="Calibri"/>
          <w:sz w:val="22"/>
          <w:szCs w:val="22"/>
        </w:rPr>
        <w:t>ending the practice of automatically extending employment authorization documents for aliens filing renewal applications in certain employment authorization categories. With this rule, DHS prioritizes the proper screening and vetting of aliens before extending the validity of their employment authorizations.</w:t>
      </w:r>
    </w:p>
    <w:p w14:paraId="5AC636D1"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0131DF3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Aliens who file to renew their EAD on or after Oct. 30, 2025, will no longer receive an automatic extension of their EAD. There are limited exceptions to this rule, including extensions provided by law or through a Federal Register notice for TPS-related 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714C50E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17C7F880"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6D94F208"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06160B34"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16B88BC1"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The interim final rule does not affect EADs automatically extended before Oct. 30, 2025.</w:t>
      </w:r>
    </w:p>
    <w:p w14:paraId="40D637FD" w14:textId="77777777" w:rsidR="00D326EC" w:rsidRPr="00DD7BD1" w:rsidRDefault="00D326EC" w:rsidP="00D326EC">
      <w:pPr>
        <w:pStyle w:val="Heading1"/>
        <w:shd w:val="clear" w:color="auto" w:fill="FFFFFF"/>
        <w:spacing w:before="0" w:beforeAutospacing="0" w:after="0" w:afterAutospacing="0"/>
        <w:rPr>
          <w:rFonts w:ascii="Calibri" w:hAnsi="Calibri" w:cs="Calibri"/>
          <w:color w:val="222222"/>
          <w:sz w:val="16"/>
          <w:szCs w:val="16"/>
        </w:rPr>
      </w:pPr>
    </w:p>
    <w:p w14:paraId="752ECCA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r w:rsidRPr="00DD7BD1">
        <w:rPr>
          <w:rFonts w:ascii="Calibri" w:hAnsi="Calibri" w:cs="Calibri"/>
          <w:color w:val="222222"/>
          <w:sz w:val="22"/>
          <w:szCs w:val="22"/>
        </w:rPr>
        <w:t>For more information on applications for employment authorization, visit USCIS’ </w:t>
      </w:r>
      <w:hyperlink r:id="rId233" w:tgtFrame="_blank" w:history="1">
        <w:r w:rsidRPr="00DD7BD1">
          <w:rPr>
            <w:rStyle w:val="Hyperlink"/>
            <w:rFonts w:ascii="Calibri" w:hAnsi="Calibri" w:cs="Calibri"/>
            <w:color w:val="1155CC"/>
            <w:sz w:val="22"/>
            <w:szCs w:val="22"/>
          </w:rPr>
          <w:t>Employment Authorization Document page</w:t>
        </w:r>
      </w:hyperlink>
      <w:r w:rsidRPr="00DD7BD1">
        <w:rPr>
          <w:rFonts w:ascii="Calibri" w:hAnsi="Calibri" w:cs="Calibri"/>
          <w:color w:val="222222"/>
          <w:sz w:val="22"/>
          <w:szCs w:val="22"/>
        </w:rPr>
        <w:t>.</w:t>
      </w:r>
    </w:p>
    <w:p w14:paraId="1F6F455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p>
    <w:p w14:paraId="0AC5014A" w14:textId="467A7C7D"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color w:val="C00000"/>
          <w:kern w:val="0"/>
          <w:sz w:val="28"/>
          <w:szCs w:val="28"/>
          <w:highlight w:val="magenta"/>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October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November 30,</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42CF3B11"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8"/>
          <w:szCs w:val="28"/>
        </w:rPr>
      </w:pPr>
    </w:p>
    <w:p w14:paraId="2319C415" w14:textId="7504223C" w:rsidR="00D326EC" w:rsidRPr="00DD7BD1" w:rsidRDefault="00D326EC" w:rsidP="00D326EC">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636C21" w:rsidRPr="00DD7BD1">
        <w:rPr>
          <w:rFonts w:ascii="Calibri" w:eastAsiaTheme="minorHAnsi" w:hAnsi="Calibri" w:cs="Calibri"/>
          <w:kern w:val="0"/>
          <w:sz w:val="28"/>
          <w:szCs w:val="28"/>
        </w:rPr>
        <w:t>Gag Clause Attestation</w:t>
      </w:r>
      <w:r w:rsidRPr="00DD7BD1">
        <w:rPr>
          <w:rFonts w:ascii="Calibri" w:eastAsiaTheme="minorHAnsi" w:hAnsi="Calibri" w:cs="Calibri"/>
          <w:kern w:val="0"/>
          <w:sz w:val="28"/>
          <w:szCs w:val="28"/>
        </w:rPr>
        <w:t xml:space="preserve"> – Deadline </w:t>
      </w:r>
      <w:r w:rsidRPr="00DD7BD1">
        <w:rPr>
          <w:rFonts w:ascii="Calibri" w:eastAsiaTheme="minorHAnsi" w:hAnsi="Calibri" w:cs="Calibri"/>
          <w:color w:val="C00000"/>
          <w:kern w:val="0"/>
          <w:sz w:val="28"/>
          <w:szCs w:val="28"/>
        </w:rPr>
        <w:t>December 31, 2025</w:t>
      </w:r>
    </w:p>
    <w:p w14:paraId="2E84295B" w14:textId="77777777" w:rsidR="00D326EC" w:rsidRPr="00DD7BD1" w:rsidRDefault="00D326EC" w:rsidP="00D326EC">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1F3345BA" w14:textId="77777777" w:rsidR="00D326EC" w:rsidRPr="00DD7BD1" w:rsidRDefault="00D326EC" w:rsidP="00D326EC">
      <w:pPr>
        <w:pStyle w:val="BodyText"/>
        <w:spacing w:after="0" w:line="240" w:lineRule="auto"/>
        <w:rPr>
          <w:rFonts w:cs="Calibri"/>
          <w:b/>
          <w:bCs/>
          <w:color w:val="000000" w:themeColor="text1"/>
          <w:szCs w:val="22"/>
        </w:rPr>
      </w:pPr>
    </w:p>
    <w:p w14:paraId="0D06B6DB"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The attestation requirement applies to fully insured and self-insured group health plans, including ERISA plans, nonfederal governmental plans and church plans. </w:t>
      </w:r>
    </w:p>
    <w:p w14:paraId="55A1B192" w14:textId="77777777" w:rsidR="00D326EC" w:rsidRPr="00DD7BD1" w:rsidRDefault="00D326EC" w:rsidP="00D326EC">
      <w:pPr>
        <w:pStyle w:val="BodyText"/>
        <w:spacing w:after="0" w:line="240" w:lineRule="auto"/>
        <w:rPr>
          <w:rFonts w:cs="Calibri"/>
          <w:color w:val="000000" w:themeColor="text1"/>
          <w:szCs w:val="22"/>
        </w:rPr>
      </w:pPr>
    </w:p>
    <w:p w14:paraId="372608DA"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492E72BB" w14:textId="77777777" w:rsidR="00D326EC" w:rsidRPr="00DD7BD1" w:rsidRDefault="00D326EC" w:rsidP="00D326EC">
      <w:pPr>
        <w:pStyle w:val="BodyText"/>
        <w:spacing w:after="0" w:line="240" w:lineRule="auto"/>
        <w:rPr>
          <w:rFonts w:cs="Calibri"/>
          <w:color w:val="000000" w:themeColor="text1"/>
          <w:szCs w:val="22"/>
        </w:rPr>
      </w:pPr>
    </w:p>
    <w:p w14:paraId="15F43A1E" w14:textId="77777777" w:rsidR="00D326EC" w:rsidRPr="00DD7BD1" w:rsidRDefault="00D326EC" w:rsidP="00D326EC">
      <w:pPr>
        <w:pStyle w:val="BodyText"/>
        <w:spacing w:after="0" w:line="240" w:lineRule="auto"/>
        <w:rPr>
          <w:rFonts w:cs="Calibri"/>
          <w:color w:val="000000" w:themeColor="text1"/>
        </w:rPr>
      </w:pPr>
      <w:bookmarkStart w:id="6" w:name="_Hlk212645441"/>
      <w:r w:rsidRPr="00DD7BD1">
        <w:rPr>
          <w:rFonts w:cs="Calibri"/>
          <w:color w:val="000000" w:themeColor="text1"/>
        </w:rPr>
        <w:t>Also, employers should review what actions they may need to take to comply with the gag clause attestation requirement. Employers with fully insured health plans do not need to provide an attestation if their plan’s issuer provides the attestation. Self-insured employers can enter into written agreements with their TPAs to provide the attestation, but the legal responsibility remains with the health plan. Self-insured employers may need to submit their own attestations if their TPA is unwilling to submit the attestation on their behalf</w:t>
      </w:r>
      <w:bookmarkEnd w:id="6"/>
    </w:p>
    <w:p w14:paraId="55663DA1" w14:textId="77777777" w:rsidR="00D326EC" w:rsidRPr="00DD7BD1" w:rsidRDefault="00D326EC" w:rsidP="00D326EC">
      <w:pPr>
        <w:pStyle w:val="BodyText"/>
        <w:spacing w:after="0" w:line="240" w:lineRule="auto"/>
        <w:rPr>
          <w:rFonts w:cs="Calibri"/>
          <w:color w:val="000000" w:themeColor="text1"/>
          <w:sz w:val="16"/>
          <w:szCs w:val="16"/>
        </w:rPr>
      </w:pPr>
    </w:p>
    <w:p w14:paraId="4E573430" w14:textId="77777777" w:rsidR="00D326EC" w:rsidRPr="00DD7BD1" w:rsidRDefault="00D326EC" w:rsidP="00D326EC">
      <w:pPr>
        <w:pStyle w:val="BodyText"/>
        <w:spacing w:after="0" w:line="240" w:lineRule="auto"/>
        <w:rPr>
          <w:rFonts w:cs="Calibri"/>
          <w:color w:val="000000" w:themeColor="text1"/>
        </w:rPr>
      </w:pPr>
      <w:r w:rsidRPr="00DD7BD1">
        <w:rPr>
          <w:rFonts w:cs="Calibri"/>
          <w:color w:val="000000" w:themeColor="text1"/>
        </w:rPr>
        <w:t xml:space="preserve">According to the Departments’ </w:t>
      </w:r>
      <w:hyperlink r:id="rId234" w:history="1">
        <w:r w:rsidRPr="00DD7BD1">
          <w:rPr>
            <w:rStyle w:val="Hyperlink"/>
            <w:rFonts w:eastAsiaTheme="majorEastAsia" w:cs="Calibri"/>
          </w:rPr>
          <w:t>FAQs</w:t>
        </w:r>
      </w:hyperlink>
      <w:r w:rsidRPr="00DD7BD1">
        <w:rPr>
          <w:rFonts w:cs="Calibri"/>
          <w:color w:val="000000" w:themeColor="text1"/>
        </w:rPr>
        <w:t xml:space="preserve">, health plans and issuers that do not submit their attestations by the deadline may be subject to enforcement action. Employers are encouraged to seek guidance from their </w:t>
      </w:r>
      <w:r w:rsidRPr="00DD7BD1">
        <w:rPr>
          <w:rFonts w:cs="Calibri"/>
          <w:bCs/>
          <w:color w:val="000000" w:themeColor="text1"/>
        </w:rPr>
        <w:t>Benefit Broker.</w:t>
      </w:r>
    </w:p>
    <w:p w14:paraId="0279E218"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18E35F3B" w14:textId="0F51FF1C" w:rsidR="00D326EC" w:rsidRPr="00DD7BD1" w:rsidRDefault="00D326EC" w:rsidP="00D326EC">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7" w:name="_Hlk213072095"/>
      <w:r w:rsidRPr="00DD7BD1">
        <w:rPr>
          <w:rFonts w:ascii="Calibri" w:eastAsiaTheme="minorHAnsi" w:hAnsi="Calibri" w:cs="Calibri"/>
          <w:kern w:val="0"/>
          <w:sz w:val="28"/>
          <w:szCs w:val="28"/>
        </w:rPr>
        <w:t>EEOC Increases Penalty for Violations of Notice-posting Requirements</w:t>
      </w:r>
    </w:p>
    <w:bookmarkEnd w:id="7"/>
    <w:p w14:paraId="65C909DD" w14:textId="77777777" w:rsidR="00D326EC" w:rsidRPr="00DD7BD1" w:rsidRDefault="00D326EC" w:rsidP="00D326EC">
      <w:pPr>
        <w:pStyle w:val="ParagraphBasic"/>
        <w:spacing w:after="0" w:line="240" w:lineRule="auto"/>
        <w:jc w:val="both"/>
        <w:rPr>
          <w:rFonts w:ascii="Calibri" w:hAnsi="Calibri" w:cs="Calibri"/>
        </w:rPr>
      </w:pPr>
      <w:r w:rsidRPr="00DD7BD1">
        <w:rPr>
          <w:rFonts w:ascii="Calibri" w:hAnsi="Calibri" w:cs="Calibri"/>
        </w:rPr>
        <w:t xml:space="preserve">On Sept. 30, 2025, the U.S. Equal Employment Opportunity Commission (EEOC) published a </w:t>
      </w:r>
      <w:hyperlink r:id="rId235" w:history="1">
        <w:r w:rsidRPr="00DD7BD1">
          <w:rPr>
            <w:rStyle w:val="Hyperlink"/>
            <w:rFonts w:ascii="Calibri" w:hAnsi="Calibri" w:cs="Calibri"/>
          </w:rPr>
          <w:t>final rule</w:t>
        </w:r>
      </w:hyperlink>
      <w:r w:rsidRPr="00DD7BD1">
        <w:rPr>
          <w:rFonts w:ascii="Calibri" w:hAnsi="Calibri" w:cs="Calibri"/>
        </w:rPr>
        <w:t xml:space="preserve"> increasing the maximum civil monetary penalty for violations of federal requirements for employers to post notices about fair employment laws in their employees’ workplaces. The new maximum penalty amount is </w:t>
      </w:r>
      <w:r w:rsidRPr="00DD7BD1">
        <w:rPr>
          <w:rFonts w:ascii="Calibri" w:hAnsi="Calibri" w:cs="Calibri"/>
          <w:b/>
          <w:bCs/>
        </w:rPr>
        <w:t>$698</w:t>
      </w:r>
      <w:r w:rsidRPr="00DD7BD1">
        <w:rPr>
          <w:rFonts w:ascii="Calibri" w:hAnsi="Calibri" w:cs="Calibri"/>
        </w:rPr>
        <w:t xml:space="preserve">, which is an increase from $680. </w:t>
      </w:r>
    </w:p>
    <w:p w14:paraId="6C8C534D" w14:textId="77777777" w:rsidR="00D326EC" w:rsidRPr="00DD7BD1" w:rsidRDefault="00D326EC" w:rsidP="00D326EC">
      <w:pPr>
        <w:pStyle w:val="ParagraphBasic"/>
        <w:spacing w:after="0" w:line="240" w:lineRule="auto"/>
        <w:rPr>
          <w:rFonts w:ascii="Calibri" w:hAnsi="Calibri" w:cs="Calibri"/>
          <w:sz w:val="16"/>
          <w:szCs w:val="16"/>
        </w:rPr>
      </w:pPr>
    </w:p>
    <w:p w14:paraId="5E64A004" w14:textId="77777777" w:rsidR="00D326EC" w:rsidRPr="00DD7BD1" w:rsidRDefault="00D326EC" w:rsidP="00D326EC">
      <w:pPr>
        <w:pStyle w:val="ParagraphBasic"/>
        <w:spacing w:after="0" w:line="240" w:lineRule="auto"/>
        <w:rPr>
          <w:rFonts w:ascii="Calibri" w:hAnsi="Calibri" w:cs="Calibri"/>
        </w:rPr>
      </w:pPr>
      <w:r w:rsidRPr="00DD7BD1">
        <w:rPr>
          <w:rFonts w:ascii="Calibri" w:hAnsi="Calibri" w:cs="Calibri"/>
        </w:rPr>
        <w:t xml:space="preserve">This penalty may be assessed against any entity that is required but fails to display notices mandated under Title VII of the Civil Rights Act (Title VII), the Americans with Disabilities Act (ADA), the Genetic Information Nondiscrimination Act (GINA) and the Pregnant Workers Fairness Act (PWFA).  Generally, the laws that require the “Know Your Rights” poster apply to all </w:t>
      </w:r>
      <w:r w:rsidRPr="00DD7BD1">
        <w:rPr>
          <w:rFonts w:ascii="Calibri" w:hAnsi="Calibri" w:cs="Calibri"/>
          <w:u w:val="single"/>
        </w:rPr>
        <w:t>private employers with 15 or more employees</w:t>
      </w:r>
      <w:r w:rsidRPr="00DD7BD1">
        <w:rPr>
          <w:rFonts w:ascii="Calibri" w:hAnsi="Calibri" w:cs="Calibri"/>
        </w:rPr>
        <w:t xml:space="preserve">, state and local governmental employers, labor organizations and joint labor management committees. </w:t>
      </w:r>
    </w:p>
    <w:p w14:paraId="555B9AC9" w14:textId="77777777" w:rsidR="00D326EC" w:rsidRPr="00DD7BD1" w:rsidRDefault="00D326EC" w:rsidP="00D326EC">
      <w:pPr>
        <w:pStyle w:val="ParagraphBasic"/>
        <w:spacing w:after="0" w:line="240" w:lineRule="auto"/>
        <w:rPr>
          <w:rFonts w:ascii="Calibri" w:hAnsi="Calibri" w:cs="Calibri"/>
          <w:sz w:val="16"/>
          <w:szCs w:val="16"/>
        </w:rPr>
      </w:pPr>
    </w:p>
    <w:p w14:paraId="364DE8FC" w14:textId="77777777" w:rsidR="00D326EC" w:rsidRPr="00DD7BD1" w:rsidRDefault="00D326EC" w:rsidP="00D326EC">
      <w:pPr>
        <w:pStyle w:val="ParagraphBasic"/>
        <w:numPr>
          <w:ilvl w:val="0"/>
          <w:numId w:val="250"/>
        </w:numPr>
        <w:spacing w:after="0" w:line="240" w:lineRule="auto"/>
        <w:rPr>
          <w:rFonts w:ascii="Calibri" w:hAnsi="Calibri" w:cs="Calibri"/>
        </w:rPr>
      </w:pPr>
      <w:r w:rsidRPr="00DD7BD1">
        <w:rPr>
          <w:rFonts w:ascii="Calibri" w:hAnsi="Calibri" w:cs="Calibri"/>
        </w:rPr>
        <w:t>The EEOC last issued an updated poster on June 27, 2023, titled “</w:t>
      </w:r>
      <w:hyperlink r:id="rId236" w:history="1">
        <w:r w:rsidRPr="00DD7BD1">
          <w:rPr>
            <w:rStyle w:val="Hyperlink"/>
            <w:rFonts w:ascii="Calibri" w:hAnsi="Calibri" w:cs="Calibri"/>
          </w:rPr>
          <w:t>Know Your Rights: Workplace Discrimination is Illegal</w:t>
        </w:r>
      </w:hyperlink>
      <w:r w:rsidRPr="00DD7BD1">
        <w:rPr>
          <w:rFonts w:ascii="Calibri" w:hAnsi="Calibri" w:cs="Calibri"/>
        </w:rPr>
        <w:t xml:space="preserve">” for covered entities to use to comply with these mandates. </w:t>
      </w:r>
    </w:p>
    <w:p w14:paraId="65EFEED3"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Covered entities must place the posters in conspicuous locations in the workplace where notices to applicants and employees are customarily posted. </w:t>
      </w:r>
    </w:p>
    <w:p w14:paraId="40AA0858"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 xml:space="preserve">The EEOC also encourages covered entities to display the notices digitally on their websites. In most cases, electronic posting should be in addition to a physical posting. However, an electronic poster may be the only one if there is no physical workplace. For example, this may be the case for employees who telework or work remotely and do not visit the employer’s workplace on a regular basis. </w:t>
      </w:r>
      <w:bookmarkStart w:id="8" w:name="_Hlk212641840"/>
    </w:p>
    <w:p w14:paraId="560EDCD4" w14:textId="77777777" w:rsidR="00D326EC" w:rsidRPr="00DD7BD1" w:rsidRDefault="00D326EC" w:rsidP="00D326EC">
      <w:pPr>
        <w:pStyle w:val="BodyText"/>
        <w:spacing w:after="0" w:line="240" w:lineRule="auto"/>
        <w:ind w:right="274"/>
        <w:rPr>
          <w:rFonts w:eastAsiaTheme="minorHAnsi" w:cs="Calibri"/>
          <w:color w:val="auto"/>
          <w:kern w:val="36"/>
          <w:szCs w:val="22"/>
        </w:rPr>
      </w:pPr>
      <w:bookmarkStart w:id="9" w:name="_Hlk197515717"/>
      <w:bookmarkEnd w:id="8"/>
    </w:p>
    <w:p w14:paraId="133A8816" w14:textId="6B2897BC" w:rsidR="00D326EC" w:rsidRPr="00DD7BD1" w:rsidRDefault="00D326EC" w:rsidP="00D326EC">
      <w:pPr>
        <w:pStyle w:val="BodyText"/>
        <w:spacing w:after="0" w:line="240" w:lineRule="auto"/>
        <w:ind w:right="274"/>
        <w:jc w:val="center"/>
        <w:rPr>
          <w:rFonts w:eastAsiaTheme="minorHAnsi" w:cs="Calibri"/>
          <w:b/>
          <w:bCs/>
          <w:color w:val="C00000"/>
          <w:sz w:val="28"/>
          <w:szCs w:val="28"/>
        </w:rPr>
      </w:pPr>
      <w:r w:rsidRPr="00DD7BD1">
        <w:rPr>
          <w:rFonts w:eastAsiaTheme="minorHAnsi" w:cs="Calibri"/>
          <w:b/>
          <w:bCs/>
          <w:color w:val="auto"/>
          <w:sz w:val="28"/>
          <w:szCs w:val="28"/>
        </w:rPr>
        <w:t>Employees’ Right to Talk Pay &amp; the NLRA</w:t>
      </w:r>
    </w:p>
    <w:p w14:paraId="47836A04" w14:textId="77777777" w:rsidR="00D326EC" w:rsidRPr="00DD7BD1" w:rsidRDefault="00D326EC" w:rsidP="00D326EC">
      <w:pPr>
        <w:pStyle w:val="BodyText"/>
        <w:spacing w:after="0" w:line="240" w:lineRule="auto"/>
        <w:ind w:right="274"/>
        <w:jc w:val="left"/>
        <w:rPr>
          <w:rFonts w:eastAsiaTheme="minorHAnsi" w:cs="Calibri"/>
          <w:color w:val="auto"/>
          <w:szCs w:val="22"/>
        </w:rPr>
      </w:pPr>
      <w:r w:rsidRPr="00DD7BD1">
        <w:rPr>
          <w:rFonts w:eastAsiaTheme="minorHAnsi" w:cs="Calibri"/>
          <w:color w:val="auto"/>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1786F3DF" w14:textId="77777777" w:rsidR="00D326EC" w:rsidRPr="00DD7BD1" w:rsidRDefault="00D326EC" w:rsidP="00D326EC">
      <w:pPr>
        <w:pStyle w:val="BodyText"/>
        <w:spacing w:after="0" w:line="240" w:lineRule="auto"/>
        <w:ind w:right="274"/>
        <w:jc w:val="left"/>
        <w:rPr>
          <w:rFonts w:eastAsiaTheme="minorHAnsi" w:cs="Calibri"/>
          <w:color w:val="auto"/>
          <w:szCs w:val="22"/>
        </w:rPr>
      </w:pPr>
    </w:p>
    <w:p w14:paraId="2F467260"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It is important to remember that the NLRA covers nearly all private sector employers — not just those with unions. Non-union private sector employers must fully comply with labor law developments because all of their employees are protected by the NLRA, even in the absence of union representation.</w:t>
      </w:r>
    </w:p>
    <w:p w14:paraId="3C9EA7D7"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the discussions or actions to be protected concerted activity.</w:t>
      </w:r>
    </w:p>
    <w:p w14:paraId="2D99AA37" w14:textId="77777777" w:rsidR="00D326EC" w:rsidRPr="00DD7BD1" w:rsidRDefault="00D326EC" w:rsidP="00D326EC">
      <w:pPr>
        <w:pStyle w:val="BodyText"/>
        <w:spacing w:after="0"/>
        <w:ind w:right="274"/>
        <w:rPr>
          <w:rFonts w:eastAsiaTheme="minorHAnsi" w:cs="Calibri"/>
          <w:color w:val="auto"/>
          <w:szCs w:val="22"/>
        </w:rPr>
      </w:pPr>
    </w:p>
    <w:p w14:paraId="7B23C1EA"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The bottom line is that employees have a right to discuss wages and other terms and conditions of employment. Restricting those discussions could lead to unfair labor practice charges, so it is important that employers respect employees' Section 7 rights.</w:t>
      </w:r>
    </w:p>
    <w:bookmarkEnd w:id="9"/>
    <w:p w14:paraId="4969B613" w14:textId="77777777" w:rsidR="00D326EC" w:rsidRPr="00DD7BD1" w:rsidRDefault="00D326EC" w:rsidP="001558B8">
      <w:pPr>
        <w:pStyle w:val="BodyText"/>
        <w:spacing w:after="0" w:line="240" w:lineRule="auto"/>
        <w:ind w:right="274"/>
        <w:rPr>
          <w:rFonts w:eastAsiaTheme="minorHAnsi" w:cs="Calibri"/>
          <w:b/>
          <w:bCs/>
          <w:color w:val="auto"/>
          <w:kern w:val="36"/>
          <w:szCs w:val="22"/>
        </w:rPr>
      </w:pPr>
    </w:p>
    <w:p w14:paraId="0658B1EB" w14:textId="791F171A" w:rsidR="00E43496" w:rsidRPr="00DD7BD1" w:rsidRDefault="00E43496"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Aug/September Articles/Reminders:</w:t>
      </w:r>
    </w:p>
    <w:p w14:paraId="5FE2909A" w14:textId="3E290CCE" w:rsidR="00E43496" w:rsidRPr="00DD7BD1" w:rsidRDefault="00E43496" w:rsidP="00E43496">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Medicare Part D Notice – Due before </w:t>
      </w:r>
      <w:r w:rsidRPr="00DD7BD1">
        <w:rPr>
          <w:rFonts w:ascii="Calibri" w:eastAsiaTheme="minorHAnsi" w:hAnsi="Calibri" w:cs="Calibri"/>
          <w:color w:val="C00000"/>
          <w:kern w:val="0"/>
          <w:sz w:val="28"/>
          <w:szCs w:val="28"/>
        </w:rPr>
        <w:t>Oct 14, 2025</w:t>
      </w:r>
    </w:p>
    <w:p w14:paraId="11D2418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Annual</w:t>
      </w:r>
      <w:r w:rsidRPr="00DD7BD1">
        <w:rPr>
          <w:rFonts w:cs="Calibri"/>
          <w:color w:val="auto"/>
          <w:spacing w:val="-17"/>
          <w:w w:val="110"/>
          <w:szCs w:val="22"/>
        </w:rPr>
        <w:t xml:space="preserve"> </w:t>
      </w:r>
      <w:r w:rsidRPr="00DD7BD1">
        <w:rPr>
          <w:rFonts w:cs="Calibri"/>
          <w:color w:val="auto"/>
          <w:w w:val="110"/>
          <w:szCs w:val="22"/>
        </w:rPr>
        <w:t>Creditable</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7"/>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Deadline</w:t>
      </w:r>
      <w:r w:rsidRPr="00DD7BD1">
        <w:rPr>
          <w:rFonts w:cs="Calibri"/>
          <w:color w:val="auto"/>
          <w:spacing w:val="-16"/>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just</w:t>
      </w:r>
      <w:r w:rsidRPr="00DD7BD1">
        <w:rPr>
          <w:rFonts w:cs="Calibri"/>
          <w:color w:val="auto"/>
          <w:spacing w:val="-17"/>
          <w:w w:val="110"/>
          <w:szCs w:val="22"/>
        </w:rPr>
        <w:t xml:space="preserve"> </w:t>
      </w:r>
      <w:r w:rsidRPr="00DD7BD1">
        <w:rPr>
          <w:rFonts w:cs="Calibri"/>
          <w:color w:val="auto"/>
          <w:w w:val="110"/>
          <w:szCs w:val="22"/>
        </w:rPr>
        <w:t>around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corner</w:t>
      </w:r>
      <w:r w:rsidRPr="00DD7BD1">
        <w:rPr>
          <w:rFonts w:cs="Calibri"/>
          <w:color w:val="auto"/>
          <w:spacing w:val="-16"/>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14.</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disclose to</w:t>
      </w:r>
      <w:r w:rsidRPr="00DD7BD1">
        <w:rPr>
          <w:rFonts w:cs="Calibri"/>
          <w:color w:val="auto"/>
          <w:spacing w:val="-4"/>
          <w:w w:val="110"/>
          <w:szCs w:val="22"/>
        </w:rPr>
        <w:t xml:space="preserve"> </w:t>
      </w:r>
      <w:r w:rsidRPr="00DD7BD1">
        <w:rPr>
          <w:rFonts w:cs="Calibri"/>
          <w:color w:val="auto"/>
          <w:w w:val="110"/>
          <w:szCs w:val="22"/>
        </w:rPr>
        <w:t>Medicare-eligible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participants whether</w:t>
      </w:r>
      <w:r w:rsidRPr="00DD7BD1">
        <w:rPr>
          <w:rFonts w:cs="Calibri"/>
          <w:color w:val="auto"/>
          <w:spacing w:val="-7"/>
          <w:w w:val="110"/>
          <w:szCs w:val="22"/>
        </w:rPr>
        <w:t xml:space="preserve"> </w:t>
      </w:r>
      <w:r w:rsidRPr="00DD7BD1">
        <w:rPr>
          <w:rFonts w:cs="Calibri"/>
          <w:color w:val="auto"/>
          <w:w w:val="110"/>
          <w:szCs w:val="22"/>
        </w:rPr>
        <w:t>offered</w:t>
      </w:r>
      <w:r w:rsidRPr="00DD7BD1">
        <w:rPr>
          <w:rFonts w:cs="Calibri"/>
          <w:color w:val="auto"/>
          <w:spacing w:val="-4"/>
          <w:w w:val="110"/>
          <w:szCs w:val="22"/>
        </w:rPr>
        <w:t xml:space="preserve"> </w:t>
      </w:r>
      <w:r w:rsidRPr="00DD7BD1">
        <w:rPr>
          <w:rFonts w:cs="Calibri"/>
          <w:color w:val="auto"/>
          <w:w w:val="110"/>
          <w:szCs w:val="22"/>
        </w:rPr>
        <w:t>prescription</w:t>
      </w:r>
      <w:r w:rsidRPr="00DD7BD1">
        <w:rPr>
          <w:rFonts w:cs="Calibri"/>
          <w:color w:val="auto"/>
          <w:spacing w:val="-7"/>
          <w:w w:val="110"/>
          <w:szCs w:val="22"/>
        </w:rPr>
        <w:t xml:space="preserve"> </w:t>
      </w:r>
      <w:r w:rsidRPr="00DD7BD1">
        <w:rPr>
          <w:rFonts w:cs="Calibri"/>
          <w:color w:val="auto"/>
          <w:w w:val="110"/>
          <w:szCs w:val="22"/>
        </w:rPr>
        <w:t>drug</w:t>
      </w:r>
      <w:r w:rsidRPr="00DD7BD1">
        <w:rPr>
          <w:rFonts w:cs="Calibri"/>
          <w:color w:val="auto"/>
          <w:spacing w:val="-4"/>
          <w:w w:val="110"/>
          <w:szCs w:val="22"/>
        </w:rPr>
        <w:t xml:space="preserve"> </w:t>
      </w:r>
      <w:r w:rsidRPr="00DD7BD1">
        <w:rPr>
          <w:rFonts w:cs="Calibri"/>
          <w:color w:val="auto"/>
          <w:w w:val="110"/>
          <w:szCs w:val="22"/>
        </w:rPr>
        <w:t>coverage</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creditable</w:t>
      </w:r>
      <w:r w:rsidRPr="00DD7BD1">
        <w:rPr>
          <w:rFonts w:cs="Calibri"/>
          <w:color w:val="auto"/>
          <w:spacing w:val="-7"/>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5"/>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good</w:t>
      </w:r>
      <w:r w:rsidRPr="00DD7BD1">
        <w:rPr>
          <w:rFonts w:cs="Calibri"/>
          <w:color w:val="auto"/>
          <w:spacing w:val="-7"/>
          <w:w w:val="110"/>
          <w:szCs w:val="22"/>
        </w:rPr>
        <w:t xml:space="preserve"> </w:t>
      </w:r>
      <w:r w:rsidRPr="00DD7BD1">
        <w:rPr>
          <w:rFonts w:cs="Calibri"/>
          <w:color w:val="auto"/>
          <w:w w:val="110"/>
          <w:szCs w:val="22"/>
        </w:rPr>
        <w:t>as Medicare Part D benefits) or non-creditable.</w:t>
      </w:r>
    </w:p>
    <w:p w14:paraId="4A28D33A" w14:textId="77777777" w:rsidR="00E43496" w:rsidRPr="00DD7BD1" w:rsidRDefault="00E43496" w:rsidP="00E43496">
      <w:pPr>
        <w:pStyle w:val="BodyText"/>
        <w:spacing w:after="0" w:line="240" w:lineRule="auto"/>
        <w:ind w:right="-270"/>
        <w:jc w:val="left"/>
        <w:rPr>
          <w:rFonts w:cs="Calibri"/>
          <w:color w:val="auto"/>
          <w:sz w:val="16"/>
          <w:szCs w:val="16"/>
        </w:rPr>
      </w:pPr>
    </w:p>
    <w:p w14:paraId="1B3C233A"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szCs w:val="22"/>
        </w:rPr>
        <w:t>Employers</w:t>
      </w:r>
      <w:r w:rsidRPr="00DD7BD1">
        <w:rPr>
          <w:rFonts w:cs="Calibri"/>
          <w:color w:val="auto"/>
          <w:spacing w:val="33"/>
          <w:szCs w:val="22"/>
        </w:rPr>
        <w:t xml:space="preserve"> </w:t>
      </w:r>
      <w:r w:rsidRPr="00DD7BD1">
        <w:rPr>
          <w:rFonts w:cs="Calibri"/>
          <w:color w:val="auto"/>
          <w:szCs w:val="22"/>
        </w:rPr>
        <w:t>are</w:t>
      </w:r>
      <w:r w:rsidRPr="00DD7BD1">
        <w:rPr>
          <w:rFonts w:cs="Calibri"/>
          <w:color w:val="auto"/>
          <w:spacing w:val="33"/>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provide</w:t>
      </w:r>
      <w:r w:rsidRPr="00DD7BD1">
        <w:rPr>
          <w:rFonts w:cs="Calibri"/>
          <w:color w:val="auto"/>
          <w:spacing w:val="30"/>
          <w:szCs w:val="22"/>
        </w:rPr>
        <w:t xml:space="preserve"> </w:t>
      </w:r>
      <w:r w:rsidRPr="00DD7BD1">
        <w:rPr>
          <w:rFonts w:cs="Calibri"/>
          <w:color w:val="auto"/>
          <w:szCs w:val="22"/>
        </w:rPr>
        <w:t>notice</w:t>
      </w:r>
      <w:r w:rsidRPr="00DD7BD1">
        <w:rPr>
          <w:rFonts w:cs="Calibri"/>
          <w:color w:val="auto"/>
          <w:spacing w:val="28"/>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all</w:t>
      </w:r>
      <w:r w:rsidRPr="00DD7BD1">
        <w:rPr>
          <w:rFonts w:cs="Calibri"/>
          <w:color w:val="auto"/>
          <w:spacing w:val="30"/>
          <w:szCs w:val="22"/>
        </w:rPr>
        <w:t xml:space="preserve"> </w:t>
      </w:r>
      <w:r w:rsidRPr="00DD7BD1">
        <w:rPr>
          <w:rFonts w:cs="Calibri"/>
          <w:color w:val="auto"/>
          <w:szCs w:val="22"/>
        </w:rPr>
        <w:t>Part</w:t>
      </w:r>
      <w:r w:rsidRPr="00DD7BD1">
        <w:rPr>
          <w:rFonts w:cs="Calibri"/>
          <w:color w:val="auto"/>
          <w:spacing w:val="31"/>
          <w:szCs w:val="22"/>
        </w:rPr>
        <w:t xml:space="preserve"> </w:t>
      </w:r>
      <w:r w:rsidRPr="00DD7BD1">
        <w:rPr>
          <w:rFonts w:cs="Calibri"/>
          <w:color w:val="auto"/>
          <w:szCs w:val="22"/>
        </w:rPr>
        <w:t>D</w:t>
      </w:r>
      <w:r w:rsidRPr="00DD7BD1">
        <w:rPr>
          <w:rFonts w:cs="Calibri"/>
          <w:color w:val="auto"/>
          <w:spacing w:val="26"/>
          <w:szCs w:val="22"/>
        </w:rPr>
        <w:t xml:space="preserve"> </w:t>
      </w:r>
      <w:r w:rsidRPr="00DD7BD1">
        <w:rPr>
          <w:rFonts w:cs="Calibri"/>
          <w:color w:val="auto"/>
          <w:szCs w:val="22"/>
        </w:rPr>
        <w:t>eligible</w:t>
      </w:r>
      <w:r w:rsidRPr="00DD7BD1">
        <w:rPr>
          <w:rFonts w:cs="Calibri"/>
          <w:color w:val="auto"/>
          <w:spacing w:val="33"/>
          <w:szCs w:val="22"/>
        </w:rPr>
        <w:t xml:space="preserve"> </w:t>
      </w:r>
      <w:r w:rsidRPr="00DD7BD1">
        <w:rPr>
          <w:rFonts w:cs="Calibri"/>
          <w:color w:val="auto"/>
          <w:szCs w:val="22"/>
        </w:rPr>
        <w:t>individuals,</w:t>
      </w:r>
      <w:r w:rsidRPr="00DD7BD1">
        <w:rPr>
          <w:rFonts w:cs="Calibri"/>
          <w:color w:val="auto"/>
          <w:spacing w:val="28"/>
          <w:szCs w:val="22"/>
        </w:rPr>
        <w:t xml:space="preserve"> </w:t>
      </w:r>
      <w:r w:rsidRPr="00DD7BD1">
        <w:rPr>
          <w:rFonts w:cs="Calibri"/>
          <w:color w:val="auto"/>
          <w:szCs w:val="22"/>
        </w:rPr>
        <w:t>or</w:t>
      </w:r>
      <w:r w:rsidRPr="00DD7BD1">
        <w:rPr>
          <w:rFonts w:cs="Calibri"/>
          <w:color w:val="auto"/>
          <w:spacing w:val="31"/>
          <w:szCs w:val="22"/>
        </w:rPr>
        <w:t xml:space="preserve"> </w:t>
      </w:r>
      <w:r w:rsidRPr="00DD7BD1">
        <w:rPr>
          <w:rFonts w:cs="Calibri"/>
          <w:color w:val="auto"/>
          <w:szCs w:val="22"/>
        </w:rPr>
        <w:t>those</w:t>
      </w:r>
      <w:r w:rsidRPr="00DD7BD1">
        <w:rPr>
          <w:rFonts w:cs="Calibri"/>
          <w:color w:val="auto"/>
          <w:spacing w:val="28"/>
          <w:szCs w:val="22"/>
        </w:rPr>
        <w:t xml:space="preserve"> </w:t>
      </w:r>
      <w:r w:rsidRPr="00DD7BD1">
        <w:rPr>
          <w:rFonts w:cs="Calibri"/>
          <w:color w:val="auto"/>
          <w:szCs w:val="22"/>
        </w:rPr>
        <w:t>about</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become</w:t>
      </w:r>
      <w:r w:rsidRPr="00DD7BD1">
        <w:rPr>
          <w:rFonts w:cs="Calibri"/>
          <w:color w:val="auto"/>
          <w:spacing w:val="33"/>
          <w:szCs w:val="22"/>
        </w:rPr>
        <w:t xml:space="preserve"> </w:t>
      </w:r>
      <w:r w:rsidRPr="00DD7BD1">
        <w:rPr>
          <w:rFonts w:cs="Calibri"/>
          <w:color w:val="auto"/>
          <w:szCs w:val="22"/>
        </w:rPr>
        <w:t>eligible,</w:t>
      </w:r>
      <w:r w:rsidRPr="00DD7BD1">
        <w:rPr>
          <w:rFonts w:cs="Calibri"/>
          <w:color w:val="auto"/>
          <w:spacing w:val="28"/>
          <w:szCs w:val="22"/>
        </w:rPr>
        <w:t xml:space="preserve"> </w:t>
      </w:r>
      <w:r w:rsidRPr="00DD7BD1">
        <w:rPr>
          <w:rFonts w:cs="Calibri"/>
          <w:color w:val="auto"/>
          <w:szCs w:val="22"/>
        </w:rPr>
        <w:t>prior</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 xml:space="preserve">October </w:t>
      </w:r>
      <w:r w:rsidRPr="00DD7BD1">
        <w:rPr>
          <w:rFonts w:cs="Calibri"/>
          <w:color w:val="auto"/>
          <w:w w:val="110"/>
          <w:szCs w:val="22"/>
        </w:rPr>
        <w:t>15</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6"/>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health</w:t>
      </w:r>
      <w:r w:rsidRPr="00DD7BD1">
        <w:rPr>
          <w:rFonts w:cs="Calibri"/>
          <w:color w:val="auto"/>
          <w:spacing w:val="-9"/>
          <w:w w:val="110"/>
          <w:szCs w:val="22"/>
        </w:rPr>
        <w:t xml:space="preserve"> </w:t>
      </w:r>
      <w:r w:rsidRPr="00DD7BD1">
        <w:rPr>
          <w:rFonts w:cs="Calibri"/>
          <w:color w:val="auto"/>
          <w:w w:val="110"/>
          <w:szCs w:val="22"/>
        </w:rPr>
        <w:t>plan</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outpatient</w:t>
      </w:r>
      <w:r w:rsidRPr="00DD7BD1">
        <w:rPr>
          <w:rFonts w:cs="Calibri"/>
          <w:color w:val="auto"/>
          <w:spacing w:val="-6"/>
          <w:w w:val="110"/>
          <w:szCs w:val="22"/>
        </w:rPr>
        <w:t xml:space="preserve"> </w:t>
      </w:r>
      <w:r w:rsidRPr="00DD7BD1">
        <w:rPr>
          <w:rFonts w:cs="Calibri"/>
          <w:color w:val="auto"/>
          <w:w w:val="110"/>
          <w:szCs w:val="22"/>
        </w:rPr>
        <w:t>prescription</w:t>
      </w:r>
      <w:r w:rsidRPr="00DD7BD1">
        <w:rPr>
          <w:rFonts w:cs="Calibri"/>
          <w:color w:val="auto"/>
          <w:spacing w:val="-5"/>
          <w:w w:val="110"/>
          <w:szCs w:val="22"/>
        </w:rPr>
        <w:t xml:space="preserve"> </w:t>
      </w:r>
      <w:r w:rsidRPr="00DD7BD1">
        <w:rPr>
          <w:rFonts w:cs="Calibri"/>
          <w:color w:val="auto"/>
          <w:w w:val="110"/>
          <w:szCs w:val="22"/>
        </w:rPr>
        <w:t>drug</w:t>
      </w:r>
      <w:r w:rsidRPr="00DD7BD1">
        <w:rPr>
          <w:rFonts w:cs="Calibri"/>
          <w:color w:val="auto"/>
          <w:spacing w:val="-9"/>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regardless of</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6"/>
          <w:w w:val="110"/>
          <w:szCs w:val="22"/>
        </w:rPr>
        <w:t xml:space="preserve"> </w:t>
      </w:r>
      <w:r w:rsidRPr="00DD7BD1">
        <w:rPr>
          <w:rFonts w:cs="Calibri"/>
          <w:color w:val="auto"/>
          <w:w w:val="110"/>
          <w:szCs w:val="22"/>
        </w:rPr>
        <w:t>primary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secondary</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Medicare.</w:t>
      </w:r>
      <w:r w:rsidRPr="00DD7BD1">
        <w:rPr>
          <w:rFonts w:cs="Calibri"/>
          <w:color w:val="auto"/>
          <w:spacing w:val="38"/>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provided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all</w:t>
      </w:r>
      <w:r w:rsidRPr="00DD7BD1">
        <w:rPr>
          <w:rFonts w:cs="Calibri"/>
          <w:color w:val="auto"/>
          <w:spacing w:val="-16"/>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 eligible</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5"/>
          <w:w w:val="110"/>
          <w:szCs w:val="22"/>
        </w:rPr>
        <w:t xml:space="preserve"> </w:t>
      </w:r>
      <w:r w:rsidRPr="00DD7BD1">
        <w:rPr>
          <w:rFonts w:cs="Calibri"/>
          <w:color w:val="auto"/>
          <w:w w:val="110"/>
          <w:szCs w:val="22"/>
        </w:rPr>
        <w:t>whether</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3"/>
          <w:w w:val="110"/>
          <w:szCs w:val="22"/>
        </w:rPr>
        <w:t xml:space="preserve"> </w:t>
      </w:r>
      <w:r w:rsidRPr="00DD7BD1">
        <w:rPr>
          <w:rFonts w:cs="Calibri"/>
          <w:color w:val="auto"/>
          <w:w w:val="110"/>
          <w:szCs w:val="22"/>
        </w:rPr>
        <w:t>active</w:t>
      </w:r>
      <w:r w:rsidRPr="00DD7BD1">
        <w:rPr>
          <w:rFonts w:cs="Calibri"/>
          <w:color w:val="auto"/>
          <w:spacing w:val="-3"/>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retirees,</w:t>
      </w:r>
      <w:r w:rsidRPr="00DD7BD1">
        <w:rPr>
          <w:rFonts w:cs="Calibri"/>
          <w:color w:val="auto"/>
          <w:spacing w:val="-5"/>
          <w:w w:val="110"/>
          <w:szCs w:val="22"/>
        </w:rPr>
        <w:t xml:space="preserve"> </w:t>
      </w:r>
      <w:r w:rsidRPr="00DD7BD1">
        <w:rPr>
          <w:rFonts w:cs="Calibri"/>
          <w:color w:val="auto"/>
          <w:w w:val="110"/>
          <w:szCs w:val="22"/>
        </w:rPr>
        <w:t>COBRA</w:t>
      </w:r>
      <w:r w:rsidRPr="00DD7BD1">
        <w:rPr>
          <w:rFonts w:cs="Calibri"/>
          <w:color w:val="auto"/>
          <w:spacing w:val="-7"/>
          <w:w w:val="110"/>
          <w:szCs w:val="22"/>
        </w:rPr>
        <w:t xml:space="preserve"> </w:t>
      </w:r>
      <w:r w:rsidRPr="00DD7BD1">
        <w:rPr>
          <w:rFonts w:cs="Calibri"/>
          <w:color w:val="auto"/>
          <w:w w:val="110"/>
          <w:szCs w:val="22"/>
        </w:rPr>
        <w:t>recipients,</w:t>
      </w:r>
      <w:r w:rsidRPr="00DD7BD1">
        <w:rPr>
          <w:rFonts w:cs="Calibri"/>
          <w:color w:val="auto"/>
          <w:spacing w:val="-5"/>
          <w:w w:val="110"/>
          <w:szCs w:val="22"/>
        </w:rPr>
        <w:t xml:space="preserve"> </w:t>
      </w:r>
      <w:r w:rsidRPr="00DD7BD1">
        <w:rPr>
          <w:rFonts w:cs="Calibri"/>
          <w:color w:val="auto"/>
          <w:w w:val="110"/>
          <w:szCs w:val="22"/>
        </w:rPr>
        <w:t>disabled</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as dependents.</w:t>
      </w:r>
      <w:r w:rsidRPr="00DD7BD1">
        <w:rPr>
          <w:rFonts w:cs="Calibri"/>
          <w:color w:val="auto"/>
          <w:spacing w:val="40"/>
          <w:w w:val="110"/>
          <w:szCs w:val="22"/>
        </w:rPr>
        <w:t xml:space="preserve"> </w:t>
      </w:r>
      <w:r w:rsidRPr="00DD7BD1">
        <w:rPr>
          <w:rFonts w:cs="Calibri"/>
          <w:color w:val="auto"/>
          <w:w w:val="110"/>
          <w:szCs w:val="22"/>
        </w:rPr>
        <w:t>Plan</w:t>
      </w:r>
      <w:r w:rsidRPr="00DD7BD1">
        <w:rPr>
          <w:rFonts w:cs="Calibri"/>
          <w:color w:val="auto"/>
          <w:spacing w:val="-13"/>
          <w:w w:val="110"/>
          <w:szCs w:val="22"/>
        </w:rPr>
        <w:t xml:space="preserve"> </w:t>
      </w:r>
      <w:r w:rsidRPr="00DD7BD1">
        <w:rPr>
          <w:rFonts w:cs="Calibri"/>
          <w:color w:val="auto"/>
          <w:w w:val="110"/>
          <w:szCs w:val="22"/>
        </w:rPr>
        <w:t>participants</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Part</w:t>
      </w:r>
      <w:r w:rsidRPr="00DD7BD1">
        <w:rPr>
          <w:rFonts w:cs="Calibri"/>
          <w:color w:val="auto"/>
          <w:spacing w:val="-11"/>
          <w:w w:val="110"/>
          <w:szCs w:val="22"/>
        </w:rPr>
        <w:t xml:space="preserve"> </w:t>
      </w:r>
      <w:r w:rsidRPr="00DD7BD1">
        <w:rPr>
          <w:rFonts w:cs="Calibri"/>
          <w:color w:val="auto"/>
          <w:w w:val="110"/>
          <w:szCs w:val="22"/>
        </w:rPr>
        <w:t>D</w:t>
      </w:r>
      <w:r w:rsidRPr="00DD7BD1">
        <w:rPr>
          <w:rFonts w:cs="Calibri"/>
          <w:color w:val="auto"/>
          <w:spacing w:val="-14"/>
          <w:w w:val="110"/>
          <w:szCs w:val="22"/>
        </w:rPr>
        <w:t xml:space="preserve"> </w:t>
      </w:r>
      <w:r w:rsidRPr="00DD7BD1">
        <w:rPr>
          <w:rFonts w:cs="Calibri"/>
          <w:color w:val="auto"/>
          <w:w w:val="110"/>
          <w:szCs w:val="22"/>
        </w:rPr>
        <w:t>eligible</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0"/>
          <w:w w:val="110"/>
          <w:szCs w:val="22"/>
        </w:rPr>
        <w:t xml:space="preserve"> </w:t>
      </w:r>
      <w:r w:rsidRPr="00DD7BD1">
        <w:rPr>
          <w:rFonts w:cs="Calibri"/>
          <w:color w:val="auto"/>
          <w:w w:val="110"/>
          <w:szCs w:val="22"/>
        </w:rPr>
        <w:t>65</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3"/>
          <w:w w:val="110"/>
          <w:szCs w:val="22"/>
        </w:rPr>
        <w:t xml:space="preserve"> </w:t>
      </w:r>
      <w:r w:rsidRPr="00DD7BD1">
        <w:rPr>
          <w:rFonts w:cs="Calibri"/>
          <w:color w:val="auto"/>
          <w:w w:val="110"/>
          <w:szCs w:val="22"/>
        </w:rPr>
        <w:t>more</w:t>
      </w:r>
      <w:r w:rsidRPr="00DD7BD1">
        <w:rPr>
          <w:rFonts w:cs="Calibri"/>
          <w:color w:val="auto"/>
          <w:spacing w:val="-12"/>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old,</w:t>
      </w:r>
      <w:r w:rsidRPr="00DD7BD1">
        <w:rPr>
          <w:rFonts w:cs="Calibri"/>
          <w:color w:val="auto"/>
          <w:spacing w:val="-11"/>
          <w:w w:val="110"/>
          <w:szCs w:val="22"/>
        </w:rPr>
        <w:t xml:space="preserve"> </w:t>
      </w:r>
      <w:r w:rsidRPr="00DD7BD1">
        <w:rPr>
          <w:rFonts w:cs="Calibri"/>
          <w:color w:val="auto"/>
          <w:w w:val="110"/>
          <w:szCs w:val="22"/>
        </w:rPr>
        <w:t>three</w:t>
      </w:r>
      <w:r w:rsidRPr="00DD7BD1">
        <w:rPr>
          <w:rFonts w:cs="Calibri"/>
          <w:color w:val="auto"/>
          <w:spacing w:val="-12"/>
          <w:w w:val="110"/>
          <w:szCs w:val="22"/>
        </w:rPr>
        <w:t xml:space="preserve"> </w:t>
      </w:r>
      <w:r w:rsidRPr="00DD7BD1">
        <w:rPr>
          <w:rFonts w:cs="Calibri"/>
          <w:color w:val="auto"/>
          <w:w w:val="110"/>
          <w:szCs w:val="22"/>
        </w:rPr>
        <w:t>months</w:t>
      </w:r>
      <w:r w:rsidRPr="00DD7BD1">
        <w:rPr>
          <w:rFonts w:cs="Calibri"/>
          <w:color w:val="auto"/>
          <w:spacing w:val="-12"/>
          <w:w w:val="110"/>
          <w:szCs w:val="22"/>
        </w:rPr>
        <w:t xml:space="preserve"> </w:t>
      </w:r>
      <w:r w:rsidRPr="00DD7BD1">
        <w:rPr>
          <w:rFonts w:cs="Calibri"/>
          <w:color w:val="auto"/>
          <w:w w:val="110"/>
          <w:szCs w:val="22"/>
        </w:rPr>
        <w:t>before</w:t>
      </w:r>
      <w:r w:rsidRPr="00DD7BD1">
        <w:rPr>
          <w:rFonts w:cs="Calibri"/>
          <w:color w:val="auto"/>
          <w:spacing w:val="-11"/>
          <w:w w:val="110"/>
          <w:szCs w:val="22"/>
        </w:rPr>
        <w:t xml:space="preserve"> </w:t>
      </w:r>
      <w:r w:rsidRPr="00DD7BD1">
        <w:rPr>
          <w:rFonts w:cs="Calibri"/>
          <w:color w:val="auto"/>
          <w:w w:val="110"/>
          <w:szCs w:val="22"/>
        </w:rPr>
        <w:t>turning</w:t>
      </w:r>
      <w:r w:rsidRPr="00DD7BD1">
        <w:rPr>
          <w:rFonts w:cs="Calibri"/>
          <w:color w:val="auto"/>
          <w:spacing w:val="-10"/>
          <w:w w:val="110"/>
          <w:szCs w:val="22"/>
        </w:rPr>
        <w:t xml:space="preserve"> </w:t>
      </w:r>
      <w:r w:rsidRPr="00DD7BD1">
        <w:rPr>
          <w:rFonts w:cs="Calibri"/>
          <w:color w:val="auto"/>
          <w:w w:val="110"/>
          <w:szCs w:val="22"/>
        </w:rPr>
        <w:t>age 65, and/or if they are disabled.</w:t>
      </w:r>
    </w:p>
    <w:p w14:paraId="6D2022A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szCs w:val="22"/>
        </w:rPr>
        <w:t>Providing</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40"/>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within</w:t>
      </w:r>
      <w:r w:rsidRPr="00DD7BD1">
        <w:rPr>
          <w:rFonts w:cs="Calibri"/>
          <w:color w:val="auto"/>
          <w:spacing w:val="40"/>
          <w:szCs w:val="22"/>
        </w:rPr>
        <w:t xml:space="preserve"> </w:t>
      </w:r>
      <w:r w:rsidRPr="00DD7BD1">
        <w:rPr>
          <w:rFonts w:cs="Calibri"/>
          <w:color w:val="auto"/>
          <w:szCs w:val="22"/>
        </w:rPr>
        <w:t>your</w:t>
      </w:r>
      <w:r w:rsidRPr="00DD7BD1">
        <w:rPr>
          <w:rFonts w:cs="Calibri"/>
          <w:color w:val="auto"/>
          <w:spacing w:val="40"/>
          <w:szCs w:val="22"/>
        </w:rPr>
        <w:t xml:space="preserve"> </w:t>
      </w:r>
      <w:r w:rsidRPr="00DD7BD1">
        <w:rPr>
          <w:rFonts w:cs="Calibri"/>
          <w:color w:val="auto"/>
          <w:szCs w:val="22"/>
        </w:rPr>
        <w:t>enrollment</w:t>
      </w:r>
      <w:r w:rsidRPr="00DD7BD1">
        <w:rPr>
          <w:rFonts w:cs="Calibri"/>
          <w:color w:val="auto"/>
          <w:spacing w:val="40"/>
          <w:szCs w:val="22"/>
        </w:rPr>
        <w:t xml:space="preserve"> </w:t>
      </w:r>
      <w:r w:rsidRPr="00DD7BD1">
        <w:rPr>
          <w:rFonts w:cs="Calibri"/>
          <w:color w:val="auto"/>
          <w:szCs w:val="22"/>
        </w:rPr>
        <w:t>materials</w:t>
      </w:r>
      <w:r w:rsidRPr="00DD7BD1">
        <w:rPr>
          <w:rFonts w:cs="Calibri"/>
          <w:color w:val="auto"/>
          <w:spacing w:val="40"/>
          <w:szCs w:val="22"/>
        </w:rPr>
        <w:t xml:space="preserve"> </w:t>
      </w:r>
      <w:r w:rsidRPr="00DD7BD1">
        <w:rPr>
          <w:rFonts w:cs="Calibri"/>
          <w:color w:val="auto"/>
          <w:szCs w:val="22"/>
        </w:rPr>
        <w:t>throughout</w:t>
      </w:r>
      <w:r w:rsidRPr="00DD7BD1">
        <w:rPr>
          <w:rFonts w:cs="Calibri"/>
          <w:color w:val="auto"/>
          <w:spacing w:val="38"/>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year</w:t>
      </w:r>
      <w:r w:rsidRPr="00DD7BD1">
        <w:rPr>
          <w:rFonts w:cs="Calibri"/>
          <w:color w:val="auto"/>
          <w:spacing w:val="40"/>
          <w:szCs w:val="22"/>
        </w:rPr>
        <w:t xml:space="preserve"> </w:t>
      </w:r>
      <w:r w:rsidRPr="00DD7BD1">
        <w:rPr>
          <w:rFonts w:cs="Calibri"/>
          <w:color w:val="auto"/>
          <w:szCs w:val="22"/>
        </w:rPr>
        <w:t>will</w:t>
      </w:r>
      <w:r w:rsidRPr="00DD7BD1">
        <w:rPr>
          <w:rFonts w:cs="Calibri"/>
          <w:color w:val="auto"/>
          <w:spacing w:val="40"/>
          <w:szCs w:val="22"/>
        </w:rPr>
        <w:t xml:space="preserve"> </w:t>
      </w:r>
      <w:r w:rsidRPr="00DD7BD1">
        <w:rPr>
          <w:rFonts w:cs="Calibri"/>
          <w:color w:val="auto"/>
          <w:szCs w:val="22"/>
        </w:rPr>
        <w:t>meet</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distribution</w:t>
      </w:r>
      <w:r w:rsidRPr="00DD7BD1">
        <w:rPr>
          <w:rFonts w:cs="Calibri"/>
          <w:color w:val="auto"/>
          <w:spacing w:val="40"/>
          <w:szCs w:val="22"/>
        </w:rPr>
        <w:t xml:space="preserve"> </w:t>
      </w:r>
      <w:r w:rsidRPr="00DD7BD1">
        <w:rPr>
          <w:rFonts w:cs="Calibri"/>
          <w:color w:val="auto"/>
          <w:szCs w:val="22"/>
        </w:rPr>
        <w:t xml:space="preserve">requirements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long</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9"/>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9"/>
          <w:w w:val="110"/>
          <w:szCs w:val="22"/>
        </w:rPr>
        <w:t xml:space="preserve"> </w:t>
      </w:r>
      <w:r w:rsidRPr="00DD7BD1">
        <w:rPr>
          <w:rFonts w:cs="Calibri"/>
          <w:color w:val="auto"/>
          <w:w w:val="110"/>
          <w:szCs w:val="22"/>
        </w:rPr>
        <w:t>provided</w:t>
      </w:r>
      <w:r w:rsidRPr="00DD7BD1">
        <w:rPr>
          <w:rFonts w:cs="Calibri"/>
          <w:color w:val="auto"/>
          <w:spacing w:val="-9"/>
          <w:w w:val="110"/>
          <w:szCs w:val="22"/>
        </w:rPr>
        <w:t xml:space="preserve"> </w:t>
      </w:r>
      <w:r w:rsidRPr="00DD7BD1">
        <w:rPr>
          <w:rFonts w:cs="Calibri"/>
          <w:color w:val="auto"/>
          <w:w w:val="110"/>
          <w:szCs w:val="22"/>
        </w:rPr>
        <w:t>prior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15</w:t>
      </w:r>
      <w:r w:rsidRPr="00DD7BD1">
        <w:rPr>
          <w:rFonts w:cs="Calibri"/>
          <w:color w:val="auto"/>
          <w:w w:val="110"/>
          <w:szCs w:val="22"/>
          <w:vertAlign w:val="superscript"/>
        </w:rPr>
        <w:t>th</w:t>
      </w:r>
      <w:r w:rsidRPr="00DD7BD1">
        <w:rPr>
          <w:rFonts w:cs="Calibri"/>
          <w:color w:val="auto"/>
          <w:w w:val="110"/>
          <w:szCs w:val="22"/>
        </w:rPr>
        <w:t>.</w:t>
      </w:r>
      <w:r w:rsidRPr="00DD7BD1">
        <w:rPr>
          <w:rFonts w:cs="Calibri"/>
          <w:color w:val="auto"/>
          <w:spacing w:val="40"/>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separate</w:t>
      </w:r>
      <w:r w:rsidRPr="00DD7BD1">
        <w:rPr>
          <w:rFonts w:cs="Calibri"/>
          <w:color w:val="auto"/>
          <w:spacing w:val="-7"/>
          <w:w w:val="110"/>
          <w:szCs w:val="22"/>
        </w:rPr>
        <w:t xml:space="preserve"> </w:t>
      </w:r>
      <w:r w:rsidRPr="00DD7BD1">
        <w:rPr>
          <w:rFonts w:cs="Calibri"/>
          <w:color w:val="auto"/>
          <w:w w:val="110"/>
          <w:szCs w:val="22"/>
        </w:rPr>
        <w:t>reminder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reminding employees of where to find the information is recommended.</w:t>
      </w:r>
    </w:p>
    <w:p w14:paraId="04DEAF40" w14:textId="77777777" w:rsidR="00E43496" w:rsidRPr="00DD7BD1" w:rsidRDefault="00E43496" w:rsidP="00E43496">
      <w:pPr>
        <w:pStyle w:val="BodyText"/>
        <w:spacing w:after="0" w:line="240" w:lineRule="auto"/>
        <w:ind w:right="-270"/>
        <w:jc w:val="left"/>
        <w:rPr>
          <w:rFonts w:cs="Calibri"/>
          <w:color w:val="auto"/>
          <w:w w:val="110"/>
          <w:sz w:val="16"/>
          <w:szCs w:val="16"/>
        </w:rPr>
      </w:pPr>
    </w:p>
    <w:p w14:paraId="6DF5D57B"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Additional,</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offering</w:t>
      </w:r>
      <w:r w:rsidRPr="00DD7BD1">
        <w:rPr>
          <w:rFonts w:cs="Calibri"/>
          <w:color w:val="auto"/>
          <w:spacing w:val="-6"/>
          <w:w w:val="110"/>
          <w:szCs w:val="22"/>
        </w:rPr>
        <w:t xml:space="preserve"> </w:t>
      </w:r>
      <w:r w:rsidRPr="00DD7BD1">
        <w:rPr>
          <w:rFonts w:cs="Calibri"/>
          <w:color w:val="auto"/>
          <w:w w:val="110"/>
          <w:szCs w:val="22"/>
        </w:rPr>
        <w:t>multiple</w:t>
      </w:r>
      <w:r w:rsidRPr="00DD7BD1">
        <w:rPr>
          <w:rFonts w:cs="Calibri"/>
          <w:color w:val="auto"/>
          <w:spacing w:val="-8"/>
          <w:w w:val="110"/>
          <w:szCs w:val="22"/>
        </w:rPr>
        <w:t xml:space="preserve"> </w:t>
      </w:r>
      <w:r w:rsidRPr="00DD7BD1">
        <w:rPr>
          <w:rFonts w:cs="Calibri"/>
          <w:color w:val="auto"/>
          <w:w w:val="110"/>
          <w:szCs w:val="22"/>
        </w:rPr>
        <w:t>prescription</w:t>
      </w:r>
      <w:r w:rsidRPr="00DD7BD1">
        <w:rPr>
          <w:rFonts w:cs="Calibri"/>
          <w:color w:val="auto"/>
          <w:spacing w:val="-4"/>
          <w:w w:val="110"/>
          <w:szCs w:val="22"/>
        </w:rPr>
        <w:t xml:space="preserve"> </w:t>
      </w:r>
      <w:r w:rsidRPr="00DD7BD1">
        <w:rPr>
          <w:rFonts w:cs="Calibri"/>
          <w:color w:val="auto"/>
          <w:w w:val="110"/>
          <w:szCs w:val="22"/>
        </w:rPr>
        <w:t>plans</w:t>
      </w:r>
      <w:r w:rsidRPr="00DD7BD1">
        <w:rPr>
          <w:rFonts w:cs="Calibri"/>
          <w:color w:val="auto"/>
          <w:spacing w:val="-3"/>
          <w:w w:val="110"/>
          <w:szCs w:val="22"/>
        </w:rPr>
        <w:t xml:space="preserve"> </w:t>
      </w:r>
      <w:r w:rsidRPr="00DD7BD1">
        <w:rPr>
          <w:rFonts w:cs="Calibri"/>
          <w:color w:val="auto"/>
          <w:w w:val="110"/>
          <w:szCs w:val="22"/>
        </w:rPr>
        <w:t>(typically</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9"/>
          <w:w w:val="110"/>
          <w:szCs w:val="22"/>
        </w:rPr>
        <w:t xml:space="preserve"> </w:t>
      </w:r>
      <w:r w:rsidRPr="00DD7BD1">
        <w:rPr>
          <w:rFonts w:cs="Calibri"/>
          <w:color w:val="auto"/>
          <w:w w:val="110"/>
          <w:szCs w:val="22"/>
        </w:rPr>
        <w:t>benefits)</w:t>
      </w:r>
      <w:r w:rsidRPr="00DD7BD1">
        <w:rPr>
          <w:rFonts w:cs="Calibri"/>
          <w:color w:val="auto"/>
          <w:spacing w:val="-8"/>
          <w:w w:val="110"/>
          <w:szCs w:val="22"/>
        </w:rPr>
        <w:t xml:space="preserve"> </w:t>
      </w:r>
      <w:r w:rsidRPr="00DD7BD1">
        <w:rPr>
          <w:rFonts w:cs="Calibri"/>
          <w:color w:val="auto"/>
          <w:w w:val="110"/>
          <w:szCs w:val="22"/>
        </w:rPr>
        <w:t>could</w:t>
      </w:r>
      <w:r w:rsidRPr="00DD7BD1">
        <w:rPr>
          <w:rFonts w:cs="Calibri"/>
          <w:color w:val="auto"/>
          <w:spacing w:val="-8"/>
          <w:w w:val="110"/>
          <w:szCs w:val="22"/>
        </w:rPr>
        <w:t xml:space="preserve"> </w:t>
      </w:r>
      <w:r w:rsidRPr="00DD7BD1">
        <w:rPr>
          <w:rFonts w:cs="Calibri"/>
          <w:color w:val="auto"/>
          <w:w w:val="110"/>
          <w:szCs w:val="22"/>
        </w:rPr>
        <w:t>have both</w:t>
      </w:r>
      <w:r w:rsidRPr="00DD7BD1">
        <w:rPr>
          <w:rFonts w:cs="Calibri"/>
          <w:color w:val="auto"/>
          <w:spacing w:val="-10"/>
          <w:w w:val="110"/>
          <w:szCs w:val="22"/>
        </w:rPr>
        <w:t xml:space="preserve"> </w:t>
      </w:r>
      <w:r w:rsidRPr="00DD7BD1">
        <w:rPr>
          <w:rFonts w:cs="Calibri"/>
          <w:color w:val="auto"/>
          <w:w w:val="110"/>
          <w:szCs w:val="22"/>
        </w:rPr>
        <w:t>Creditable</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Non-creditable</w:t>
      </w:r>
      <w:r w:rsidRPr="00DD7BD1">
        <w:rPr>
          <w:rFonts w:cs="Calibri"/>
          <w:color w:val="auto"/>
          <w:spacing w:val="-13"/>
          <w:w w:val="110"/>
          <w:szCs w:val="22"/>
        </w:rPr>
        <w:t xml:space="preserve"> </w:t>
      </w:r>
      <w:r w:rsidRPr="00DD7BD1">
        <w:rPr>
          <w:rFonts w:cs="Calibri"/>
          <w:color w:val="auto"/>
          <w:w w:val="110"/>
          <w:szCs w:val="22"/>
        </w:rPr>
        <w:t>offerings.</w:t>
      </w:r>
      <w:r w:rsidRPr="00DD7BD1">
        <w:rPr>
          <w:rFonts w:cs="Calibri"/>
          <w:color w:val="auto"/>
          <w:spacing w:val="40"/>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so,</w:t>
      </w:r>
      <w:r w:rsidRPr="00DD7BD1">
        <w:rPr>
          <w:rFonts w:cs="Calibri"/>
          <w:color w:val="auto"/>
          <w:spacing w:val="-11"/>
          <w:w w:val="110"/>
          <w:szCs w:val="22"/>
        </w:rPr>
        <w:t xml:space="preserve"> </w:t>
      </w:r>
      <w:r w:rsidRPr="00DD7BD1">
        <w:rPr>
          <w:rFonts w:cs="Calibri"/>
          <w:color w:val="auto"/>
          <w:w w:val="110"/>
          <w:szCs w:val="22"/>
        </w:rPr>
        <w:t>BOTH</w:t>
      </w:r>
      <w:r w:rsidRPr="00DD7BD1">
        <w:rPr>
          <w:rFonts w:cs="Calibri"/>
          <w:color w:val="auto"/>
          <w:spacing w:val="-10"/>
          <w:w w:val="110"/>
          <w:szCs w:val="22"/>
        </w:rPr>
        <w:t xml:space="preserve"> </w:t>
      </w:r>
      <w:r w:rsidRPr="00DD7BD1">
        <w:rPr>
          <w:rFonts w:cs="Calibri"/>
          <w:color w:val="auto"/>
          <w:w w:val="110"/>
          <w:szCs w:val="22"/>
        </w:rPr>
        <w:t>notices</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prepared</w:t>
      </w:r>
      <w:r w:rsidRPr="00DD7BD1">
        <w:rPr>
          <w:rFonts w:cs="Calibri"/>
          <w:color w:val="auto"/>
          <w:spacing w:val="-13"/>
          <w:w w:val="110"/>
          <w:szCs w:val="22"/>
        </w:rPr>
        <w:t xml:space="preserve"> </w:t>
      </w:r>
      <w:r w:rsidRPr="00DD7BD1">
        <w:rPr>
          <w:rFonts w:cs="Calibri"/>
          <w:color w:val="auto"/>
          <w:w w:val="110"/>
          <w:szCs w:val="22"/>
        </w:rPr>
        <w:t>&amp;</w:t>
      </w:r>
      <w:r w:rsidRPr="00DD7BD1">
        <w:rPr>
          <w:rFonts w:cs="Calibri"/>
          <w:color w:val="auto"/>
          <w:spacing w:val="-11"/>
          <w:w w:val="110"/>
          <w:szCs w:val="22"/>
        </w:rPr>
        <w:t xml:space="preserve"> </w:t>
      </w:r>
      <w:r w:rsidRPr="00DD7BD1">
        <w:rPr>
          <w:rFonts w:cs="Calibri"/>
          <w:color w:val="auto"/>
          <w:w w:val="110"/>
          <w:szCs w:val="22"/>
        </w:rPr>
        <w:t>distributed</w:t>
      </w:r>
      <w:r w:rsidRPr="00DD7BD1">
        <w:rPr>
          <w:rFonts w:cs="Calibri"/>
          <w:color w:val="auto"/>
          <w:spacing w:val="-10"/>
          <w:w w:val="110"/>
          <w:szCs w:val="22"/>
        </w:rPr>
        <w:t xml:space="preserve"> </w:t>
      </w:r>
      <w:r w:rsidRPr="00DD7BD1">
        <w:rPr>
          <w:rFonts w:cs="Calibri"/>
          <w:color w:val="auto"/>
          <w:w w:val="110"/>
          <w:szCs w:val="22"/>
        </w:rPr>
        <w:t>citing</w:t>
      </w:r>
      <w:r w:rsidRPr="00DD7BD1">
        <w:rPr>
          <w:rFonts w:cs="Calibri"/>
          <w:color w:val="auto"/>
          <w:spacing w:val="-10"/>
          <w:w w:val="110"/>
          <w:szCs w:val="22"/>
        </w:rPr>
        <w:t xml:space="preserve"> </w:t>
      </w:r>
      <w:r w:rsidRPr="00DD7BD1">
        <w:rPr>
          <w:rFonts w:cs="Calibri"/>
          <w:color w:val="auto"/>
          <w:w w:val="110"/>
          <w:szCs w:val="22"/>
        </w:rPr>
        <w:t>which plans are and are not Creditable</w:t>
      </w:r>
    </w:p>
    <w:p w14:paraId="0B0BC879" w14:textId="77777777" w:rsidR="00E43496" w:rsidRPr="00DD7BD1" w:rsidRDefault="00E43496" w:rsidP="00E43496">
      <w:pPr>
        <w:pStyle w:val="BodyText"/>
        <w:spacing w:after="0" w:line="240" w:lineRule="auto"/>
        <w:ind w:right="-270"/>
        <w:jc w:val="left"/>
        <w:rPr>
          <w:rFonts w:cs="Calibri"/>
          <w:color w:val="auto"/>
          <w:sz w:val="16"/>
          <w:szCs w:val="16"/>
        </w:rPr>
      </w:pPr>
    </w:p>
    <w:p w14:paraId="5E1675F0" w14:textId="77777777" w:rsidR="00E43496" w:rsidRPr="00DD7BD1" w:rsidRDefault="00E43496" w:rsidP="00E43496">
      <w:pPr>
        <w:pStyle w:val="BodyText"/>
        <w:spacing w:after="0" w:line="240" w:lineRule="auto"/>
        <w:ind w:right="-270"/>
        <w:jc w:val="left"/>
        <w:rPr>
          <w:rFonts w:cs="Calibri"/>
          <w:color w:val="auto"/>
          <w:spacing w:val="-2"/>
          <w:w w:val="110"/>
          <w:szCs w:val="22"/>
        </w:rPr>
      </w:pPr>
      <w:r w:rsidRPr="00DD7BD1">
        <w:rPr>
          <w:rFonts w:cs="Calibri"/>
          <w:color w:val="auto"/>
          <w:w w:val="110"/>
          <w:szCs w:val="22"/>
        </w:rPr>
        <w:t>Although</w:t>
      </w:r>
      <w:r w:rsidRPr="00DD7BD1">
        <w:rPr>
          <w:rFonts w:cs="Calibri"/>
          <w:color w:val="auto"/>
          <w:spacing w:val="-12"/>
          <w:w w:val="110"/>
          <w:szCs w:val="22"/>
        </w:rPr>
        <w:t xml:space="preserve"> </w:t>
      </w:r>
      <w:r w:rsidRPr="00DD7BD1">
        <w:rPr>
          <w:rFonts w:cs="Calibri"/>
          <w:color w:val="auto"/>
          <w:w w:val="110"/>
          <w:szCs w:val="22"/>
        </w:rPr>
        <w:t>there</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2"/>
          <w:w w:val="110"/>
          <w:szCs w:val="22"/>
        </w:rPr>
        <w:t xml:space="preserve"> </w:t>
      </w:r>
      <w:r w:rsidRPr="00DD7BD1">
        <w:rPr>
          <w:rFonts w:cs="Calibri"/>
          <w:color w:val="auto"/>
          <w:w w:val="110"/>
          <w:szCs w:val="22"/>
        </w:rPr>
        <w:t>no</w:t>
      </w:r>
      <w:r w:rsidRPr="00DD7BD1">
        <w:rPr>
          <w:rFonts w:cs="Calibri"/>
          <w:color w:val="auto"/>
          <w:spacing w:val="-14"/>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associated</w:t>
      </w:r>
      <w:r w:rsidRPr="00DD7BD1">
        <w:rPr>
          <w:rFonts w:cs="Calibri"/>
          <w:color w:val="auto"/>
          <w:spacing w:val="-12"/>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either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4"/>
          <w:w w:val="110"/>
          <w:szCs w:val="22"/>
        </w:rPr>
        <w:t xml:space="preserve"> </w:t>
      </w:r>
      <w:r w:rsidRPr="00DD7BD1">
        <w:rPr>
          <w:rFonts w:cs="Calibri"/>
          <w:color w:val="auto"/>
          <w:w w:val="110"/>
          <w:szCs w:val="22"/>
        </w:rPr>
        <w:t>Creditable</w:t>
      </w:r>
      <w:r w:rsidRPr="00DD7BD1">
        <w:rPr>
          <w:rFonts w:cs="Calibri"/>
          <w:color w:val="auto"/>
          <w:spacing w:val="-14"/>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Notice and/or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Online</w:t>
      </w:r>
      <w:r w:rsidRPr="00DD7BD1">
        <w:rPr>
          <w:rFonts w:cs="Calibri"/>
          <w:color w:val="auto"/>
          <w:spacing w:val="-7"/>
          <w:w w:val="110"/>
          <w:szCs w:val="22"/>
        </w:rPr>
        <w:t xml:space="preserve"> </w:t>
      </w:r>
      <w:r w:rsidRPr="00DD7BD1">
        <w:rPr>
          <w:rFonts w:cs="Calibri"/>
          <w:color w:val="auto"/>
          <w:w w:val="110"/>
          <w:szCs w:val="22"/>
        </w:rPr>
        <w:t>Disclosure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CMS</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group's</w:t>
      </w:r>
      <w:r w:rsidRPr="00DD7BD1">
        <w:rPr>
          <w:rFonts w:cs="Calibri"/>
          <w:color w:val="auto"/>
          <w:spacing w:val="-9"/>
          <w:w w:val="110"/>
          <w:szCs w:val="22"/>
        </w:rPr>
        <w:t xml:space="preserve"> </w:t>
      </w:r>
      <w:r w:rsidRPr="00DD7BD1">
        <w:rPr>
          <w:rFonts w:cs="Calibri"/>
          <w:color w:val="auto"/>
          <w:w w:val="110"/>
          <w:szCs w:val="22"/>
        </w:rPr>
        <w:t>plan(s)</w:t>
      </w:r>
      <w:r w:rsidRPr="00DD7BD1">
        <w:rPr>
          <w:rFonts w:cs="Calibri"/>
          <w:color w:val="auto"/>
          <w:spacing w:val="-8"/>
          <w:w w:val="110"/>
          <w:szCs w:val="22"/>
        </w:rPr>
        <w:t xml:space="preserve"> </w:t>
      </w:r>
      <w:r w:rsidRPr="00DD7BD1">
        <w:rPr>
          <w:rFonts w:cs="Calibri"/>
          <w:color w:val="auto"/>
          <w:w w:val="110"/>
          <w:szCs w:val="22"/>
        </w:rPr>
        <w:t>Creditability,</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deferring Medicare</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w:t>
      </w:r>
      <w:r w:rsidRPr="00DD7BD1">
        <w:rPr>
          <w:rFonts w:cs="Calibri"/>
          <w:color w:val="auto"/>
          <w:spacing w:val="-12"/>
          <w:w w:val="110"/>
          <w:szCs w:val="22"/>
        </w:rPr>
        <w:t xml:space="preserve"> </w:t>
      </w:r>
      <w:r w:rsidRPr="00DD7BD1">
        <w:rPr>
          <w:rFonts w:cs="Calibri"/>
          <w:color w:val="auto"/>
          <w:w w:val="110"/>
          <w:szCs w:val="22"/>
        </w:rPr>
        <w:t>enrollment</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assessed</w:t>
      </w:r>
      <w:r w:rsidRPr="00DD7BD1">
        <w:rPr>
          <w:rFonts w:cs="Calibri"/>
          <w:color w:val="auto"/>
          <w:spacing w:val="-11"/>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should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group</w:t>
      </w:r>
      <w:r w:rsidRPr="00DD7BD1">
        <w:rPr>
          <w:rFonts w:cs="Calibri"/>
          <w:color w:val="auto"/>
          <w:spacing w:val="-13"/>
          <w:w w:val="110"/>
          <w:szCs w:val="22"/>
        </w:rPr>
        <w:t xml:space="preserve"> </w:t>
      </w:r>
      <w:r w:rsidRPr="00DD7BD1">
        <w:rPr>
          <w:rFonts w:cs="Calibri"/>
          <w:color w:val="auto"/>
          <w:w w:val="110"/>
          <w:szCs w:val="22"/>
        </w:rPr>
        <w:t>plans</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11"/>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enrolled</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were</w:t>
      </w:r>
      <w:r w:rsidRPr="00DD7BD1">
        <w:rPr>
          <w:rFonts w:cs="Calibri"/>
          <w:color w:val="auto"/>
          <w:spacing w:val="-11"/>
          <w:w w:val="110"/>
          <w:szCs w:val="22"/>
        </w:rPr>
        <w:t xml:space="preserve"> </w:t>
      </w:r>
      <w:r w:rsidRPr="00DD7BD1">
        <w:rPr>
          <w:rFonts w:cs="Calibri"/>
          <w:color w:val="auto"/>
          <w:w w:val="110"/>
          <w:szCs w:val="22"/>
        </w:rPr>
        <w:t xml:space="preserve">deemed </w:t>
      </w:r>
      <w:r w:rsidRPr="00DD7BD1">
        <w:rPr>
          <w:rFonts w:cs="Calibri"/>
          <w:color w:val="auto"/>
          <w:spacing w:val="-2"/>
          <w:w w:val="110"/>
          <w:szCs w:val="22"/>
        </w:rPr>
        <w:t>Non-Creditable.</w:t>
      </w:r>
    </w:p>
    <w:p w14:paraId="1EB769EE" w14:textId="77777777" w:rsidR="00E43496" w:rsidRPr="00DD7BD1" w:rsidRDefault="00E43496" w:rsidP="00E43496">
      <w:pPr>
        <w:pStyle w:val="BodyText"/>
        <w:spacing w:after="0" w:line="240" w:lineRule="auto"/>
        <w:ind w:right="-270"/>
        <w:jc w:val="left"/>
        <w:rPr>
          <w:rFonts w:cs="Calibri"/>
          <w:color w:val="auto"/>
          <w:sz w:val="16"/>
          <w:szCs w:val="16"/>
        </w:rPr>
      </w:pPr>
    </w:p>
    <w:p w14:paraId="7D679EF5"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can</w:t>
      </w:r>
      <w:r w:rsidRPr="00DD7BD1">
        <w:rPr>
          <w:rFonts w:cs="Calibri"/>
          <w:color w:val="auto"/>
          <w:spacing w:val="-15"/>
          <w:w w:val="110"/>
          <w:szCs w:val="22"/>
        </w:rPr>
        <w:t xml:space="preserve"> </w:t>
      </w:r>
      <w:r w:rsidRPr="00DD7BD1">
        <w:rPr>
          <w:rFonts w:cs="Calibri"/>
          <w:color w:val="auto"/>
          <w:w w:val="110"/>
          <w:szCs w:val="22"/>
        </w:rPr>
        <w:t>engage</w:t>
      </w:r>
      <w:r w:rsidRPr="00DD7BD1">
        <w:rPr>
          <w:rFonts w:cs="Calibri"/>
          <w:color w:val="auto"/>
          <w:spacing w:val="-15"/>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broker</w:t>
      </w:r>
      <w:r w:rsidRPr="00DD7BD1">
        <w:rPr>
          <w:rFonts w:cs="Calibri"/>
          <w:color w:val="auto"/>
          <w:spacing w:val="-16"/>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regard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this</w:t>
      </w:r>
      <w:r w:rsidRPr="00DD7BD1">
        <w:rPr>
          <w:rFonts w:cs="Calibri"/>
          <w:color w:val="auto"/>
          <w:spacing w:val="-15"/>
          <w:w w:val="110"/>
          <w:szCs w:val="22"/>
        </w:rPr>
        <w:t xml:space="preserve"> </w:t>
      </w:r>
      <w:r w:rsidRPr="00DD7BD1">
        <w:rPr>
          <w:rFonts w:cs="Calibri"/>
          <w:color w:val="auto"/>
          <w:w w:val="110"/>
          <w:szCs w:val="22"/>
        </w:rPr>
        <w:t>compliance</w:t>
      </w:r>
      <w:r w:rsidRPr="00DD7BD1">
        <w:rPr>
          <w:rFonts w:cs="Calibri"/>
          <w:color w:val="auto"/>
          <w:spacing w:val="-13"/>
          <w:w w:val="110"/>
          <w:szCs w:val="22"/>
        </w:rPr>
        <w:t xml:space="preserve"> </w:t>
      </w:r>
      <w:r w:rsidRPr="00DD7BD1">
        <w:rPr>
          <w:rFonts w:cs="Calibri"/>
          <w:color w:val="auto"/>
          <w:w w:val="110"/>
          <w:szCs w:val="22"/>
        </w:rPr>
        <w:t>obligation,</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carrier</w:t>
      </w:r>
      <w:r w:rsidRPr="00DD7BD1">
        <w:rPr>
          <w:rFonts w:cs="Calibri"/>
          <w:color w:val="auto"/>
          <w:spacing w:val="-16"/>
          <w:w w:val="110"/>
          <w:szCs w:val="22"/>
        </w:rPr>
        <w:t xml:space="preserve"> </w:t>
      </w:r>
      <w:r w:rsidRPr="00DD7BD1">
        <w:rPr>
          <w:rFonts w:cs="Calibri"/>
          <w:color w:val="auto"/>
          <w:w w:val="110"/>
          <w:szCs w:val="22"/>
        </w:rPr>
        <w:t>and/CMS</w:t>
      </w:r>
      <w:r w:rsidRPr="00DD7BD1">
        <w:rPr>
          <w:rFonts w:cs="Calibri"/>
          <w:color w:val="auto"/>
          <w:spacing w:val="-13"/>
          <w:w w:val="110"/>
          <w:szCs w:val="22"/>
        </w:rPr>
        <w:t xml:space="preserve"> </w:t>
      </w:r>
      <w:r w:rsidRPr="00DD7BD1">
        <w:rPr>
          <w:rFonts w:cs="Calibri"/>
          <w:color w:val="auto"/>
          <w:w w:val="110"/>
          <w:szCs w:val="22"/>
        </w:rPr>
        <w:t>for additional guidance and sample Notices.</w:t>
      </w:r>
    </w:p>
    <w:p w14:paraId="0B4A127F" w14:textId="77777777" w:rsidR="00E43496" w:rsidRPr="00DD7BD1" w:rsidRDefault="00E43496" w:rsidP="00E43496">
      <w:pPr>
        <w:pStyle w:val="BodyText"/>
        <w:spacing w:after="0" w:line="240" w:lineRule="auto"/>
        <w:ind w:right="-270"/>
        <w:jc w:val="left"/>
        <w:rPr>
          <w:rFonts w:cs="Calibri"/>
          <w:sz w:val="16"/>
          <w:szCs w:val="16"/>
        </w:rPr>
      </w:pPr>
    </w:p>
    <w:p w14:paraId="33B43E6C" w14:textId="77777777" w:rsidR="00E43496" w:rsidRPr="00DD7BD1" w:rsidRDefault="00E43496" w:rsidP="00E43496">
      <w:pPr>
        <w:pStyle w:val="BodyText"/>
        <w:spacing w:after="0" w:line="240" w:lineRule="auto"/>
        <w:ind w:right="-270"/>
        <w:jc w:val="left"/>
        <w:rPr>
          <w:rFonts w:cs="Calibri"/>
          <w:szCs w:val="22"/>
        </w:rPr>
      </w:pPr>
      <w:r w:rsidRPr="00DD7BD1">
        <w:rPr>
          <w:rFonts w:cs="Calibri"/>
          <w:color w:val="auto"/>
          <w:w w:val="110"/>
          <w:szCs w:val="22"/>
        </w:rPr>
        <w:t>CMS</w:t>
      </w:r>
      <w:r w:rsidRPr="00DD7BD1">
        <w:rPr>
          <w:rFonts w:cs="Calibri"/>
          <w:color w:val="auto"/>
          <w:spacing w:val="-7"/>
          <w:w w:val="110"/>
          <w:szCs w:val="22"/>
        </w:rPr>
        <w:t xml:space="preserve"> </w:t>
      </w:r>
      <w:r w:rsidRPr="00DD7BD1">
        <w:rPr>
          <w:rFonts w:cs="Calibri"/>
          <w:color w:val="auto"/>
          <w:w w:val="110"/>
          <w:szCs w:val="22"/>
        </w:rPr>
        <w:t>provides</w:t>
      </w:r>
      <w:r w:rsidRPr="00DD7BD1">
        <w:rPr>
          <w:rFonts w:cs="Calibri"/>
          <w:color w:val="auto"/>
          <w:spacing w:val="-5"/>
          <w:w w:val="110"/>
          <w:szCs w:val="22"/>
        </w:rPr>
        <w:t xml:space="preserve"> </w:t>
      </w:r>
      <w:hyperlink r:id="rId237">
        <w:r w:rsidRPr="00DD7BD1">
          <w:rPr>
            <w:rFonts w:cs="Calibri"/>
            <w:color w:val="0000FF"/>
            <w:w w:val="110"/>
            <w:szCs w:val="22"/>
            <w:u w:val="single" w:color="0000FF"/>
          </w:rPr>
          <w:t>model</w:t>
        </w:r>
        <w:r w:rsidRPr="00DD7BD1">
          <w:rPr>
            <w:rFonts w:cs="Calibri"/>
            <w:color w:val="0000FF"/>
            <w:spacing w:val="-9"/>
            <w:w w:val="110"/>
            <w:szCs w:val="22"/>
            <w:u w:val="single" w:color="0000FF"/>
          </w:rPr>
          <w:t xml:space="preserve"> </w:t>
        </w:r>
        <w:r w:rsidRPr="00DD7BD1">
          <w:rPr>
            <w:rFonts w:cs="Calibri"/>
            <w:color w:val="0000FF"/>
            <w:w w:val="110"/>
            <w:szCs w:val="22"/>
            <w:u w:val="single" w:color="0000FF"/>
          </w:rPr>
          <w:t>notices</w:t>
        </w:r>
      </w:hyperlink>
      <w:r w:rsidRPr="00DD7BD1">
        <w:rPr>
          <w:rFonts w:cs="Calibri"/>
          <w:color w:val="0000FF"/>
          <w:spacing w:val="-2"/>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both</w:t>
      </w:r>
      <w:r w:rsidRPr="00DD7BD1">
        <w:rPr>
          <w:rFonts w:cs="Calibri"/>
          <w:color w:val="auto"/>
          <w:spacing w:val="-8"/>
          <w:w w:val="110"/>
          <w:szCs w:val="22"/>
        </w:rPr>
        <w:t xml:space="preserve"> </w:t>
      </w:r>
      <w:r w:rsidRPr="00DD7BD1">
        <w:rPr>
          <w:rFonts w:cs="Calibri"/>
          <w:color w:val="auto"/>
          <w:w w:val="110"/>
          <w:szCs w:val="22"/>
        </w:rPr>
        <w:t>English</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Spanish</w:t>
      </w:r>
      <w:r w:rsidRPr="00DD7BD1">
        <w:rPr>
          <w:rFonts w:cs="Calibri"/>
          <w:color w:val="auto"/>
          <w:spacing w:val="-2"/>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well</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5"/>
          <w:w w:val="110"/>
          <w:szCs w:val="22"/>
        </w:rPr>
        <w:t xml:space="preserve"> </w:t>
      </w:r>
      <w:hyperlink r:id="rId238">
        <w:r w:rsidRPr="00DD7BD1">
          <w:rPr>
            <w:rFonts w:cs="Calibri"/>
            <w:color w:val="0000FF"/>
            <w:w w:val="110"/>
            <w:szCs w:val="22"/>
            <w:u w:val="single" w:color="0000FF"/>
          </w:rPr>
          <w:t>electronic</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disclosure</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rules.</w:t>
        </w:r>
      </w:hyperlink>
      <w:r w:rsidRPr="00DD7BD1">
        <w:rPr>
          <w:rFonts w:cs="Calibri"/>
          <w:color w:val="0000FF"/>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CMS has</w:t>
      </w:r>
      <w:r w:rsidRPr="00DD7BD1">
        <w:rPr>
          <w:rFonts w:cs="Calibri"/>
          <w:color w:val="auto"/>
          <w:spacing w:val="-7"/>
          <w:w w:val="110"/>
          <w:szCs w:val="22"/>
        </w:rPr>
        <w:t xml:space="preserve"> </w:t>
      </w:r>
      <w:r w:rsidRPr="00DD7BD1">
        <w:rPr>
          <w:rFonts w:cs="Calibri"/>
          <w:color w:val="auto"/>
          <w:w w:val="110"/>
          <w:szCs w:val="22"/>
        </w:rPr>
        <w:t>provided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hyperlink r:id="rId239">
        <w:r w:rsidRPr="00DD7BD1">
          <w:rPr>
            <w:rFonts w:cs="Calibri"/>
            <w:color w:val="0000FF"/>
            <w:w w:val="110"/>
            <w:szCs w:val="22"/>
            <w:u w:val="single" w:color="0000FF"/>
          </w:rPr>
          <w:t>Simplified</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Determination</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document</w:t>
        </w:r>
      </w:hyperlink>
      <w:r w:rsidRPr="00DD7BD1">
        <w:rPr>
          <w:rFonts w:cs="Calibri"/>
          <w:color w:val="0000FF"/>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help</w:t>
      </w:r>
      <w:r w:rsidRPr="00DD7BD1">
        <w:rPr>
          <w:rFonts w:cs="Calibri"/>
          <w:color w:val="auto"/>
          <w:spacing w:val="-5"/>
          <w:w w:val="110"/>
          <w:szCs w:val="22"/>
        </w:rPr>
        <w:t xml:space="preserve"> </w:t>
      </w:r>
      <w:r w:rsidRPr="00DD7BD1">
        <w:rPr>
          <w:rFonts w:cs="Calibri"/>
          <w:color w:val="auto"/>
          <w:w w:val="110"/>
          <w:szCs w:val="22"/>
        </w:rPr>
        <w:t>employers</w:t>
      </w:r>
      <w:r w:rsidRPr="00DD7BD1">
        <w:rPr>
          <w:rFonts w:cs="Calibri"/>
          <w:color w:val="auto"/>
          <w:spacing w:val="-5"/>
          <w:w w:val="110"/>
          <w:szCs w:val="22"/>
        </w:rPr>
        <w:t xml:space="preserve"> </w:t>
      </w:r>
      <w:r w:rsidRPr="00DD7BD1">
        <w:rPr>
          <w:rFonts w:cs="Calibri"/>
          <w:color w:val="auto"/>
          <w:w w:val="110"/>
          <w:szCs w:val="22"/>
        </w:rPr>
        <w:t>figure</w:t>
      </w:r>
      <w:r w:rsidRPr="00DD7BD1">
        <w:rPr>
          <w:rFonts w:cs="Calibri"/>
          <w:color w:val="auto"/>
          <w:spacing w:val="-6"/>
          <w:w w:val="110"/>
          <w:szCs w:val="22"/>
        </w:rPr>
        <w:t xml:space="preserve"> </w:t>
      </w:r>
      <w:r w:rsidRPr="00DD7BD1">
        <w:rPr>
          <w:rFonts w:cs="Calibri"/>
          <w:color w:val="auto"/>
          <w:w w:val="110"/>
          <w:szCs w:val="22"/>
        </w:rPr>
        <w:t>out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creditable</w:t>
      </w:r>
      <w:r w:rsidRPr="00DD7BD1">
        <w:rPr>
          <w:rFonts w:cs="Calibri"/>
          <w:color w:val="auto"/>
          <w:spacing w:val="-8"/>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status</w:t>
      </w:r>
      <w:r w:rsidRPr="00DD7BD1">
        <w:rPr>
          <w:rFonts w:cs="Calibri"/>
          <w:color w:val="auto"/>
          <w:spacing w:val="-5"/>
          <w:w w:val="110"/>
          <w:szCs w:val="22"/>
        </w:rPr>
        <w:t xml:space="preserve"> </w:t>
      </w:r>
      <w:r w:rsidRPr="00DD7BD1">
        <w:rPr>
          <w:rFonts w:cs="Calibri"/>
          <w:color w:val="auto"/>
          <w:w w:val="110"/>
          <w:szCs w:val="22"/>
        </w:rPr>
        <w:t>in the</w:t>
      </w:r>
      <w:r w:rsidRPr="00DD7BD1">
        <w:rPr>
          <w:rFonts w:cs="Calibri"/>
          <w:color w:val="auto"/>
          <w:spacing w:val="-10"/>
          <w:w w:val="110"/>
          <w:szCs w:val="22"/>
        </w:rPr>
        <w:t xml:space="preserve"> </w:t>
      </w:r>
      <w:r w:rsidRPr="00DD7BD1">
        <w:rPr>
          <w:rFonts w:cs="Calibri"/>
          <w:color w:val="auto"/>
          <w:w w:val="110"/>
          <w:szCs w:val="22"/>
        </w:rPr>
        <w:t>event</w:t>
      </w:r>
      <w:r w:rsidRPr="00DD7BD1">
        <w:rPr>
          <w:rFonts w:cs="Calibri"/>
          <w:color w:val="auto"/>
          <w:spacing w:val="-9"/>
          <w:w w:val="110"/>
          <w:szCs w:val="22"/>
        </w:rPr>
        <w:t xml:space="preserve"> </w:t>
      </w:r>
      <w:r w:rsidRPr="00DD7BD1">
        <w:rPr>
          <w:rFonts w:cs="Calibri"/>
          <w:color w:val="auto"/>
          <w:w w:val="110"/>
          <w:szCs w:val="22"/>
        </w:rPr>
        <w:t>that’s</w:t>
      </w:r>
      <w:r w:rsidRPr="00DD7BD1">
        <w:rPr>
          <w:rFonts w:cs="Calibri"/>
          <w:color w:val="auto"/>
          <w:spacing w:val="-10"/>
          <w:w w:val="110"/>
          <w:szCs w:val="22"/>
        </w:rPr>
        <w:t xml:space="preserve"> </w:t>
      </w:r>
      <w:r w:rsidRPr="00DD7BD1">
        <w:rPr>
          <w:rFonts w:cs="Calibri"/>
          <w:color w:val="auto"/>
          <w:w w:val="110"/>
          <w:szCs w:val="22"/>
        </w:rPr>
        <w:t>unknown.</w:t>
      </w:r>
      <w:r w:rsidRPr="00DD7BD1">
        <w:rPr>
          <w:rFonts w:cs="Calibri"/>
          <w:color w:val="auto"/>
          <w:spacing w:val="40"/>
          <w:w w:val="110"/>
          <w:szCs w:val="22"/>
        </w:rPr>
        <w:t xml:space="preserve"> </w:t>
      </w:r>
      <w:r w:rsidRPr="00DD7BD1">
        <w:rPr>
          <w:rFonts w:cs="Calibri"/>
          <w:color w:val="auto"/>
          <w:w w:val="110"/>
          <w:szCs w:val="22"/>
        </w:rPr>
        <w:t>More</w:t>
      </w:r>
      <w:r w:rsidRPr="00DD7BD1">
        <w:rPr>
          <w:rFonts w:cs="Calibri"/>
          <w:color w:val="auto"/>
          <w:spacing w:val="-11"/>
          <w:w w:val="110"/>
          <w:szCs w:val="22"/>
        </w:rPr>
        <w:t xml:space="preserve"> </w:t>
      </w:r>
      <w:r w:rsidRPr="00DD7BD1">
        <w:rPr>
          <w:rFonts w:cs="Calibri"/>
          <w:color w:val="auto"/>
          <w:w w:val="110"/>
          <w:szCs w:val="22"/>
        </w:rPr>
        <w:t>Creditable</w:t>
      </w:r>
      <w:r w:rsidRPr="00DD7BD1">
        <w:rPr>
          <w:rFonts w:cs="Calibri"/>
          <w:color w:val="auto"/>
          <w:spacing w:val="-10"/>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8"/>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40">
        <w:r w:rsidRPr="00DD7BD1">
          <w:rPr>
            <w:rFonts w:cs="Calibri"/>
            <w:color w:val="0000FF"/>
            <w:w w:val="110"/>
            <w:szCs w:val="22"/>
            <w:u w:val="single" w:color="0000FF"/>
          </w:rPr>
          <w:t>HERE</w:t>
        </w:r>
      </w:hyperlink>
      <w:r w:rsidRPr="00DD7BD1">
        <w:rPr>
          <w:rFonts w:cs="Calibri"/>
          <w:color w:val="0000FF"/>
          <w:spacing w:val="-9"/>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2026</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 xml:space="preserve">D Redesign Program instructions </w:t>
      </w:r>
      <w:hyperlink r:id="rId241">
        <w:r w:rsidRPr="00DD7BD1">
          <w:rPr>
            <w:rFonts w:cs="Calibri"/>
            <w:color w:val="0000FF"/>
            <w:w w:val="110"/>
            <w:szCs w:val="22"/>
            <w:u w:val="single" w:color="0000FF"/>
          </w:rPr>
          <w:t>HERE</w:t>
        </w:r>
      </w:hyperlink>
    </w:p>
    <w:p w14:paraId="24CB7620" w14:textId="77777777" w:rsidR="00E43496" w:rsidRPr="00DD7BD1" w:rsidRDefault="00E43496" w:rsidP="00E43496">
      <w:pPr>
        <w:pStyle w:val="Heading1"/>
        <w:spacing w:before="0" w:beforeAutospacing="0" w:after="0" w:afterAutospacing="0"/>
        <w:ind w:right="356"/>
        <w:jc w:val="center"/>
        <w:rPr>
          <w:rFonts w:ascii="Calibri" w:eastAsiaTheme="minorHAnsi" w:hAnsi="Calibri" w:cs="Calibri"/>
          <w:color w:val="C00000"/>
          <w:kern w:val="0"/>
          <w:sz w:val="22"/>
          <w:szCs w:val="22"/>
          <w:highlight w:val="magenta"/>
        </w:rPr>
      </w:pPr>
    </w:p>
    <w:p w14:paraId="2C7F68A4" w14:textId="4FC2639D" w:rsidR="00E43496" w:rsidRPr="00DD7BD1" w:rsidRDefault="00E43496" w:rsidP="00E43496">
      <w:pPr>
        <w:pStyle w:val="Heading1"/>
        <w:spacing w:before="0" w:beforeAutospacing="0" w:after="0" w:afterAutospacing="0"/>
        <w:ind w:right="356"/>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Federal Contractor VETS 4212 Filing – Due </w:t>
      </w:r>
      <w:r w:rsidRPr="00DD7BD1">
        <w:rPr>
          <w:rFonts w:ascii="Calibri" w:eastAsiaTheme="minorHAnsi" w:hAnsi="Calibri" w:cs="Calibri"/>
          <w:color w:val="C00000"/>
          <w:kern w:val="0"/>
          <w:sz w:val="28"/>
          <w:szCs w:val="28"/>
        </w:rPr>
        <w:t>Sept 30, 2025</w:t>
      </w:r>
    </w:p>
    <w:p w14:paraId="2EDE2C34" w14:textId="77777777" w:rsidR="00E43496" w:rsidRPr="00DD7BD1" w:rsidRDefault="00E43496" w:rsidP="00E43496">
      <w:pPr>
        <w:pStyle w:val="BodyText"/>
        <w:spacing w:after="0" w:line="240" w:lineRule="auto"/>
        <w:ind w:right="-274"/>
        <w:jc w:val="left"/>
        <w:rPr>
          <w:rFonts w:cs="Calibri"/>
          <w:color w:val="auto"/>
          <w:w w:val="110"/>
          <w:szCs w:val="22"/>
        </w:rPr>
      </w:pPr>
      <w:r w:rsidRPr="00DD7BD1">
        <w:rPr>
          <w:rFonts w:cs="Calibri"/>
          <w:color w:val="auto"/>
          <w:w w:val="110"/>
          <w:szCs w:val="22"/>
        </w:rPr>
        <w:t>Federal</w:t>
      </w:r>
      <w:r w:rsidRPr="00DD7BD1">
        <w:rPr>
          <w:rFonts w:cs="Calibri"/>
          <w:color w:val="auto"/>
          <w:spacing w:val="-11"/>
          <w:w w:val="110"/>
          <w:szCs w:val="22"/>
        </w:rPr>
        <w:t xml:space="preserve"> </w:t>
      </w:r>
      <w:r w:rsidRPr="00DD7BD1">
        <w:rPr>
          <w:rFonts w:cs="Calibri"/>
          <w:color w:val="auto"/>
          <w:w w:val="110"/>
          <w:szCs w:val="22"/>
        </w:rPr>
        <w:t>contractors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contract</w:t>
      </w:r>
      <w:r w:rsidRPr="00DD7BD1">
        <w:rPr>
          <w:rFonts w:cs="Calibri"/>
          <w:color w:val="auto"/>
          <w:spacing w:val="-7"/>
          <w:w w:val="110"/>
          <w:szCs w:val="22"/>
        </w:rPr>
        <w:t xml:space="preserve"> </w:t>
      </w:r>
      <w:r w:rsidRPr="00DD7BD1">
        <w:rPr>
          <w:rFonts w:cs="Calibri"/>
          <w:color w:val="auto"/>
          <w:w w:val="110"/>
          <w:szCs w:val="22"/>
        </w:rPr>
        <w:t>worth</w:t>
      </w:r>
      <w:r w:rsidRPr="00DD7BD1">
        <w:rPr>
          <w:rFonts w:cs="Calibri"/>
          <w:color w:val="auto"/>
          <w:spacing w:val="-5"/>
          <w:w w:val="110"/>
          <w:szCs w:val="22"/>
        </w:rPr>
        <w:t xml:space="preserve"> </w:t>
      </w:r>
      <w:r w:rsidRPr="00DD7BD1">
        <w:rPr>
          <w:rFonts w:cs="Calibri"/>
          <w:color w:val="auto"/>
          <w:w w:val="110"/>
          <w:szCs w:val="22"/>
        </w:rPr>
        <w:t>$150,000</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more</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file</w:t>
      </w:r>
      <w:r w:rsidRPr="00DD7BD1">
        <w:rPr>
          <w:rFonts w:cs="Calibri"/>
          <w:color w:val="auto"/>
          <w:spacing w:val="-4"/>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VETS-4212</w:t>
      </w:r>
      <w:r w:rsidRPr="00DD7BD1">
        <w:rPr>
          <w:rFonts w:cs="Calibri"/>
          <w:color w:val="auto"/>
          <w:spacing w:val="-5"/>
          <w:w w:val="110"/>
          <w:szCs w:val="22"/>
        </w:rPr>
        <w:t xml:space="preserve"> </w:t>
      </w:r>
      <w:r w:rsidRPr="00DD7BD1">
        <w:rPr>
          <w:rFonts w:cs="Calibri"/>
          <w:color w:val="auto"/>
          <w:w w:val="110"/>
          <w:szCs w:val="22"/>
        </w:rPr>
        <w:t>Report,</w:t>
      </w:r>
      <w:r w:rsidRPr="00DD7BD1">
        <w:rPr>
          <w:rFonts w:cs="Calibri"/>
          <w:color w:val="auto"/>
          <w:spacing w:val="-5"/>
          <w:w w:val="110"/>
          <w:szCs w:val="22"/>
        </w:rPr>
        <w:t xml:space="preserve"> </w:t>
      </w:r>
      <w:r w:rsidRPr="00DD7BD1">
        <w:rPr>
          <w:rFonts w:cs="Calibri"/>
          <w:color w:val="auto"/>
          <w:w w:val="110"/>
          <w:szCs w:val="22"/>
        </w:rPr>
        <w:t>which is due on September 30 of each year.</w:t>
      </w:r>
    </w:p>
    <w:p w14:paraId="1C528B74" w14:textId="77777777" w:rsidR="00E43496" w:rsidRPr="00DD7BD1" w:rsidRDefault="00E43496" w:rsidP="00E43496">
      <w:pPr>
        <w:pStyle w:val="BodyText"/>
        <w:spacing w:after="0" w:line="240" w:lineRule="auto"/>
        <w:ind w:right="-274"/>
        <w:jc w:val="left"/>
        <w:rPr>
          <w:rFonts w:cs="Calibri"/>
          <w:color w:val="auto"/>
          <w:sz w:val="16"/>
          <w:szCs w:val="16"/>
        </w:rPr>
      </w:pPr>
    </w:p>
    <w:p w14:paraId="25BC9C5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VETS-4212</w:t>
      </w:r>
      <w:r w:rsidRPr="00DD7BD1">
        <w:rPr>
          <w:rFonts w:cs="Calibri"/>
          <w:color w:val="auto"/>
          <w:spacing w:val="-13"/>
          <w:w w:val="110"/>
          <w:szCs w:val="22"/>
        </w:rPr>
        <w:t xml:space="preserve"> </w:t>
      </w:r>
      <w:r w:rsidRPr="00DD7BD1">
        <w:rPr>
          <w:rFonts w:cs="Calibri"/>
          <w:color w:val="auto"/>
          <w:w w:val="110"/>
          <w:szCs w:val="22"/>
        </w:rPr>
        <w:t>Report</w:t>
      </w:r>
      <w:r w:rsidRPr="00DD7BD1">
        <w:rPr>
          <w:rFonts w:cs="Calibri"/>
          <w:color w:val="auto"/>
          <w:spacing w:val="-14"/>
          <w:w w:val="110"/>
          <w:szCs w:val="22"/>
        </w:rPr>
        <w:t xml:space="preserve"> </w:t>
      </w:r>
      <w:r w:rsidRPr="00DD7BD1">
        <w:rPr>
          <w:rFonts w:cs="Calibri"/>
          <w:color w:val="auto"/>
          <w:w w:val="110"/>
          <w:szCs w:val="22"/>
        </w:rPr>
        <w:t>generally</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2"/>
          <w:w w:val="110"/>
          <w:szCs w:val="22"/>
        </w:rPr>
        <w:t xml:space="preserve"> </w:t>
      </w:r>
      <w:r w:rsidRPr="00DD7BD1">
        <w:rPr>
          <w:rFonts w:cs="Calibri"/>
          <w:color w:val="auto"/>
          <w:w w:val="110"/>
          <w:szCs w:val="22"/>
        </w:rPr>
        <w:t>information</w:t>
      </w:r>
      <w:r w:rsidRPr="00DD7BD1">
        <w:rPr>
          <w:rFonts w:cs="Calibri"/>
          <w:color w:val="auto"/>
          <w:spacing w:val="-13"/>
          <w:w w:val="110"/>
          <w:szCs w:val="22"/>
        </w:rPr>
        <w:t xml:space="preserve"> </w:t>
      </w:r>
      <w:r w:rsidRPr="00DD7BD1">
        <w:rPr>
          <w:rFonts w:cs="Calibri"/>
          <w:color w:val="auto"/>
          <w:w w:val="110"/>
          <w:szCs w:val="22"/>
        </w:rPr>
        <w:t>about</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contractor’s</w:t>
      </w:r>
      <w:r w:rsidRPr="00DD7BD1">
        <w:rPr>
          <w:rFonts w:cs="Calibri"/>
          <w:color w:val="auto"/>
          <w:spacing w:val="-12"/>
          <w:w w:val="110"/>
          <w:szCs w:val="22"/>
        </w:rPr>
        <w:t xml:space="preserve"> </w:t>
      </w:r>
      <w:r w:rsidRPr="00DD7BD1">
        <w:rPr>
          <w:rFonts w:cs="Calibri"/>
          <w:color w:val="auto"/>
          <w:w w:val="110"/>
          <w:szCs w:val="22"/>
        </w:rPr>
        <w:t>workforce</w:t>
      </w:r>
      <w:r w:rsidRPr="00DD7BD1">
        <w:rPr>
          <w:rFonts w:cs="Calibri"/>
          <w:color w:val="auto"/>
          <w:spacing w:val="-13"/>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each</w:t>
      </w:r>
      <w:r w:rsidRPr="00DD7BD1">
        <w:rPr>
          <w:rFonts w:cs="Calibri"/>
          <w:color w:val="auto"/>
          <w:spacing w:val="-13"/>
          <w:w w:val="110"/>
          <w:szCs w:val="22"/>
        </w:rPr>
        <w:t xml:space="preserve"> </w:t>
      </w:r>
      <w:r w:rsidRPr="00DD7BD1">
        <w:rPr>
          <w:rFonts w:cs="Calibri"/>
          <w:color w:val="auto"/>
          <w:w w:val="110"/>
          <w:szCs w:val="22"/>
        </w:rPr>
        <w:t>hiring</w:t>
      </w:r>
      <w:r w:rsidRPr="00DD7BD1">
        <w:rPr>
          <w:rFonts w:cs="Calibri"/>
          <w:color w:val="auto"/>
          <w:spacing w:val="-11"/>
          <w:w w:val="110"/>
          <w:szCs w:val="22"/>
        </w:rPr>
        <w:t xml:space="preserve"> </w:t>
      </w:r>
      <w:r w:rsidRPr="00DD7BD1">
        <w:rPr>
          <w:rFonts w:cs="Calibri"/>
          <w:color w:val="auto"/>
          <w:spacing w:val="-2"/>
          <w:w w:val="110"/>
          <w:szCs w:val="22"/>
        </w:rPr>
        <w:t>location,</w:t>
      </w:r>
    </w:p>
    <w:p w14:paraId="4FC655C0"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spacing w:val="-2"/>
          <w:w w:val="110"/>
          <w:szCs w:val="22"/>
        </w:rPr>
        <w:t>following:</w:t>
      </w:r>
    </w:p>
    <w:p w14:paraId="06D47DAC"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16"/>
        </w:rPr>
        <w:t xml:space="preserve"> </w:t>
      </w:r>
      <w:r w:rsidRPr="00DD7BD1">
        <w:rPr>
          <w:rFonts w:ascii="Calibri" w:hAnsi="Calibri" w:cs="Calibri"/>
        </w:rPr>
        <w:t>of</w:t>
      </w:r>
      <w:r w:rsidRPr="00DD7BD1">
        <w:rPr>
          <w:rFonts w:ascii="Calibri" w:hAnsi="Calibri" w:cs="Calibri"/>
          <w:spacing w:val="20"/>
        </w:rPr>
        <w:t xml:space="preserve"> </w:t>
      </w:r>
      <w:r w:rsidRPr="00DD7BD1">
        <w:rPr>
          <w:rFonts w:ascii="Calibri" w:hAnsi="Calibri" w:cs="Calibri"/>
          <w:spacing w:val="-2"/>
        </w:rPr>
        <w:t>employees</w:t>
      </w:r>
    </w:p>
    <w:p w14:paraId="20E5D79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2"/>
        </w:rPr>
        <w:t xml:space="preserve"> </w:t>
      </w:r>
      <w:r w:rsidRPr="00DD7BD1">
        <w:rPr>
          <w:rFonts w:ascii="Calibri" w:hAnsi="Calibri" w:cs="Calibri"/>
        </w:rPr>
        <w:t>of</w:t>
      </w:r>
      <w:r w:rsidRPr="00DD7BD1">
        <w:rPr>
          <w:rFonts w:ascii="Calibri" w:hAnsi="Calibri" w:cs="Calibri"/>
          <w:spacing w:val="23"/>
        </w:rPr>
        <w:t xml:space="preserve"> </w:t>
      </w:r>
      <w:r w:rsidRPr="00DD7BD1">
        <w:rPr>
          <w:rFonts w:ascii="Calibri" w:hAnsi="Calibri" w:cs="Calibri"/>
        </w:rPr>
        <w:t>protected</w:t>
      </w:r>
      <w:r w:rsidRPr="00DD7BD1">
        <w:rPr>
          <w:rFonts w:ascii="Calibri" w:hAnsi="Calibri" w:cs="Calibri"/>
          <w:spacing w:val="28"/>
        </w:rPr>
        <w:t xml:space="preserve"> </w:t>
      </w:r>
      <w:r w:rsidRPr="00DD7BD1">
        <w:rPr>
          <w:rFonts w:ascii="Calibri" w:hAnsi="Calibri" w:cs="Calibri"/>
          <w:spacing w:val="-2"/>
        </w:rPr>
        <w:t>veterans</w:t>
      </w:r>
    </w:p>
    <w:p w14:paraId="2C8BDCB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1"/>
        </w:rPr>
        <w:t xml:space="preserve"> </w:t>
      </w:r>
      <w:r w:rsidRPr="00DD7BD1">
        <w:rPr>
          <w:rFonts w:ascii="Calibri" w:hAnsi="Calibri" w:cs="Calibri"/>
        </w:rPr>
        <w:t>of</w:t>
      </w:r>
      <w:r w:rsidRPr="00DD7BD1">
        <w:rPr>
          <w:rFonts w:ascii="Calibri" w:hAnsi="Calibri" w:cs="Calibri"/>
          <w:spacing w:val="26"/>
        </w:rPr>
        <w:t xml:space="preserve"> </w:t>
      </w:r>
      <w:r w:rsidRPr="00DD7BD1">
        <w:rPr>
          <w:rFonts w:ascii="Calibri" w:hAnsi="Calibri" w:cs="Calibri"/>
        </w:rPr>
        <w:t>new</w:t>
      </w:r>
      <w:r w:rsidRPr="00DD7BD1">
        <w:rPr>
          <w:rFonts w:ascii="Calibri" w:hAnsi="Calibri" w:cs="Calibri"/>
          <w:spacing w:val="21"/>
        </w:rPr>
        <w:t xml:space="preserve"> </w:t>
      </w:r>
      <w:r w:rsidRPr="00DD7BD1">
        <w:rPr>
          <w:rFonts w:ascii="Calibri" w:hAnsi="Calibri" w:cs="Calibri"/>
        </w:rPr>
        <w:t>hires</w:t>
      </w:r>
      <w:r w:rsidRPr="00DD7BD1">
        <w:rPr>
          <w:rFonts w:ascii="Calibri" w:hAnsi="Calibri" w:cs="Calibri"/>
          <w:spacing w:val="27"/>
        </w:rPr>
        <w:t xml:space="preserve"> </w:t>
      </w:r>
      <w:r w:rsidRPr="00DD7BD1">
        <w:rPr>
          <w:rFonts w:ascii="Calibri" w:hAnsi="Calibri" w:cs="Calibri"/>
        </w:rPr>
        <w:t>during</w:t>
      </w:r>
      <w:r w:rsidRPr="00DD7BD1">
        <w:rPr>
          <w:rFonts w:ascii="Calibri" w:hAnsi="Calibri" w:cs="Calibri"/>
          <w:spacing w:val="24"/>
        </w:rPr>
        <w:t xml:space="preserve"> </w:t>
      </w:r>
      <w:r w:rsidRPr="00DD7BD1">
        <w:rPr>
          <w:rFonts w:ascii="Calibri" w:hAnsi="Calibri" w:cs="Calibri"/>
        </w:rPr>
        <w:t>the</w:t>
      </w:r>
      <w:r w:rsidRPr="00DD7BD1">
        <w:rPr>
          <w:rFonts w:ascii="Calibri" w:hAnsi="Calibri" w:cs="Calibri"/>
          <w:spacing w:val="22"/>
        </w:rPr>
        <w:t xml:space="preserve"> </w:t>
      </w:r>
      <w:r w:rsidRPr="00DD7BD1">
        <w:rPr>
          <w:rFonts w:ascii="Calibri" w:hAnsi="Calibri" w:cs="Calibri"/>
          <w:spacing w:val="-4"/>
        </w:rPr>
        <w:t>year</w:t>
      </w:r>
    </w:p>
    <w:p w14:paraId="0C9E7EA5"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w w:val="105"/>
        </w:rPr>
        <w:t>Number</w:t>
      </w:r>
      <w:r w:rsidRPr="00DD7BD1">
        <w:rPr>
          <w:rFonts w:ascii="Calibri" w:hAnsi="Calibri" w:cs="Calibri"/>
          <w:spacing w:val="-4"/>
          <w:w w:val="105"/>
        </w:rPr>
        <w:t xml:space="preserve"> </w:t>
      </w:r>
      <w:r w:rsidRPr="00DD7BD1">
        <w:rPr>
          <w:rFonts w:ascii="Calibri" w:hAnsi="Calibri" w:cs="Calibri"/>
          <w:w w:val="105"/>
        </w:rPr>
        <w:t>of</w:t>
      </w:r>
      <w:r w:rsidRPr="00DD7BD1">
        <w:rPr>
          <w:rFonts w:ascii="Calibri" w:hAnsi="Calibri" w:cs="Calibri"/>
          <w:spacing w:val="-3"/>
          <w:w w:val="105"/>
        </w:rPr>
        <w:t xml:space="preserve"> </w:t>
      </w:r>
      <w:r w:rsidRPr="00DD7BD1">
        <w:rPr>
          <w:rFonts w:ascii="Calibri" w:hAnsi="Calibri" w:cs="Calibri"/>
          <w:w w:val="105"/>
        </w:rPr>
        <w:t>protected veteran</w:t>
      </w:r>
      <w:r w:rsidRPr="00DD7BD1">
        <w:rPr>
          <w:rFonts w:ascii="Calibri" w:hAnsi="Calibri" w:cs="Calibri"/>
          <w:spacing w:val="-3"/>
          <w:w w:val="105"/>
        </w:rPr>
        <w:t xml:space="preserve"> </w:t>
      </w:r>
      <w:r w:rsidRPr="00DD7BD1">
        <w:rPr>
          <w:rFonts w:ascii="Calibri" w:hAnsi="Calibri" w:cs="Calibri"/>
          <w:w w:val="105"/>
        </w:rPr>
        <w:t>hires during</w:t>
      </w:r>
      <w:r w:rsidRPr="00DD7BD1">
        <w:rPr>
          <w:rFonts w:ascii="Calibri" w:hAnsi="Calibri" w:cs="Calibri"/>
          <w:spacing w:val="-2"/>
          <w:w w:val="105"/>
        </w:rPr>
        <w:t xml:space="preserve"> </w:t>
      </w:r>
      <w:r w:rsidRPr="00DD7BD1">
        <w:rPr>
          <w:rFonts w:ascii="Calibri" w:hAnsi="Calibri" w:cs="Calibri"/>
          <w:w w:val="105"/>
        </w:rPr>
        <w:t>the</w:t>
      </w:r>
      <w:r w:rsidRPr="00DD7BD1">
        <w:rPr>
          <w:rFonts w:ascii="Calibri" w:hAnsi="Calibri" w:cs="Calibri"/>
          <w:spacing w:val="1"/>
          <w:w w:val="105"/>
        </w:rPr>
        <w:t xml:space="preserve"> </w:t>
      </w:r>
      <w:r w:rsidRPr="00DD7BD1">
        <w:rPr>
          <w:rFonts w:ascii="Calibri" w:hAnsi="Calibri" w:cs="Calibri"/>
          <w:spacing w:val="-4"/>
          <w:w w:val="105"/>
        </w:rPr>
        <w:t>year</w:t>
      </w:r>
    </w:p>
    <w:p w14:paraId="376D3B96" w14:textId="77777777" w:rsidR="00E43496" w:rsidRPr="00DD7BD1" w:rsidRDefault="00E43496" w:rsidP="00E43496">
      <w:pPr>
        <w:pStyle w:val="BodyText"/>
        <w:spacing w:after="0" w:line="240" w:lineRule="auto"/>
        <w:ind w:right="-274"/>
        <w:jc w:val="left"/>
        <w:rPr>
          <w:rFonts w:cs="Calibri"/>
          <w:color w:val="auto"/>
          <w:sz w:val="16"/>
          <w:szCs w:val="16"/>
        </w:rPr>
      </w:pPr>
    </w:p>
    <w:p w14:paraId="7493B372"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szCs w:val="22"/>
        </w:rPr>
        <w:t xml:space="preserve">The same data and snapshot period can be used for both the 2024 EEO-1 and 2024 VETS-4212 reports provided </w:t>
      </w:r>
      <w:r w:rsidRPr="00DD7BD1">
        <w:rPr>
          <w:rFonts w:cs="Calibri"/>
          <w:color w:val="auto"/>
          <w:spacing w:val="-2"/>
          <w:w w:val="110"/>
          <w:szCs w:val="22"/>
        </w:rPr>
        <w:t>conditions</w:t>
      </w:r>
      <w:r w:rsidRPr="00DD7BD1">
        <w:rPr>
          <w:rFonts w:cs="Calibri"/>
          <w:color w:val="auto"/>
          <w:spacing w:val="-15"/>
          <w:w w:val="110"/>
          <w:szCs w:val="22"/>
        </w:rPr>
        <w:t xml:space="preserve"> </w:t>
      </w:r>
      <w:r w:rsidRPr="00DD7BD1">
        <w:rPr>
          <w:rFonts w:cs="Calibri"/>
          <w:color w:val="auto"/>
          <w:spacing w:val="-2"/>
          <w:w w:val="110"/>
          <w:szCs w:val="22"/>
        </w:rPr>
        <w:t>are</w:t>
      </w:r>
      <w:r w:rsidRPr="00DD7BD1">
        <w:rPr>
          <w:rFonts w:cs="Calibri"/>
          <w:color w:val="auto"/>
          <w:spacing w:val="-15"/>
          <w:w w:val="110"/>
          <w:szCs w:val="22"/>
        </w:rPr>
        <w:t xml:space="preserve"> </w:t>
      </w:r>
      <w:r w:rsidRPr="00DD7BD1">
        <w:rPr>
          <w:rFonts w:cs="Calibri"/>
          <w:color w:val="auto"/>
          <w:spacing w:val="-2"/>
          <w:w w:val="110"/>
          <w:szCs w:val="22"/>
        </w:rPr>
        <w:t>met</w:t>
      </w:r>
      <w:r w:rsidRPr="00DD7BD1">
        <w:rPr>
          <w:rFonts w:cs="Calibri"/>
          <w:color w:val="auto"/>
          <w:spacing w:val="-15"/>
          <w:w w:val="110"/>
          <w:szCs w:val="22"/>
        </w:rPr>
        <w:t xml:space="preserve"> </w:t>
      </w:r>
      <w:r w:rsidRPr="00DD7BD1">
        <w:rPr>
          <w:rFonts w:cs="Calibri"/>
          <w:color w:val="auto"/>
          <w:spacing w:val="-2"/>
          <w:w w:val="110"/>
          <w:szCs w:val="22"/>
        </w:rPr>
        <w:t>and</w:t>
      </w:r>
      <w:r w:rsidRPr="00DD7BD1">
        <w:rPr>
          <w:rFonts w:cs="Calibri"/>
          <w:color w:val="auto"/>
          <w:spacing w:val="-15"/>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additional</w:t>
      </w:r>
      <w:r w:rsidRPr="00DD7BD1">
        <w:rPr>
          <w:rFonts w:cs="Calibri"/>
          <w:color w:val="auto"/>
          <w:spacing w:val="-14"/>
          <w:w w:val="110"/>
          <w:szCs w:val="22"/>
        </w:rPr>
        <w:t xml:space="preserve"> </w:t>
      </w:r>
      <w:r w:rsidRPr="00DD7BD1">
        <w:rPr>
          <w:rFonts w:cs="Calibri"/>
          <w:color w:val="auto"/>
          <w:spacing w:val="-2"/>
          <w:w w:val="110"/>
          <w:szCs w:val="22"/>
        </w:rPr>
        <w:t>Protected</w:t>
      </w:r>
      <w:r w:rsidRPr="00DD7BD1">
        <w:rPr>
          <w:rFonts w:cs="Calibri"/>
          <w:color w:val="auto"/>
          <w:spacing w:val="-15"/>
          <w:w w:val="110"/>
          <w:szCs w:val="22"/>
        </w:rPr>
        <w:t xml:space="preserve"> </w:t>
      </w:r>
      <w:r w:rsidRPr="00DD7BD1">
        <w:rPr>
          <w:rFonts w:cs="Calibri"/>
          <w:color w:val="auto"/>
          <w:spacing w:val="-2"/>
          <w:w w:val="110"/>
          <w:szCs w:val="22"/>
        </w:rPr>
        <w:t>Veteran</w:t>
      </w:r>
      <w:r w:rsidRPr="00DD7BD1">
        <w:rPr>
          <w:rFonts w:cs="Calibri"/>
          <w:color w:val="auto"/>
          <w:spacing w:val="-15"/>
          <w:w w:val="110"/>
          <w:szCs w:val="22"/>
        </w:rPr>
        <w:t xml:space="preserve"> </w:t>
      </w:r>
      <w:r w:rsidRPr="00DD7BD1">
        <w:rPr>
          <w:rFonts w:cs="Calibri"/>
          <w:color w:val="auto"/>
          <w:spacing w:val="-2"/>
          <w:w w:val="110"/>
          <w:szCs w:val="22"/>
        </w:rPr>
        <w:t>Count</w:t>
      </w:r>
      <w:r w:rsidRPr="00DD7BD1">
        <w:rPr>
          <w:rFonts w:cs="Calibri"/>
          <w:color w:val="auto"/>
          <w:spacing w:val="-15"/>
          <w:w w:val="110"/>
          <w:szCs w:val="22"/>
        </w:rPr>
        <w:t xml:space="preserve"> </w:t>
      </w:r>
      <w:r w:rsidRPr="00DD7BD1">
        <w:rPr>
          <w:rFonts w:cs="Calibri"/>
          <w:color w:val="auto"/>
          <w:spacing w:val="-2"/>
          <w:w w:val="110"/>
          <w:szCs w:val="22"/>
        </w:rPr>
        <w:t>provided</w:t>
      </w:r>
      <w:r w:rsidRPr="00DD7BD1">
        <w:rPr>
          <w:rFonts w:cs="Calibri"/>
          <w:color w:val="auto"/>
          <w:spacing w:val="-15"/>
          <w:w w:val="110"/>
          <w:szCs w:val="22"/>
        </w:rPr>
        <w:t xml:space="preserve"> </w:t>
      </w:r>
      <w:r w:rsidRPr="00DD7BD1">
        <w:rPr>
          <w:rFonts w:cs="Calibri"/>
          <w:color w:val="auto"/>
          <w:spacing w:val="-2"/>
          <w:w w:val="110"/>
          <w:szCs w:val="22"/>
        </w:rPr>
        <w:t>along</w:t>
      </w:r>
      <w:r w:rsidRPr="00DD7BD1">
        <w:rPr>
          <w:rFonts w:cs="Calibri"/>
          <w:color w:val="auto"/>
          <w:spacing w:val="-14"/>
          <w:w w:val="110"/>
          <w:szCs w:val="22"/>
        </w:rPr>
        <w:t xml:space="preserve"> </w:t>
      </w:r>
      <w:r w:rsidRPr="00DD7BD1">
        <w:rPr>
          <w:rFonts w:cs="Calibri"/>
          <w:color w:val="auto"/>
          <w:spacing w:val="-2"/>
          <w:w w:val="110"/>
          <w:szCs w:val="22"/>
        </w:rPr>
        <w:t>with</w:t>
      </w:r>
      <w:r w:rsidRPr="00DD7BD1">
        <w:rPr>
          <w:rFonts w:cs="Calibri"/>
          <w:color w:val="auto"/>
          <w:spacing w:val="-15"/>
          <w:w w:val="110"/>
          <w:szCs w:val="22"/>
        </w:rPr>
        <w:t xml:space="preserve"> </w:t>
      </w:r>
      <w:r w:rsidRPr="00DD7BD1">
        <w:rPr>
          <w:rFonts w:cs="Calibri"/>
          <w:color w:val="auto"/>
          <w:spacing w:val="-2"/>
          <w:w w:val="110"/>
          <w:szCs w:val="22"/>
        </w:rPr>
        <w:t>Total</w:t>
      </w:r>
      <w:r w:rsidRPr="00DD7BD1">
        <w:rPr>
          <w:rFonts w:cs="Calibri"/>
          <w:color w:val="auto"/>
          <w:spacing w:val="-15"/>
          <w:w w:val="110"/>
          <w:szCs w:val="22"/>
        </w:rPr>
        <w:t xml:space="preserve"> </w:t>
      </w:r>
      <w:r w:rsidRPr="00DD7BD1">
        <w:rPr>
          <w:rFonts w:cs="Calibri"/>
          <w:color w:val="auto"/>
          <w:spacing w:val="-2"/>
          <w:w w:val="110"/>
          <w:szCs w:val="22"/>
        </w:rPr>
        <w:t>Employees.</w:t>
      </w:r>
      <w:r w:rsidRPr="00DD7BD1">
        <w:rPr>
          <w:rFonts w:cs="Calibri"/>
          <w:color w:val="auto"/>
          <w:spacing w:val="55"/>
          <w:w w:val="110"/>
          <w:szCs w:val="22"/>
        </w:rPr>
        <w:t xml:space="preserve"> </w:t>
      </w:r>
      <w:r w:rsidRPr="00DD7BD1">
        <w:rPr>
          <w:rFonts w:cs="Calibri"/>
          <w:color w:val="auto"/>
          <w:spacing w:val="-2"/>
          <w:w w:val="110"/>
          <w:szCs w:val="22"/>
        </w:rPr>
        <w:t>A</w:t>
      </w:r>
      <w:r w:rsidRPr="00DD7BD1">
        <w:rPr>
          <w:rFonts w:cs="Calibri"/>
          <w:color w:val="auto"/>
          <w:spacing w:val="-15"/>
          <w:w w:val="110"/>
          <w:szCs w:val="22"/>
        </w:rPr>
        <w:t xml:space="preserve"> </w:t>
      </w:r>
      <w:r w:rsidRPr="00DD7BD1">
        <w:rPr>
          <w:rFonts w:cs="Calibri"/>
          <w:color w:val="auto"/>
          <w:spacing w:val="-2"/>
          <w:w w:val="110"/>
          <w:szCs w:val="22"/>
        </w:rPr>
        <w:t xml:space="preserve">sample </w:t>
      </w:r>
      <w:r w:rsidRPr="00DD7BD1">
        <w:rPr>
          <w:rFonts w:cs="Calibri"/>
          <w:color w:val="auto"/>
          <w:w w:val="110"/>
          <w:szCs w:val="22"/>
        </w:rPr>
        <w:t>VETS 4212 report is provided as an example.</w:t>
      </w:r>
    </w:p>
    <w:p w14:paraId="615800F7" w14:textId="77777777" w:rsidR="00E43496" w:rsidRPr="00DD7BD1" w:rsidRDefault="00E43496" w:rsidP="00E43496">
      <w:pPr>
        <w:pStyle w:val="BodyText"/>
        <w:spacing w:after="0" w:line="240" w:lineRule="auto"/>
        <w:ind w:right="-274"/>
        <w:jc w:val="left"/>
        <w:rPr>
          <w:rFonts w:cs="Calibri"/>
          <w:color w:val="auto"/>
          <w:sz w:val="16"/>
          <w:szCs w:val="16"/>
        </w:rPr>
      </w:pPr>
    </w:p>
    <w:p w14:paraId="0829FAF2"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Filing Period</w:t>
      </w:r>
    </w:p>
    <w:p w14:paraId="4D8CC904"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official</w:t>
      </w:r>
      <w:r w:rsidRPr="00DD7BD1">
        <w:rPr>
          <w:rFonts w:ascii="Calibri" w:hAnsi="Calibri" w:cs="Calibri"/>
          <w:spacing w:val="-17"/>
          <w:w w:val="110"/>
        </w:rPr>
        <w:t xml:space="preserve"> </w:t>
      </w:r>
      <w:r w:rsidRPr="00DD7BD1">
        <w:rPr>
          <w:rFonts w:ascii="Calibri" w:hAnsi="Calibri" w:cs="Calibri"/>
          <w:w w:val="110"/>
        </w:rPr>
        <w:t>filing</w:t>
      </w:r>
      <w:r w:rsidRPr="00DD7BD1">
        <w:rPr>
          <w:rFonts w:ascii="Calibri" w:hAnsi="Calibri" w:cs="Calibri"/>
          <w:spacing w:val="-17"/>
          <w:w w:val="110"/>
        </w:rPr>
        <w:t xml:space="preserve"> </w:t>
      </w:r>
      <w:r w:rsidRPr="00DD7BD1">
        <w:rPr>
          <w:rFonts w:ascii="Calibri" w:hAnsi="Calibri" w:cs="Calibri"/>
          <w:w w:val="110"/>
        </w:rPr>
        <w:t>cycle</w:t>
      </w:r>
      <w:r w:rsidRPr="00DD7BD1">
        <w:rPr>
          <w:rFonts w:ascii="Calibri" w:hAnsi="Calibri" w:cs="Calibri"/>
          <w:spacing w:val="-13"/>
          <w:w w:val="110"/>
        </w:rPr>
        <w:t xml:space="preserve"> </w:t>
      </w:r>
      <w:r w:rsidRPr="00DD7BD1">
        <w:rPr>
          <w:rFonts w:ascii="Calibri" w:hAnsi="Calibri" w:cs="Calibri"/>
          <w:w w:val="110"/>
        </w:rPr>
        <w:t>is</w:t>
      </w:r>
      <w:r w:rsidRPr="00DD7BD1">
        <w:rPr>
          <w:rFonts w:ascii="Calibri" w:hAnsi="Calibri" w:cs="Calibri"/>
          <w:spacing w:val="-14"/>
          <w:w w:val="110"/>
        </w:rPr>
        <w:t xml:space="preserve"> </w:t>
      </w:r>
      <w:r w:rsidRPr="00DD7BD1">
        <w:rPr>
          <w:rFonts w:ascii="Calibri" w:hAnsi="Calibri" w:cs="Calibri"/>
          <w:w w:val="110"/>
        </w:rPr>
        <w:t>yearly,</w:t>
      </w:r>
      <w:r w:rsidRPr="00DD7BD1">
        <w:rPr>
          <w:rFonts w:ascii="Calibri" w:hAnsi="Calibri" w:cs="Calibri"/>
          <w:spacing w:val="-11"/>
          <w:w w:val="110"/>
        </w:rPr>
        <w:t xml:space="preserve"> </w:t>
      </w:r>
      <w:r w:rsidRPr="00DD7BD1">
        <w:rPr>
          <w:rFonts w:ascii="Calibri" w:hAnsi="Calibri" w:cs="Calibri"/>
          <w:b/>
          <w:w w:val="110"/>
        </w:rPr>
        <w:t>August</w:t>
      </w:r>
      <w:r w:rsidRPr="00DD7BD1">
        <w:rPr>
          <w:rFonts w:ascii="Calibri" w:hAnsi="Calibri" w:cs="Calibri"/>
          <w:b/>
          <w:spacing w:val="-14"/>
          <w:w w:val="110"/>
        </w:rPr>
        <w:t xml:space="preserve"> </w:t>
      </w:r>
      <w:r w:rsidRPr="00DD7BD1">
        <w:rPr>
          <w:rFonts w:ascii="Calibri" w:hAnsi="Calibri" w:cs="Calibri"/>
          <w:b/>
          <w:w w:val="110"/>
        </w:rPr>
        <w:t>1</w:t>
      </w:r>
      <w:r w:rsidRPr="00DD7BD1">
        <w:rPr>
          <w:rFonts w:ascii="Calibri" w:hAnsi="Calibri" w:cs="Calibri"/>
          <w:b/>
          <w:spacing w:val="-13"/>
          <w:w w:val="110"/>
        </w:rPr>
        <w:t xml:space="preserve"> </w:t>
      </w:r>
      <w:r w:rsidRPr="00DD7BD1">
        <w:rPr>
          <w:rFonts w:ascii="Calibri" w:hAnsi="Calibri" w:cs="Calibri"/>
          <w:b/>
          <w:w w:val="110"/>
        </w:rPr>
        <w:t>to</w:t>
      </w:r>
      <w:r w:rsidRPr="00DD7BD1">
        <w:rPr>
          <w:rFonts w:ascii="Calibri" w:hAnsi="Calibri" w:cs="Calibri"/>
          <w:b/>
          <w:spacing w:val="-17"/>
          <w:w w:val="110"/>
        </w:rPr>
        <w:t xml:space="preserve"> </w:t>
      </w:r>
      <w:r w:rsidRPr="00DD7BD1">
        <w:rPr>
          <w:rFonts w:ascii="Calibri" w:hAnsi="Calibri" w:cs="Calibri"/>
          <w:b/>
          <w:w w:val="110"/>
        </w:rPr>
        <w:t>September</w:t>
      </w:r>
      <w:r w:rsidRPr="00DD7BD1">
        <w:rPr>
          <w:rFonts w:ascii="Calibri" w:hAnsi="Calibri" w:cs="Calibri"/>
          <w:b/>
          <w:spacing w:val="-15"/>
          <w:w w:val="110"/>
        </w:rPr>
        <w:t xml:space="preserve"> </w:t>
      </w:r>
      <w:r w:rsidRPr="00DD7BD1">
        <w:rPr>
          <w:rFonts w:ascii="Calibri" w:hAnsi="Calibri" w:cs="Calibri"/>
          <w:b/>
          <w:w w:val="110"/>
        </w:rPr>
        <w:t>30</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Reports</w:t>
      </w:r>
      <w:r w:rsidRPr="00DD7BD1">
        <w:rPr>
          <w:rFonts w:ascii="Calibri" w:hAnsi="Calibri" w:cs="Calibri"/>
          <w:spacing w:val="-13"/>
          <w:w w:val="110"/>
        </w:rPr>
        <w:t xml:space="preserve"> </w:t>
      </w:r>
      <w:r w:rsidRPr="00DD7BD1">
        <w:rPr>
          <w:rFonts w:ascii="Calibri" w:hAnsi="Calibri" w:cs="Calibri"/>
          <w:w w:val="110"/>
        </w:rPr>
        <w:t>filed</w:t>
      </w:r>
      <w:r w:rsidRPr="00DD7BD1">
        <w:rPr>
          <w:rFonts w:ascii="Calibri" w:hAnsi="Calibri" w:cs="Calibri"/>
          <w:spacing w:val="-17"/>
          <w:w w:val="110"/>
        </w:rPr>
        <w:t xml:space="preserve"> </w:t>
      </w:r>
      <w:r w:rsidRPr="00DD7BD1">
        <w:rPr>
          <w:rFonts w:ascii="Calibri" w:hAnsi="Calibri" w:cs="Calibri"/>
          <w:w w:val="110"/>
        </w:rPr>
        <w:t>outside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official</w:t>
      </w:r>
      <w:r w:rsidRPr="00DD7BD1">
        <w:rPr>
          <w:rFonts w:ascii="Calibri" w:hAnsi="Calibri" w:cs="Calibri"/>
          <w:spacing w:val="-14"/>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cycle will be treated as part of the currently active filing cycle.</w:t>
      </w:r>
    </w:p>
    <w:p w14:paraId="2D0873A6" w14:textId="77777777" w:rsidR="00E43496" w:rsidRPr="00DD7BD1" w:rsidRDefault="00E43496" w:rsidP="00E43496">
      <w:pPr>
        <w:pStyle w:val="BodyText"/>
        <w:spacing w:after="0" w:line="240" w:lineRule="auto"/>
        <w:ind w:right="-274"/>
        <w:jc w:val="left"/>
        <w:rPr>
          <w:rFonts w:cs="Calibri"/>
          <w:b/>
          <w:bCs/>
          <w:color w:val="auto"/>
          <w:sz w:val="16"/>
          <w:szCs w:val="16"/>
        </w:rPr>
      </w:pPr>
    </w:p>
    <w:p w14:paraId="38496EF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Submitting Form VETS-4212</w:t>
      </w:r>
    </w:p>
    <w:p w14:paraId="7431B989"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Federal</w:t>
      </w:r>
      <w:r w:rsidRPr="00DD7BD1">
        <w:rPr>
          <w:rFonts w:ascii="Calibri" w:hAnsi="Calibri" w:cs="Calibri"/>
          <w:spacing w:val="-13"/>
          <w:w w:val="110"/>
        </w:rPr>
        <w:t xml:space="preserve"> </w:t>
      </w:r>
      <w:r w:rsidRPr="00DD7BD1">
        <w:rPr>
          <w:rFonts w:ascii="Calibri" w:hAnsi="Calibri" w:cs="Calibri"/>
          <w:w w:val="110"/>
        </w:rPr>
        <w:t>contractors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4"/>
          <w:w w:val="110"/>
        </w:rPr>
        <w:t xml:space="preserve"> </w:t>
      </w:r>
      <w:r w:rsidRPr="00DD7BD1">
        <w:rPr>
          <w:rFonts w:ascii="Calibri" w:hAnsi="Calibri" w:cs="Calibri"/>
          <w:w w:val="110"/>
        </w:rPr>
        <w:t>subcontractors</w:t>
      </w:r>
      <w:r w:rsidRPr="00DD7BD1">
        <w:rPr>
          <w:rFonts w:ascii="Calibri" w:hAnsi="Calibri" w:cs="Calibri"/>
          <w:spacing w:val="-11"/>
          <w:w w:val="110"/>
        </w:rPr>
        <w:t xml:space="preserve"> </w:t>
      </w:r>
      <w:r w:rsidRPr="00DD7BD1">
        <w:rPr>
          <w:rFonts w:ascii="Calibri" w:hAnsi="Calibri" w:cs="Calibri"/>
          <w:w w:val="110"/>
        </w:rPr>
        <w:t>who</w:t>
      </w:r>
      <w:r w:rsidRPr="00DD7BD1">
        <w:rPr>
          <w:rFonts w:ascii="Calibri" w:hAnsi="Calibri" w:cs="Calibri"/>
          <w:spacing w:val="-11"/>
          <w:w w:val="110"/>
        </w:rPr>
        <w:t xml:space="preserve"> </w:t>
      </w:r>
      <w:r w:rsidRPr="00DD7BD1">
        <w:rPr>
          <w:rFonts w:ascii="Calibri" w:hAnsi="Calibri" w:cs="Calibri"/>
          <w:w w:val="110"/>
        </w:rPr>
        <w:t>are</w:t>
      </w:r>
      <w:r w:rsidRPr="00DD7BD1">
        <w:rPr>
          <w:rFonts w:ascii="Calibri" w:hAnsi="Calibri" w:cs="Calibri"/>
          <w:spacing w:val="-12"/>
          <w:w w:val="110"/>
        </w:rPr>
        <w:t xml:space="preserve"> </w:t>
      </w:r>
      <w:r w:rsidRPr="00DD7BD1">
        <w:rPr>
          <w:rFonts w:ascii="Calibri" w:hAnsi="Calibri" w:cs="Calibri"/>
          <w:w w:val="110"/>
        </w:rPr>
        <w:t>required</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file</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1"/>
          <w:w w:val="110"/>
        </w:rPr>
        <w:t xml:space="preserve"> </w:t>
      </w:r>
      <w:r w:rsidRPr="00DD7BD1">
        <w:rPr>
          <w:rFonts w:ascii="Calibri" w:hAnsi="Calibri" w:cs="Calibri"/>
          <w:w w:val="110"/>
        </w:rPr>
        <w:t>VETS-4212</w:t>
      </w:r>
      <w:r w:rsidRPr="00DD7BD1">
        <w:rPr>
          <w:rFonts w:ascii="Calibri" w:hAnsi="Calibri" w:cs="Calibri"/>
          <w:spacing w:val="-11"/>
          <w:w w:val="110"/>
        </w:rPr>
        <w:t xml:space="preserve"> </w:t>
      </w:r>
      <w:r w:rsidRPr="00DD7BD1">
        <w:rPr>
          <w:rFonts w:ascii="Calibri" w:hAnsi="Calibri" w:cs="Calibri"/>
          <w:w w:val="110"/>
        </w:rPr>
        <w:t>can</w:t>
      </w:r>
      <w:r w:rsidRPr="00DD7BD1">
        <w:rPr>
          <w:rFonts w:ascii="Calibri" w:hAnsi="Calibri" w:cs="Calibri"/>
          <w:spacing w:val="-12"/>
          <w:w w:val="110"/>
        </w:rPr>
        <w:t xml:space="preserve"> </w:t>
      </w:r>
      <w:r w:rsidRPr="00DD7BD1">
        <w:rPr>
          <w:rFonts w:ascii="Calibri" w:hAnsi="Calibri" w:cs="Calibri"/>
          <w:w w:val="110"/>
        </w:rPr>
        <w:t>submit</w:t>
      </w:r>
      <w:r w:rsidRPr="00DD7BD1">
        <w:rPr>
          <w:rFonts w:ascii="Calibri" w:hAnsi="Calibri" w:cs="Calibri"/>
          <w:spacing w:val="-10"/>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forms electronically</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5"/>
          <w:w w:val="110"/>
        </w:rPr>
        <w:t xml:space="preserve"> </w:t>
      </w:r>
      <w:r w:rsidRPr="00DD7BD1">
        <w:rPr>
          <w:rFonts w:ascii="Calibri" w:hAnsi="Calibri" w:cs="Calibri"/>
          <w:w w:val="110"/>
        </w:rPr>
        <w:t>using</w:t>
      </w:r>
      <w:r w:rsidRPr="00DD7BD1">
        <w:rPr>
          <w:rFonts w:ascii="Calibri" w:hAnsi="Calibri" w:cs="Calibri"/>
          <w:spacing w:val="-15"/>
          <w:w w:val="110"/>
        </w:rPr>
        <w:t xml:space="preserve"> </w:t>
      </w:r>
      <w:r w:rsidRPr="00DD7BD1">
        <w:rPr>
          <w:rFonts w:ascii="Calibri" w:hAnsi="Calibri" w:cs="Calibri"/>
          <w:w w:val="110"/>
        </w:rPr>
        <w:t>either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VETS-4212</w:t>
      </w:r>
      <w:r w:rsidRPr="00DD7BD1">
        <w:rPr>
          <w:rFonts w:ascii="Calibri" w:hAnsi="Calibri" w:cs="Calibri"/>
          <w:spacing w:val="-16"/>
          <w:w w:val="110"/>
        </w:rPr>
        <w:t xml:space="preserve"> </w:t>
      </w:r>
      <w:r w:rsidRPr="00DD7BD1">
        <w:rPr>
          <w:rFonts w:ascii="Calibri" w:hAnsi="Calibri" w:cs="Calibri"/>
          <w:w w:val="110"/>
        </w:rPr>
        <w:t>Reporting</w:t>
      </w:r>
      <w:r w:rsidRPr="00DD7BD1">
        <w:rPr>
          <w:rFonts w:ascii="Calibri" w:hAnsi="Calibri" w:cs="Calibri"/>
          <w:spacing w:val="-13"/>
          <w:w w:val="110"/>
        </w:rPr>
        <w:t xml:space="preserve"> </w:t>
      </w:r>
      <w:r w:rsidRPr="00DD7BD1">
        <w:rPr>
          <w:rFonts w:ascii="Calibri" w:hAnsi="Calibri" w:cs="Calibri"/>
          <w:w w:val="110"/>
        </w:rPr>
        <w:t>Application</w:t>
      </w:r>
      <w:r w:rsidRPr="00DD7BD1">
        <w:rPr>
          <w:rFonts w:ascii="Calibri" w:hAnsi="Calibri" w:cs="Calibri"/>
          <w:spacing w:val="-17"/>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batch</w:t>
      </w:r>
      <w:r w:rsidRPr="00DD7BD1">
        <w:rPr>
          <w:rFonts w:ascii="Calibri" w:hAnsi="Calibri" w:cs="Calibri"/>
          <w:spacing w:val="-13"/>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process,</w:t>
      </w:r>
      <w:r w:rsidRPr="00DD7BD1">
        <w:rPr>
          <w:rFonts w:ascii="Calibri" w:hAnsi="Calibri" w:cs="Calibri"/>
          <w:spacing w:val="-16"/>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by</w:t>
      </w:r>
      <w:r w:rsidRPr="00DD7BD1">
        <w:rPr>
          <w:rFonts w:ascii="Calibri" w:hAnsi="Calibri" w:cs="Calibri"/>
          <w:spacing w:val="-12"/>
          <w:w w:val="110"/>
        </w:rPr>
        <w:t xml:space="preserve"> </w:t>
      </w:r>
      <w:r w:rsidRPr="00DD7BD1">
        <w:rPr>
          <w:rFonts w:ascii="Calibri" w:hAnsi="Calibri" w:cs="Calibri"/>
          <w:w w:val="110"/>
        </w:rPr>
        <w:t>using</w:t>
      </w:r>
      <w:r w:rsidRPr="00DD7BD1">
        <w:rPr>
          <w:rFonts w:ascii="Calibri" w:hAnsi="Calibri" w:cs="Calibri"/>
          <w:spacing w:val="-13"/>
          <w:w w:val="110"/>
        </w:rPr>
        <w:t xml:space="preserve"> </w:t>
      </w:r>
      <w:r w:rsidRPr="00DD7BD1">
        <w:rPr>
          <w:rFonts w:ascii="Calibri" w:hAnsi="Calibri" w:cs="Calibri"/>
          <w:w w:val="110"/>
        </w:rPr>
        <w:t>the paper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0"/>
          <w:w w:val="110"/>
        </w:rPr>
        <w:t xml:space="preserve"> </w:t>
      </w:r>
      <w:r w:rsidRPr="00DD7BD1">
        <w:rPr>
          <w:rFonts w:ascii="Calibri" w:hAnsi="Calibri" w:cs="Calibri"/>
          <w:w w:val="110"/>
        </w:rPr>
        <w:t>by</w:t>
      </w:r>
      <w:r w:rsidRPr="00DD7BD1">
        <w:rPr>
          <w:rFonts w:ascii="Calibri" w:hAnsi="Calibri" w:cs="Calibri"/>
          <w:spacing w:val="-8"/>
          <w:w w:val="110"/>
        </w:rPr>
        <w:t xml:space="preserve"> </w:t>
      </w:r>
      <w:r w:rsidRPr="00DD7BD1">
        <w:rPr>
          <w:rFonts w:ascii="Calibri" w:hAnsi="Calibri" w:cs="Calibri"/>
          <w:w w:val="110"/>
        </w:rPr>
        <w:t>email</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U.S.</w:t>
      </w:r>
      <w:r w:rsidRPr="00DD7BD1">
        <w:rPr>
          <w:rFonts w:ascii="Calibri" w:hAnsi="Calibri" w:cs="Calibri"/>
          <w:spacing w:val="-9"/>
          <w:w w:val="110"/>
        </w:rPr>
        <w:t xml:space="preserve"> </w:t>
      </w:r>
      <w:r w:rsidRPr="00DD7BD1">
        <w:rPr>
          <w:rFonts w:ascii="Calibri" w:hAnsi="Calibri" w:cs="Calibri"/>
          <w:w w:val="110"/>
        </w:rPr>
        <w:t>mail.</w:t>
      </w:r>
      <w:r w:rsidRPr="00DD7BD1">
        <w:rPr>
          <w:rFonts w:ascii="Calibri" w:hAnsi="Calibri" w:cs="Calibri"/>
          <w:spacing w:val="-9"/>
          <w:w w:val="110"/>
        </w:rPr>
        <w:t xml:space="preserve"> </w:t>
      </w:r>
      <w:r w:rsidRPr="00DD7BD1">
        <w:rPr>
          <w:rFonts w:ascii="Calibri" w:hAnsi="Calibri" w:cs="Calibri"/>
          <w:w w:val="110"/>
        </w:rPr>
        <w:t>We</w:t>
      </w:r>
      <w:r w:rsidRPr="00DD7BD1">
        <w:rPr>
          <w:rFonts w:ascii="Calibri" w:hAnsi="Calibri" w:cs="Calibri"/>
          <w:spacing w:val="-8"/>
          <w:w w:val="110"/>
        </w:rPr>
        <w:t xml:space="preserve"> </w:t>
      </w:r>
      <w:r w:rsidRPr="00DD7BD1">
        <w:rPr>
          <w:rFonts w:ascii="Calibri" w:hAnsi="Calibri" w:cs="Calibri"/>
          <w:w w:val="110"/>
        </w:rPr>
        <w:t>recommend</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you</w:t>
      </w:r>
      <w:r w:rsidRPr="00DD7BD1">
        <w:rPr>
          <w:rFonts w:ascii="Calibri" w:hAnsi="Calibri" w:cs="Calibri"/>
          <w:spacing w:val="-8"/>
          <w:w w:val="110"/>
        </w:rPr>
        <w:t xml:space="preserve"> </w:t>
      </w:r>
      <w:r w:rsidRPr="00DD7BD1">
        <w:rPr>
          <w:rFonts w:ascii="Calibri" w:hAnsi="Calibri" w:cs="Calibri"/>
          <w:w w:val="110"/>
        </w:rPr>
        <w:t>file</w:t>
      </w:r>
      <w:r w:rsidRPr="00DD7BD1">
        <w:rPr>
          <w:rFonts w:ascii="Calibri" w:hAnsi="Calibri" w:cs="Calibri"/>
          <w:spacing w:val="-10"/>
          <w:w w:val="110"/>
        </w:rPr>
        <w:t xml:space="preserve"> </w:t>
      </w:r>
      <w:r w:rsidRPr="00DD7BD1">
        <w:rPr>
          <w:rFonts w:ascii="Calibri" w:hAnsi="Calibri" w:cs="Calibri"/>
          <w:w w:val="110"/>
        </w:rPr>
        <w:t>your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8"/>
          <w:w w:val="110"/>
        </w:rPr>
        <w:t xml:space="preserve"> </w:t>
      </w:r>
      <w:r w:rsidRPr="00DD7BD1">
        <w:rPr>
          <w:rFonts w:ascii="Calibri" w:hAnsi="Calibri" w:cs="Calibri"/>
          <w:w w:val="110"/>
        </w:rPr>
        <w:t>electronically.</w:t>
      </w:r>
    </w:p>
    <w:p w14:paraId="32A7C07F" w14:textId="77777777" w:rsidR="00E43496" w:rsidRPr="00DD7BD1" w:rsidRDefault="00E43496" w:rsidP="00E43496">
      <w:pPr>
        <w:pStyle w:val="BodyText"/>
        <w:spacing w:after="0" w:line="240" w:lineRule="auto"/>
        <w:ind w:right="-270"/>
        <w:rPr>
          <w:rFonts w:cs="Calibri"/>
          <w:b/>
          <w:bCs/>
          <w:color w:val="auto"/>
          <w:sz w:val="16"/>
          <w:szCs w:val="16"/>
        </w:rPr>
      </w:pPr>
    </w:p>
    <w:p w14:paraId="68908833" w14:textId="77777777" w:rsidR="00E43496" w:rsidRPr="00DD7BD1" w:rsidRDefault="00E43496" w:rsidP="00E43496">
      <w:pPr>
        <w:pStyle w:val="BodyText"/>
        <w:spacing w:after="0" w:line="240" w:lineRule="auto"/>
        <w:ind w:right="-270"/>
        <w:rPr>
          <w:rFonts w:cs="Calibri"/>
          <w:b/>
          <w:bCs/>
          <w:color w:val="auto"/>
          <w:szCs w:val="22"/>
        </w:rPr>
      </w:pPr>
      <w:r w:rsidRPr="00DD7BD1">
        <w:rPr>
          <w:rFonts w:cs="Calibri"/>
          <w:b/>
          <w:bCs/>
          <w:color w:val="auto"/>
          <w:szCs w:val="22"/>
        </w:rPr>
        <w:t>Filing Electronically</w:t>
      </w:r>
    </w:p>
    <w:p w14:paraId="0BC5F1FC" w14:textId="77777777" w:rsidR="00E43496" w:rsidRPr="00DD7BD1" w:rsidRDefault="00E43496" w:rsidP="00E43496">
      <w:pPr>
        <w:pStyle w:val="BodyText"/>
        <w:spacing w:after="0" w:line="240" w:lineRule="auto"/>
        <w:ind w:right="-270"/>
        <w:rPr>
          <w:rFonts w:cs="Calibri"/>
          <w:color w:val="auto"/>
          <w:szCs w:val="22"/>
        </w:rPr>
      </w:pPr>
      <w:hyperlink r:id="rId242">
        <w:r w:rsidRPr="00DD7BD1">
          <w:rPr>
            <w:rFonts w:cs="Calibri"/>
            <w:color w:val="1154CC"/>
            <w:szCs w:val="22"/>
          </w:rPr>
          <w:t>VETS-4212</w:t>
        </w:r>
        <w:r w:rsidRPr="00DD7BD1">
          <w:rPr>
            <w:rFonts w:cs="Calibri"/>
            <w:color w:val="1154CC"/>
            <w:spacing w:val="39"/>
            <w:szCs w:val="22"/>
          </w:rPr>
          <w:t xml:space="preserve"> </w:t>
        </w:r>
        <w:r w:rsidRPr="00DD7BD1">
          <w:rPr>
            <w:rFonts w:cs="Calibri"/>
            <w:color w:val="1154CC"/>
            <w:szCs w:val="22"/>
          </w:rPr>
          <w:t>Reporting</w:t>
        </w:r>
        <w:r w:rsidRPr="00DD7BD1">
          <w:rPr>
            <w:rFonts w:cs="Calibri"/>
            <w:color w:val="1154CC"/>
            <w:spacing w:val="44"/>
            <w:szCs w:val="22"/>
          </w:rPr>
          <w:t xml:space="preserve"> </w:t>
        </w:r>
        <w:r w:rsidRPr="00DD7BD1">
          <w:rPr>
            <w:rFonts w:cs="Calibri"/>
            <w:color w:val="1154CC"/>
            <w:szCs w:val="22"/>
          </w:rPr>
          <w:t>Application</w:t>
        </w:r>
      </w:hyperlink>
      <w:r w:rsidRPr="00DD7BD1">
        <w:rPr>
          <w:rFonts w:cs="Calibri"/>
          <w:color w:val="1154CC"/>
          <w:spacing w:val="49"/>
          <w:szCs w:val="22"/>
        </w:rPr>
        <w:t xml:space="preserve"> </w:t>
      </w:r>
      <w:r w:rsidRPr="00DD7BD1">
        <w:rPr>
          <w:rFonts w:cs="Calibri"/>
          <w:szCs w:val="22"/>
        </w:rPr>
        <w:t>–</w:t>
      </w:r>
      <w:r w:rsidRPr="00DD7BD1">
        <w:rPr>
          <w:rFonts w:cs="Calibri"/>
          <w:spacing w:val="38"/>
          <w:szCs w:val="22"/>
        </w:rPr>
        <w:t xml:space="preserve"> </w:t>
      </w:r>
      <w:r w:rsidRPr="00DD7BD1">
        <w:rPr>
          <w:rFonts w:cs="Calibri"/>
          <w:color w:val="auto"/>
          <w:szCs w:val="22"/>
        </w:rPr>
        <w:t>File</w:t>
      </w:r>
      <w:r w:rsidRPr="00DD7BD1">
        <w:rPr>
          <w:rFonts w:cs="Calibri"/>
          <w:color w:val="auto"/>
          <w:spacing w:val="44"/>
          <w:szCs w:val="22"/>
        </w:rPr>
        <w:t xml:space="preserve"> </w:t>
      </w:r>
      <w:r w:rsidRPr="00DD7BD1">
        <w:rPr>
          <w:rFonts w:cs="Calibri"/>
          <w:color w:val="auto"/>
          <w:szCs w:val="22"/>
        </w:rPr>
        <w:t>your</w:t>
      </w:r>
      <w:r w:rsidRPr="00DD7BD1">
        <w:rPr>
          <w:rFonts w:cs="Calibri"/>
          <w:color w:val="auto"/>
          <w:spacing w:val="36"/>
          <w:szCs w:val="22"/>
        </w:rPr>
        <w:t xml:space="preserve"> </w:t>
      </w:r>
      <w:r w:rsidRPr="00DD7BD1">
        <w:rPr>
          <w:rFonts w:cs="Calibri"/>
          <w:color w:val="auto"/>
          <w:szCs w:val="22"/>
        </w:rPr>
        <w:t>VETS-4212</w:t>
      </w:r>
      <w:r w:rsidRPr="00DD7BD1">
        <w:rPr>
          <w:rFonts w:cs="Calibri"/>
          <w:color w:val="auto"/>
          <w:spacing w:val="43"/>
          <w:szCs w:val="22"/>
        </w:rPr>
        <w:t xml:space="preserve"> </w:t>
      </w:r>
      <w:r w:rsidRPr="00DD7BD1">
        <w:rPr>
          <w:rFonts w:cs="Calibri"/>
          <w:color w:val="auto"/>
          <w:szCs w:val="22"/>
        </w:rPr>
        <w:t>report</w:t>
      </w:r>
      <w:r w:rsidRPr="00DD7BD1">
        <w:rPr>
          <w:rFonts w:cs="Calibri"/>
          <w:color w:val="auto"/>
          <w:spacing w:val="36"/>
          <w:szCs w:val="22"/>
        </w:rPr>
        <w:t xml:space="preserve"> </w:t>
      </w:r>
      <w:r w:rsidRPr="00DD7BD1">
        <w:rPr>
          <w:rFonts w:cs="Calibri"/>
          <w:color w:val="auto"/>
          <w:spacing w:val="-2"/>
          <w:szCs w:val="22"/>
        </w:rPr>
        <w:t>online.</w:t>
      </w:r>
    </w:p>
    <w:p w14:paraId="4E98DDD9"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192F7122" w14:textId="02A36734" w:rsidR="00E43496" w:rsidRPr="00DD7BD1" w:rsidRDefault="00E43496" w:rsidP="00601C66">
      <w:pPr>
        <w:spacing w:line="247" w:lineRule="auto"/>
        <w:ind w:left="432" w:right="792"/>
        <w:jc w:val="center"/>
        <w:rPr>
          <w:rFonts w:ascii="Calibri" w:hAnsi="Calibri" w:cs="Calibri"/>
          <w:b/>
          <w:sz w:val="24"/>
          <w:szCs w:val="24"/>
        </w:rPr>
      </w:pPr>
      <w:r w:rsidRPr="00DD7BD1">
        <w:rPr>
          <w:rFonts w:ascii="Calibri" w:hAnsi="Calibri" w:cs="Calibri"/>
          <w:b/>
          <w:color w:val="C00000"/>
          <w:spacing w:val="-8"/>
          <w:sz w:val="24"/>
          <w:szCs w:val="24"/>
        </w:rPr>
        <w:t xml:space="preserve">New! </w:t>
      </w:r>
      <w:r w:rsidRPr="00DD7BD1">
        <w:rPr>
          <w:rFonts w:ascii="Calibri" w:hAnsi="Calibri" w:cs="Calibri"/>
          <w:b/>
          <w:spacing w:val="-8"/>
          <w:sz w:val="24"/>
          <w:szCs w:val="24"/>
        </w:rPr>
        <w:t>Benefit Plans</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Starting </w:t>
      </w:r>
      <w:r w:rsidRPr="00DD7BD1">
        <w:rPr>
          <w:rFonts w:ascii="Calibri" w:hAnsi="Calibri" w:cs="Calibri"/>
          <w:b/>
          <w:color w:val="C00000"/>
          <w:spacing w:val="-8"/>
          <w:sz w:val="24"/>
          <w:szCs w:val="24"/>
        </w:rPr>
        <w:t>August 1</w:t>
      </w:r>
      <w:r w:rsidRPr="00DD7BD1">
        <w:rPr>
          <w:rFonts w:ascii="Calibri" w:hAnsi="Calibri" w:cs="Calibri"/>
          <w:b/>
          <w:color w:val="C00000"/>
          <w:spacing w:val="-27"/>
          <w:sz w:val="24"/>
          <w:szCs w:val="24"/>
        </w:rPr>
        <w:t xml:space="preserve"> </w:t>
      </w:r>
      <w:r w:rsidRPr="00DD7BD1">
        <w:rPr>
          <w:rFonts w:ascii="Calibri" w:hAnsi="Calibri" w:cs="Calibri"/>
          <w:b/>
          <w:spacing w:val="-8"/>
          <w:sz w:val="24"/>
          <w:szCs w:val="24"/>
        </w:rPr>
        <w:t>-</w:t>
      </w:r>
      <w:r w:rsidRPr="00DD7BD1">
        <w:rPr>
          <w:rFonts w:ascii="Calibri" w:hAnsi="Calibri" w:cs="Calibri"/>
          <w:b/>
          <w:spacing w:val="-9"/>
          <w:sz w:val="24"/>
          <w:szCs w:val="24"/>
        </w:rPr>
        <w:t xml:space="preserve"> </w:t>
      </w:r>
      <w:r w:rsidRPr="00DD7BD1">
        <w:rPr>
          <w:rFonts w:ascii="Calibri" w:hAnsi="Calibri" w:cs="Calibri"/>
          <w:b/>
          <w:spacing w:val="-8"/>
          <w:sz w:val="24"/>
          <w:szCs w:val="24"/>
        </w:rPr>
        <w:t>Employer’s CMS Part D Creditable</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Coverage </w:t>
      </w:r>
      <w:r w:rsidRPr="00DD7BD1">
        <w:rPr>
          <w:rFonts w:ascii="Calibri" w:hAnsi="Calibri" w:cs="Calibri"/>
          <w:b/>
          <w:sz w:val="24"/>
          <w:szCs w:val="24"/>
          <w:u w:val="single"/>
        </w:rPr>
        <w:t>Online</w:t>
      </w:r>
      <w:r w:rsidRPr="00DD7BD1">
        <w:rPr>
          <w:rFonts w:ascii="Calibri" w:hAnsi="Calibri" w:cs="Calibri"/>
          <w:b/>
          <w:spacing w:val="-4"/>
          <w:sz w:val="24"/>
          <w:szCs w:val="24"/>
          <w:u w:val="single"/>
        </w:rPr>
        <w:t xml:space="preserve"> </w:t>
      </w:r>
      <w:r w:rsidRPr="00DD7BD1">
        <w:rPr>
          <w:rFonts w:ascii="Calibri" w:hAnsi="Calibri" w:cs="Calibri"/>
          <w:b/>
          <w:sz w:val="24"/>
          <w:szCs w:val="24"/>
          <w:u w:val="single"/>
        </w:rPr>
        <w:t>Disclosure</w:t>
      </w:r>
      <w:r w:rsidRPr="00DD7BD1">
        <w:rPr>
          <w:rFonts w:ascii="Calibri" w:hAnsi="Calibri" w:cs="Calibri"/>
          <w:b/>
          <w:spacing w:val="-3"/>
          <w:sz w:val="24"/>
          <w:szCs w:val="24"/>
        </w:rPr>
        <w:t xml:space="preserve"> </w:t>
      </w:r>
      <w:r w:rsidRPr="00DD7BD1">
        <w:rPr>
          <w:rFonts w:ascii="Calibri" w:hAnsi="Calibri" w:cs="Calibri"/>
          <w:b/>
          <w:sz w:val="24"/>
          <w:szCs w:val="24"/>
        </w:rPr>
        <w:t>–</w:t>
      </w:r>
      <w:r w:rsidRPr="00DD7BD1">
        <w:rPr>
          <w:rFonts w:ascii="Calibri" w:hAnsi="Calibri" w:cs="Calibri"/>
          <w:b/>
          <w:spacing w:val="-6"/>
          <w:sz w:val="24"/>
          <w:szCs w:val="24"/>
        </w:rPr>
        <w:t xml:space="preserve"> </w:t>
      </w:r>
      <w:r w:rsidRPr="00DD7BD1">
        <w:rPr>
          <w:rFonts w:ascii="Calibri" w:hAnsi="Calibri" w:cs="Calibri"/>
          <w:b/>
          <w:color w:val="C00000"/>
          <w:sz w:val="24"/>
          <w:szCs w:val="24"/>
        </w:rPr>
        <w:t>September</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30,</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2025</w:t>
      </w:r>
    </w:p>
    <w:p w14:paraId="4C13EF15" w14:textId="77777777" w:rsidR="00E43496" w:rsidRPr="00DD7BD1" w:rsidRDefault="00E43496" w:rsidP="00E43496">
      <w:pPr>
        <w:pStyle w:val="Heading1"/>
        <w:shd w:val="clear" w:color="auto" w:fill="FFFFFF"/>
        <w:spacing w:before="0" w:beforeAutospacing="0" w:after="0" w:afterAutospacing="0"/>
        <w:jc w:val="center"/>
        <w:rPr>
          <w:rFonts w:ascii="Calibri" w:eastAsiaTheme="minorHAnsi" w:hAnsi="Calibri" w:cs="Calibri"/>
          <w:color w:val="C00000"/>
          <w:kern w:val="0"/>
          <w:sz w:val="24"/>
          <w:szCs w:val="24"/>
          <w:highlight w:val="magenta"/>
        </w:rPr>
      </w:pPr>
      <w:r w:rsidRPr="00DD7BD1">
        <w:rPr>
          <w:rFonts w:ascii="Calibri" w:eastAsiaTheme="minorHAnsi" w:hAnsi="Calibri" w:cs="Calibri"/>
          <w:color w:val="C00000"/>
          <w:kern w:val="0"/>
          <w:sz w:val="24"/>
          <w:szCs w:val="24"/>
        </w:rPr>
        <w:t xml:space="preserve">New! </w:t>
      </w:r>
      <w:bookmarkStart w:id="10" w:name="_Hlk212641955"/>
      <w:r w:rsidRPr="00DD7BD1">
        <w:rPr>
          <w:rFonts w:ascii="Calibri" w:hAnsi="Calibri" w:cs="Calibri"/>
          <w:spacing w:val="-8"/>
          <w:sz w:val="24"/>
          <w:szCs w:val="24"/>
        </w:rPr>
        <w:t>Benefit</w:t>
      </w:r>
      <w:r w:rsidRPr="00DD7BD1">
        <w:rPr>
          <w:rFonts w:ascii="Calibri" w:hAnsi="Calibri" w:cs="Calibri"/>
          <w:spacing w:val="-11"/>
          <w:sz w:val="24"/>
          <w:szCs w:val="24"/>
        </w:rPr>
        <w:t xml:space="preserve"> </w:t>
      </w:r>
      <w:r w:rsidRPr="00DD7BD1">
        <w:rPr>
          <w:rFonts w:ascii="Calibri" w:hAnsi="Calibri" w:cs="Calibri"/>
          <w:spacing w:val="-8"/>
          <w:sz w:val="24"/>
          <w:szCs w:val="24"/>
        </w:rPr>
        <w:t>Plans</w:t>
      </w:r>
      <w:r w:rsidRPr="00DD7BD1">
        <w:rPr>
          <w:rFonts w:ascii="Calibri" w:hAnsi="Calibri" w:cs="Calibri"/>
          <w:spacing w:val="-12"/>
          <w:sz w:val="24"/>
          <w:szCs w:val="24"/>
        </w:rPr>
        <w:t xml:space="preserve"> </w:t>
      </w:r>
      <w:r w:rsidRPr="00DD7BD1">
        <w:rPr>
          <w:rFonts w:ascii="Calibri" w:hAnsi="Calibri" w:cs="Calibri"/>
          <w:spacing w:val="-8"/>
          <w:sz w:val="24"/>
          <w:szCs w:val="24"/>
        </w:rPr>
        <w:t>Starting</w:t>
      </w:r>
      <w:r w:rsidRPr="00DD7BD1">
        <w:rPr>
          <w:rFonts w:ascii="Calibri" w:hAnsi="Calibri" w:cs="Calibri"/>
          <w:spacing w:val="-5"/>
          <w:sz w:val="24"/>
          <w:szCs w:val="24"/>
        </w:rPr>
        <w:t xml:space="preserve"> </w:t>
      </w:r>
      <w:r w:rsidRPr="00DD7BD1">
        <w:rPr>
          <w:rFonts w:ascii="Calibri" w:hAnsi="Calibri" w:cs="Calibri"/>
          <w:color w:val="C00000"/>
          <w:spacing w:val="-8"/>
          <w:sz w:val="24"/>
          <w:szCs w:val="24"/>
        </w:rPr>
        <w:t>September</w:t>
      </w:r>
      <w:r w:rsidRPr="00DD7BD1">
        <w:rPr>
          <w:rFonts w:ascii="Calibri" w:hAnsi="Calibri" w:cs="Calibri"/>
          <w:color w:val="C00000"/>
          <w:spacing w:val="-12"/>
          <w:sz w:val="24"/>
          <w:szCs w:val="24"/>
        </w:rPr>
        <w:t xml:space="preserve"> </w:t>
      </w:r>
      <w:r w:rsidRPr="00DD7BD1">
        <w:rPr>
          <w:rFonts w:ascii="Calibri" w:hAnsi="Calibri" w:cs="Calibri"/>
          <w:color w:val="C00000"/>
          <w:spacing w:val="-8"/>
          <w:sz w:val="24"/>
          <w:szCs w:val="24"/>
        </w:rPr>
        <w:t>1</w:t>
      </w:r>
      <w:r w:rsidRPr="00DD7BD1">
        <w:rPr>
          <w:rFonts w:ascii="Calibri" w:hAnsi="Calibri" w:cs="Calibri"/>
          <w:color w:val="C00000"/>
          <w:spacing w:val="-28"/>
          <w:sz w:val="24"/>
          <w:szCs w:val="24"/>
        </w:rPr>
        <w:t xml:space="preserve"> </w:t>
      </w:r>
      <w:r w:rsidRPr="00DD7BD1">
        <w:rPr>
          <w:rFonts w:ascii="Calibri" w:hAnsi="Calibri" w:cs="Calibri"/>
          <w:spacing w:val="-8"/>
          <w:sz w:val="24"/>
          <w:szCs w:val="24"/>
        </w:rPr>
        <w:t>-</w:t>
      </w:r>
      <w:r w:rsidRPr="00DD7BD1">
        <w:rPr>
          <w:rFonts w:ascii="Calibri" w:hAnsi="Calibri" w:cs="Calibri"/>
          <w:spacing w:val="-6"/>
          <w:sz w:val="24"/>
          <w:szCs w:val="24"/>
        </w:rPr>
        <w:t xml:space="preserve"> </w:t>
      </w:r>
      <w:r w:rsidRPr="00DD7BD1">
        <w:rPr>
          <w:rFonts w:ascii="Calibri" w:hAnsi="Calibri" w:cs="Calibri"/>
          <w:spacing w:val="-8"/>
          <w:sz w:val="24"/>
          <w:szCs w:val="24"/>
        </w:rPr>
        <w:t>Employer’s</w:t>
      </w:r>
      <w:r w:rsidRPr="00DD7BD1">
        <w:rPr>
          <w:rFonts w:ascii="Calibri" w:hAnsi="Calibri" w:cs="Calibri"/>
          <w:spacing w:val="-11"/>
          <w:sz w:val="24"/>
          <w:szCs w:val="24"/>
        </w:rPr>
        <w:t xml:space="preserve"> </w:t>
      </w:r>
      <w:r w:rsidRPr="00DD7BD1">
        <w:rPr>
          <w:rFonts w:ascii="Calibri" w:hAnsi="Calibri" w:cs="Calibri"/>
          <w:spacing w:val="-8"/>
          <w:sz w:val="24"/>
          <w:szCs w:val="24"/>
        </w:rPr>
        <w:t>CMS</w:t>
      </w:r>
      <w:r w:rsidRPr="00DD7BD1">
        <w:rPr>
          <w:rFonts w:ascii="Calibri" w:hAnsi="Calibri" w:cs="Calibri"/>
          <w:spacing w:val="-9"/>
          <w:sz w:val="24"/>
          <w:szCs w:val="24"/>
        </w:rPr>
        <w:t xml:space="preserve"> </w:t>
      </w:r>
      <w:r w:rsidRPr="00DD7BD1">
        <w:rPr>
          <w:rFonts w:ascii="Calibri" w:hAnsi="Calibri" w:cs="Calibri"/>
          <w:spacing w:val="-8"/>
          <w:sz w:val="24"/>
          <w:szCs w:val="24"/>
        </w:rPr>
        <w:t>Part</w:t>
      </w:r>
      <w:r w:rsidRPr="00DD7BD1">
        <w:rPr>
          <w:rFonts w:ascii="Calibri" w:hAnsi="Calibri" w:cs="Calibri"/>
          <w:spacing w:val="-9"/>
          <w:sz w:val="24"/>
          <w:szCs w:val="24"/>
        </w:rPr>
        <w:t xml:space="preserve"> </w:t>
      </w:r>
      <w:r w:rsidRPr="00DD7BD1">
        <w:rPr>
          <w:rFonts w:ascii="Calibri" w:hAnsi="Calibri" w:cs="Calibri"/>
          <w:spacing w:val="-8"/>
          <w:sz w:val="24"/>
          <w:szCs w:val="24"/>
        </w:rPr>
        <w:t>D</w:t>
      </w:r>
      <w:r w:rsidRPr="00DD7BD1">
        <w:rPr>
          <w:rFonts w:ascii="Calibri" w:hAnsi="Calibri" w:cs="Calibri"/>
          <w:spacing w:val="-12"/>
          <w:sz w:val="24"/>
          <w:szCs w:val="24"/>
        </w:rPr>
        <w:t xml:space="preserve"> </w:t>
      </w:r>
      <w:r w:rsidRPr="00DD7BD1">
        <w:rPr>
          <w:rFonts w:ascii="Calibri" w:hAnsi="Calibri" w:cs="Calibri"/>
          <w:spacing w:val="-8"/>
          <w:sz w:val="24"/>
          <w:szCs w:val="24"/>
        </w:rPr>
        <w:t>Creditable</w:t>
      </w:r>
      <w:r w:rsidRPr="00DD7BD1">
        <w:rPr>
          <w:rFonts w:ascii="Calibri" w:hAnsi="Calibri" w:cs="Calibri"/>
          <w:spacing w:val="-11"/>
          <w:sz w:val="24"/>
          <w:szCs w:val="24"/>
        </w:rPr>
        <w:t xml:space="preserve"> </w:t>
      </w:r>
      <w:r w:rsidRPr="00DD7BD1">
        <w:rPr>
          <w:rFonts w:ascii="Calibri" w:hAnsi="Calibri" w:cs="Calibri"/>
          <w:spacing w:val="-8"/>
          <w:sz w:val="24"/>
          <w:szCs w:val="24"/>
        </w:rPr>
        <w:t xml:space="preserve">Coverage </w:t>
      </w:r>
      <w:r w:rsidRPr="00DD7BD1">
        <w:rPr>
          <w:rFonts w:ascii="Calibri" w:hAnsi="Calibri" w:cs="Calibri"/>
          <w:sz w:val="24"/>
          <w:szCs w:val="24"/>
          <w:u w:val="single"/>
        </w:rPr>
        <w:t>Online</w:t>
      </w:r>
      <w:r w:rsidRPr="00DD7BD1">
        <w:rPr>
          <w:rFonts w:ascii="Calibri" w:hAnsi="Calibri" w:cs="Calibri"/>
          <w:spacing w:val="-6"/>
          <w:sz w:val="24"/>
          <w:szCs w:val="24"/>
          <w:u w:val="single"/>
        </w:rPr>
        <w:t xml:space="preserve"> </w:t>
      </w:r>
      <w:r w:rsidRPr="00DD7BD1">
        <w:rPr>
          <w:rFonts w:ascii="Calibri" w:hAnsi="Calibri" w:cs="Calibri"/>
          <w:sz w:val="24"/>
          <w:szCs w:val="24"/>
          <w:u w:val="single"/>
        </w:rPr>
        <w:t>Disclosure</w:t>
      </w:r>
      <w:r w:rsidRPr="00DD7BD1">
        <w:rPr>
          <w:rFonts w:ascii="Calibri" w:hAnsi="Calibri" w:cs="Calibri"/>
          <w:spacing w:val="-5"/>
          <w:sz w:val="24"/>
          <w:szCs w:val="24"/>
        </w:rPr>
        <w:t xml:space="preserve"> </w:t>
      </w:r>
      <w:r w:rsidRPr="00DD7BD1">
        <w:rPr>
          <w:rFonts w:ascii="Calibri" w:hAnsi="Calibri" w:cs="Calibri"/>
          <w:sz w:val="24"/>
          <w:szCs w:val="24"/>
        </w:rPr>
        <w:t>–</w:t>
      </w:r>
      <w:r w:rsidRPr="00DD7BD1">
        <w:rPr>
          <w:rFonts w:ascii="Calibri" w:hAnsi="Calibri" w:cs="Calibri"/>
          <w:spacing w:val="-8"/>
          <w:sz w:val="24"/>
          <w:szCs w:val="24"/>
        </w:rPr>
        <w:t xml:space="preserve"> </w:t>
      </w:r>
      <w:r w:rsidRPr="00DD7BD1">
        <w:rPr>
          <w:rFonts w:ascii="Calibri" w:hAnsi="Calibri" w:cs="Calibri"/>
          <w:color w:val="C00000"/>
          <w:sz w:val="24"/>
          <w:szCs w:val="24"/>
        </w:rPr>
        <w:t>October</w:t>
      </w:r>
      <w:r w:rsidRPr="00DD7BD1">
        <w:rPr>
          <w:rFonts w:ascii="Calibri" w:hAnsi="Calibri" w:cs="Calibri"/>
          <w:color w:val="C00000"/>
          <w:spacing w:val="-6"/>
          <w:sz w:val="24"/>
          <w:szCs w:val="24"/>
        </w:rPr>
        <w:t xml:space="preserve"> </w:t>
      </w:r>
      <w:r w:rsidRPr="00DD7BD1">
        <w:rPr>
          <w:rFonts w:ascii="Calibri" w:hAnsi="Calibri" w:cs="Calibri"/>
          <w:color w:val="C00000"/>
          <w:sz w:val="24"/>
          <w:szCs w:val="24"/>
        </w:rPr>
        <w:t>31,</w:t>
      </w:r>
      <w:r w:rsidRPr="00DD7BD1">
        <w:rPr>
          <w:rFonts w:ascii="Calibri" w:hAnsi="Calibri" w:cs="Calibri"/>
          <w:color w:val="C00000"/>
          <w:spacing w:val="-9"/>
          <w:sz w:val="24"/>
          <w:szCs w:val="24"/>
        </w:rPr>
        <w:t xml:space="preserve"> </w:t>
      </w:r>
      <w:r w:rsidRPr="00DD7BD1">
        <w:rPr>
          <w:rFonts w:ascii="Calibri" w:hAnsi="Calibri" w:cs="Calibri"/>
          <w:color w:val="C00000"/>
          <w:sz w:val="24"/>
          <w:szCs w:val="24"/>
        </w:rPr>
        <w:t>2025</w:t>
      </w:r>
      <w:bookmarkEnd w:id="10"/>
    </w:p>
    <w:p w14:paraId="33C7C847" w14:textId="77777777" w:rsidR="00E43496" w:rsidRPr="00DD7BD1" w:rsidRDefault="00E43496" w:rsidP="00E43496">
      <w:pPr>
        <w:spacing w:before="267"/>
        <w:ind w:right="364"/>
        <w:jc w:val="center"/>
        <w:rPr>
          <w:rFonts w:ascii="Calibri" w:hAnsi="Calibri" w:cs="Calibri"/>
          <w:b/>
          <w:sz w:val="24"/>
          <w:szCs w:val="24"/>
        </w:rPr>
      </w:pPr>
      <w:r w:rsidRPr="00DD7BD1">
        <w:rPr>
          <w:rFonts w:ascii="Calibri" w:hAnsi="Calibri" w:cs="Calibri"/>
          <w:b/>
          <w:bCs/>
          <w:color w:val="C00000"/>
          <w:sz w:val="24"/>
          <w:szCs w:val="24"/>
        </w:rPr>
        <w:t>New!</w:t>
      </w:r>
      <w:r w:rsidRPr="00DD7BD1">
        <w:rPr>
          <w:rFonts w:ascii="Calibri" w:hAnsi="Calibri" w:cs="Calibri"/>
          <w:b/>
          <w:color w:val="C00000"/>
          <w:spacing w:val="-11"/>
          <w:sz w:val="24"/>
          <w:szCs w:val="24"/>
        </w:rPr>
        <w:t xml:space="preserve"> </w:t>
      </w:r>
      <w:bookmarkStart w:id="11" w:name="_Hlk212641947"/>
      <w:r w:rsidRPr="00DD7BD1">
        <w:rPr>
          <w:rFonts w:ascii="Calibri" w:hAnsi="Calibri" w:cs="Calibri"/>
          <w:b/>
          <w:bCs/>
          <w:spacing w:val="-8"/>
          <w:kern w:val="36"/>
          <w:sz w:val="24"/>
          <w:szCs w:val="24"/>
        </w:rPr>
        <w:t>Treasury Dept Issues List of Jobs Qualifying for new Tip Income Deduction under “One Big Beautiful” Act</w:t>
      </w:r>
      <w:bookmarkEnd w:id="11"/>
    </w:p>
    <w:p w14:paraId="125B28DB" w14:textId="77777777" w:rsidR="00E43496" w:rsidRPr="00DD7BD1" w:rsidRDefault="00E43496" w:rsidP="00E43496">
      <w:pPr>
        <w:pStyle w:val="BodyText"/>
        <w:spacing w:after="0" w:line="240" w:lineRule="auto"/>
        <w:jc w:val="left"/>
        <w:rPr>
          <w:rFonts w:cs="Calibri"/>
          <w:color w:val="auto"/>
          <w:spacing w:val="-4"/>
          <w:w w:val="110"/>
          <w:szCs w:val="22"/>
        </w:rPr>
      </w:pPr>
      <w:r w:rsidRPr="00DD7BD1">
        <w:rPr>
          <w:rFonts w:cs="Calibri"/>
          <w:color w:val="auto"/>
          <w:w w:val="110"/>
          <w:szCs w:val="22"/>
        </w:rPr>
        <w:t>This</w:t>
      </w:r>
      <w:r w:rsidRPr="00DD7BD1">
        <w:rPr>
          <w:rFonts w:cs="Calibri"/>
          <w:color w:val="auto"/>
          <w:spacing w:val="-12"/>
          <w:w w:val="110"/>
          <w:szCs w:val="22"/>
        </w:rPr>
        <w:t xml:space="preserve"> </w:t>
      </w:r>
      <w:r w:rsidRPr="00DD7BD1">
        <w:rPr>
          <w:rFonts w:cs="Calibri"/>
          <w:color w:val="auto"/>
          <w:w w:val="110"/>
          <w:szCs w:val="22"/>
        </w:rPr>
        <w:t>summer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President</w:t>
      </w:r>
      <w:r w:rsidRPr="00DD7BD1">
        <w:rPr>
          <w:rFonts w:cs="Calibri"/>
          <w:color w:val="auto"/>
          <w:spacing w:val="-10"/>
          <w:w w:val="110"/>
          <w:szCs w:val="22"/>
        </w:rPr>
        <w:t xml:space="preserve"> </w:t>
      </w:r>
      <w:r w:rsidRPr="00DD7BD1">
        <w:rPr>
          <w:rFonts w:cs="Calibri"/>
          <w:color w:val="auto"/>
          <w:w w:val="110"/>
          <w:szCs w:val="22"/>
        </w:rPr>
        <w:t>signed</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2"/>
          <w:w w:val="110"/>
          <w:szCs w:val="22"/>
        </w:rPr>
        <w:t xml:space="preserve"> </w:t>
      </w:r>
      <w:r w:rsidRPr="00DD7BD1">
        <w:rPr>
          <w:rFonts w:cs="Calibri"/>
          <w:color w:val="auto"/>
          <w:w w:val="110"/>
          <w:szCs w:val="22"/>
        </w:rPr>
        <w:t>Big</w:t>
      </w:r>
      <w:r w:rsidRPr="00DD7BD1">
        <w:rPr>
          <w:rFonts w:cs="Calibri"/>
          <w:color w:val="auto"/>
          <w:spacing w:val="-10"/>
          <w:w w:val="110"/>
          <w:szCs w:val="22"/>
        </w:rPr>
        <w:t xml:space="preserve"> </w:t>
      </w:r>
      <w:r w:rsidRPr="00DD7BD1">
        <w:rPr>
          <w:rFonts w:cs="Calibri"/>
          <w:color w:val="auto"/>
          <w:w w:val="110"/>
          <w:szCs w:val="22"/>
        </w:rPr>
        <w:t>Beautiful</w:t>
      </w:r>
      <w:r w:rsidRPr="00DD7BD1">
        <w:rPr>
          <w:rFonts w:cs="Calibri"/>
          <w:color w:val="auto"/>
          <w:spacing w:val="-12"/>
          <w:w w:val="110"/>
          <w:szCs w:val="22"/>
        </w:rPr>
        <w:t xml:space="preserve"> </w:t>
      </w:r>
      <w:r w:rsidRPr="00DD7BD1">
        <w:rPr>
          <w:rFonts w:cs="Calibri"/>
          <w:color w:val="auto"/>
          <w:w w:val="110"/>
          <w:szCs w:val="22"/>
        </w:rPr>
        <w:t>Bill”</w:t>
      </w:r>
      <w:r w:rsidRPr="00DD7BD1">
        <w:rPr>
          <w:rFonts w:cs="Calibri"/>
          <w:color w:val="auto"/>
          <w:spacing w:val="-10"/>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(OBBBA)</w:t>
      </w:r>
      <w:r w:rsidRPr="00DD7BD1">
        <w:rPr>
          <w:rFonts w:cs="Calibri"/>
          <w:color w:val="auto"/>
          <w:spacing w:val="-11"/>
          <w:w w:val="110"/>
          <w:szCs w:val="22"/>
        </w:rPr>
        <w:t xml:space="preserve"> </w:t>
      </w:r>
      <w:r w:rsidRPr="00DD7BD1">
        <w:rPr>
          <w:rFonts w:cs="Calibri"/>
          <w:color w:val="auto"/>
          <w:w w:val="110"/>
          <w:szCs w:val="22"/>
        </w:rPr>
        <w:t>into</w:t>
      </w:r>
      <w:r w:rsidRPr="00DD7BD1">
        <w:rPr>
          <w:rFonts w:cs="Calibri"/>
          <w:color w:val="auto"/>
          <w:spacing w:val="-10"/>
          <w:w w:val="110"/>
          <w:szCs w:val="22"/>
        </w:rPr>
        <w:t xml:space="preserve"> </w:t>
      </w:r>
      <w:r w:rsidRPr="00DD7BD1">
        <w:rPr>
          <w:rFonts w:cs="Calibri"/>
          <w:color w:val="auto"/>
          <w:w w:val="110"/>
          <w:szCs w:val="22"/>
        </w:rPr>
        <w:t>law,</w:t>
      </w:r>
      <w:r w:rsidRPr="00DD7BD1">
        <w:rPr>
          <w:rFonts w:cs="Calibri"/>
          <w:color w:val="auto"/>
          <w:spacing w:val="-13"/>
          <w:w w:val="110"/>
          <w:szCs w:val="22"/>
        </w:rPr>
        <w:t xml:space="preserve"> </w:t>
      </w:r>
      <w:r w:rsidRPr="00DD7BD1">
        <w:rPr>
          <w:rFonts w:cs="Calibri"/>
          <w:color w:val="auto"/>
          <w:w w:val="110"/>
          <w:szCs w:val="22"/>
        </w:rPr>
        <w:t>which</w:t>
      </w:r>
      <w:r w:rsidRPr="00DD7BD1">
        <w:rPr>
          <w:rFonts w:cs="Calibri"/>
          <w:color w:val="auto"/>
          <w:spacing w:val="-13"/>
          <w:w w:val="110"/>
          <w:szCs w:val="22"/>
        </w:rPr>
        <w:t xml:space="preserve"> </w:t>
      </w:r>
      <w:r w:rsidRPr="00DD7BD1">
        <w:rPr>
          <w:rFonts w:cs="Calibri"/>
          <w:color w:val="auto"/>
          <w:w w:val="110"/>
          <w:szCs w:val="22"/>
        </w:rPr>
        <w:t>included</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provision establishing</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temporary</w:t>
      </w:r>
      <w:r w:rsidRPr="00DD7BD1">
        <w:rPr>
          <w:rFonts w:cs="Calibri"/>
          <w:color w:val="auto"/>
          <w:spacing w:val="-16"/>
          <w:w w:val="110"/>
          <w:szCs w:val="22"/>
        </w:rPr>
        <w:t xml:space="preserve"> </w:t>
      </w:r>
      <w:r w:rsidRPr="00DD7BD1">
        <w:rPr>
          <w:rFonts w:cs="Calibri"/>
          <w:color w:val="auto"/>
          <w:w w:val="110"/>
          <w:szCs w:val="22"/>
        </w:rPr>
        <w:t>above-the-line</w:t>
      </w:r>
      <w:r w:rsidRPr="00DD7BD1">
        <w:rPr>
          <w:rFonts w:cs="Calibri"/>
          <w:color w:val="auto"/>
          <w:spacing w:val="-14"/>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5"/>
          <w:w w:val="110"/>
          <w:szCs w:val="22"/>
        </w:rPr>
        <w:t xml:space="preserve"> </w:t>
      </w:r>
      <w:r w:rsidRPr="00DD7BD1">
        <w:rPr>
          <w:rFonts w:cs="Calibri"/>
          <w:color w:val="auto"/>
          <w:w w:val="110"/>
          <w:szCs w:val="22"/>
        </w:rPr>
        <w:t>tip</w:t>
      </w:r>
      <w:r w:rsidRPr="00DD7BD1">
        <w:rPr>
          <w:rFonts w:cs="Calibri"/>
          <w:color w:val="auto"/>
          <w:spacing w:val="-15"/>
          <w:w w:val="110"/>
          <w:szCs w:val="22"/>
        </w:rPr>
        <w:t xml:space="preserve"> </w:t>
      </w:r>
      <w:r w:rsidRPr="00DD7BD1">
        <w:rPr>
          <w:rFonts w:cs="Calibri"/>
          <w:color w:val="auto"/>
          <w:w w:val="110"/>
          <w:szCs w:val="22"/>
        </w:rPr>
        <w:t>income”</w:t>
      </w:r>
      <w:r w:rsidRPr="00DD7BD1">
        <w:rPr>
          <w:rFonts w:cs="Calibri"/>
          <w:color w:val="auto"/>
          <w:spacing w:val="-14"/>
          <w:w w:val="110"/>
          <w:szCs w:val="22"/>
        </w:rPr>
        <w:t xml:space="preserve"> </w:t>
      </w:r>
      <w:r w:rsidRPr="00DD7BD1">
        <w:rPr>
          <w:rFonts w:cs="Calibri"/>
          <w:color w:val="auto"/>
          <w:w w:val="110"/>
          <w:szCs w:val="22"/>
        </w:rPr>
        <w:t>through</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5"/>
          <w:w w:val="110"/>
          <w:szCs w:val="22"/>
        </w:rPr>
        <w:t xml:space="preserve"> </w:t>
      </w:r>
      <w:r w:rsidRPr="00DD7BD1">
        <w:rPr>
          <w:rFonts w:cs="Calibri"/>
          <w:color w:val="auto"/>
          <w:w w:val="110"/>
          <w:szCs w:val="22"/>
        </w:rPr>
        <w:t>least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2028</w:t>
      </w:r>
      <w:r w:rsidRPr="00DD7BD1">
        <w:rPr>
          <w:rFonts w:cs="Calibri"/>
          <w:color w:val="auto"/>
          <w:spacing w:val="-14"/>
          <w:w w:val="110"/>
          <w:szCs w:val="22"/>
        </w:rPr>
        <w:t xml:space="preserve"> </w:t>
      </w:r>
      <w:r w:rsidRPr="00DD7BD1">
        <w:rPr>
          <w:rFonts w:cs="Calibri"/>
          <w:color w:val="auto"/>
          <w:w w:val="110"/>
          <w:szCs w:val="22"/>
        </w:rPr>
        <w:t xml:space="preserve">tax </w:t>
      </w:r>
      <w:r w:rsidRPr="00DD7BD1">
        <w:rPr>
          <w:rFonts w:cs="Calibri"/>
          <w:color w:val="auto"/>
          <w:spacing w:val="-4"/>
          <w:w w:val="110"/>
          <w:szCs w:val="22"/>
        </w:rPr>
        <w:t>year.</w:t>
      </w:r>
    </w:p>
    <w:p w14:paraId="4E3B23F6" w14:textId="77777777" w:rsidR="00E43496" w:rsidRPr="00DD7BD1" w:rsidRDefault="00E43496" w:rsidP="00E43496">
      <w:pPr>
        <w:pStyle w:val="BodyText"/>
        <w:spacing w:after="0" w:line="240" w:lineRule="auto"/>
        <w:jc w:val="left"/>
        <w:rPr>
          <w:rFonts w:cs="Calibri"/>
          <w:color w:val="auto"/>
          <w:sz w:val="16"/>
          <w:szCs w:val="16"/>
        </w:rPr>
      </w:pPr>
    </w:p>
    <w:p w14:paraId="4DDF7C5E"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September</w:t>
      </w:r>
      <w:r w:rsidRPr="00DD7BD1">
        <w:rPr>
          <w:rFonts w:cs="Calibri"/>
          <w:color w:val="auto"/>
          <w:spacing w:val="-17"/>
          <w:w w:val="110"/>
          <w:szCs w:val="22"/>
        </w:rPr>
        <w:t xml:space="preserve"> </w:t>
      </w:r>
      <w:r w:rsidRPr="00DD7BD1">
        <w:rPr>
          <w:rFonts w:cs="Calibri"/>
          <w:color w:val="auto"/>
          <w:w w:val="110"/>
          <w:szCs w:val="22"/>
        </w:rPr>
        <w:t>2,</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w w:val="110"/>
          <w:szCs w:val="22"/>
        </w:rPr>
        <w:t>“</w:t>
      </w:r>
      <w:hyperlink r:id="rId243">
        <w:r w:rsidRPr="00DD7BD1">
          <w:rPr>
            <w:rFonts w:cs="Calibri"/>
            <w:color w:val="0000FF"/>
            <w:w w:val="110"/>
            <w:szCs w:val="22"/>
            <w:u w:val="single" w:color="0000FF"/>
          </w:rPr>
          <w:t>preliminary</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list</w:t>
        </w:r>
      </w:hyperlink>
      <w:r w:rsidRPr="00DD7BD1">
        <w:rPr>
          <w:rFonts w:cs="Calibri"/>
          <w:w w:val="110"/>
          <w:szCs w:val="22"/>
        </w:rPr>
        <w:t>”</w:t>
      </w:r>
      <w:r w:rsidRPr="00DD7BD1">
        <w:rPr>
          <w:rFonts w:cs="Calibri"/>
          <w:spacing w:val="-16"/>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jobs</w:t>
      </w:r>
      <w:r w:rsidRPr="00DD7BD1">
        <w:rPr>
          <w:rFonts w:cs="Calibri"/>
          <w:color w:val="auto"/>
          <w:spacing w:val="-17"/>
          <w:w w:val="110"/>
          <w:szCs w:val="22"/>
        </w:rPr>
        <w:t xml:space="preserve"> </w:t>
      </w:r>
      <w:r w:rsidRPr="00DD7BD1">
        <w:rPr>
          <w:rFonts w:cs="Calibri"/>
          <w:color w:val="auto"/>
          <w:w w:val="110"/>
          <w:szCs w:val="22"/>
        </w:rPr>
        <w:t>eligible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 on</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income”</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OBBBA.</w:t>
      </w:r>
      <w:r w:rsidRPr="00DD7BD1">
        <w:rPr>
          <w:rFonts w:cs="Calibri"/>
          <w:color w:val="auto"/>
          <w:spacing w:val="-15"/>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yet</w:t>
      </w:r>
      <w:r w:rsidRPr="00DD7BD1">
        <w:rPr>
          <w:rFonts w:cs="Calibri"/>
          <w:color w:val="auto"/>
          <w:spacing w:val="-14"/>
          <w:w w:val="110"/>
          <w:szCs w:val="22"/>
        </w:rPr>
        <w:t xml:space="preserve"> </w:t>
      </w:r>
      <w:r w:rsidRPr="00DD7BD1">
        <w:rPr>
          <w:rFonts w:cs="Calibri"/>
          <w:color w:val="auto"/>
          <w:w w:val="110"/>
          <w:szCs w:val="22"/>
        </w:rPr>
        <w:t>final,</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 Register,</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Treasury</w:t>
      </w:r>
      <w:r w:rsidRPr="00DD7BD1">
        <w:rPr>
          <w:rFonts w:cs="Calibri"/>
          <w:color w:val="auto"/>
          <w:spacing w:val="-1"/>
          <w:w w:val="110"/>
          <w:szCs w:val="22"/>
        </w:rPr>
        <w:t xml:space="preserve"> </w:t>
      </w:r>
      <w:r w:rsidRPr="00DD7BD1">
        <w:rPr>
          <w:rFonts w:cs="Calibri"/>
          <w:color w:val="auto"/>
          <w:w w:val="110"/>
          <w:szCs w:val="22"/>
        </w:rPr>
        <w:t>Department</w:t>
      </w:r>
      <w:r w:rsidRPr="00DD7BD1">
        <w:rPr>
          <w:rFonts w:cs="Calibri"/>
          <w:color w:val="auto"/>
          <w:spacing w:val="-5"/>
          <w:w w:val="110"/>
          <w:szCs w:val="22"/>
        </w:rPr>
        <w:t xml:space="preserve"> </w:t>
      </w:r>
      <w:r w:rsidRPr="00DD7BD1">
        <w:rPr>
          <w:rFonts w:cs="Calibri"/>
          <w:color w:val="auto"/>
          <w:w w:val="110"/>
          <w:szCs w:val="22"/>
        </w:rPr>
        <w:t>notes</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IRS</w:t>
      </w:r>
      <w:r w:rsidRPr="00DD7BD1">
        <w:rPr>
          <w:rFonts w:cs="Calibri"/>
          <w:color w:val="auto"/>
          <w:spacing w:val="-4"/>
          <w:w w:val="110"/>
          <w:szCs w:val="22"/>
        </w:rPr>
        <w:t xml:space="preserve"> </w:t>
      </w:r>
      <w:r w:rsidRPr="00DD7BD1">
        <w:rPr>
          <w:rFonts w:cs="Calibri"/>
          <w:color w:val="auto"/>
          <w:w w:val="110"/>
          <w:szCs w:val="22"/>
        </w:rPr>
        <w:t>expects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final</w:t>
      </w:r>
      <w:r w:rsidRPr="00DD7BD1">
        <w:rPr>
          <w:rFonts w:cs="Calibri"/>
          <w:color w:val="auto"/>
          <w:spacing w:val="-3"/>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“be</w:t>
      </w:r>
      <w:r w:rsidRPr="00DD7BD1">
        <w:rPr>
          <w:rFonts w:cs="Calibri"/>
          <w:color w:val="auto"/>
          <w:spacing w:val="-5"/>
          <w:w w:val="110"/>
          <w:szCs w:val="22"/>
        </w:rPr>
        <w:t xml:space="preserve"> </w:t>
      </w:r>
      <w:r w:rsidRPr="00DD7BD1">
        <w:rPr>
          <w:rFonts w:cs="Calibri"/>
          <w:color w:val="auto"/>
          <w:w w:val="110"/>
          <w:szCs w:val="22"/>
        </w:rPr>
        <w:t>substantially the</w:t>
      </w:r>
      <w:r w:rsidRPr="00DD7BD1">
        <w:rPr>
          <w:rFonts w:cs="Calibri"/>
          <w:color w:val="auto"/>
          <w:spacing w:val="-4"/>
          <w:w w:val="110"/>
          <w:szCs w:val="22"/>
        </w:rPr>
        <w:t xml:space="preserve"> </w:t>
      </w:r>
      <w:r w:rsidRPr="00DD7BD1">
        <w:rPr>
          <w:rFonts w:cs="Calibri"/>
          <w:color w:val="auto"/>
          <w:w w:val="110"/>
          <w:szCs w:val="22"/>
        </w:rPr>
        <w:t>same</w:t>
      </w:r>
      <w:r w:rsidRPr="00DD7BD1">
        <w:rPr>
          <w:rFonts w:cs="Calibri"/>
          <w:color w:val="auto"/>
          <w:spacing w:val="-1"/>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this preliminary</w:t>
      </w:r>
      <w:r w:rsidRPr="00DD7BD1">
        <w:rPr>
          <w:rFonts w:cs="Calibri"/>
          <w:color w:val="auto"/>
          <w:spacing w:val="-2"/>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OBBBA</w:t>
      </w:r>
      <w:r w:rsidRPr="00DD7BD1">
        <w:rPr>
          <w:rFonts w:cs="Calibri"/>
          <w:color w:val="auto"/>
          <w:spacing w:val="-3"/>
          <w:w w:val="110"/>
          <w:szCs w:val="22"/>
        </w:rPr>
        <w:t xml:space="preserve"> </w:t>
      </w:r>
      <w:r w:rsidRPr="00DD7BD1">
        <w:rPr>
          <w:rFonts w:cs="Calibri"/>
          <w:color w:val="auto"/>
          <w:w w:val="110"/>
          <w:szCs w:val="22"/>
        </w:rPr>
        <w:t>requires</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Treasury</w:t>
      </w:r>
      <w:r w:rsidRPr="00DD7BD1">
        <w:rPr>
          <w:rFonts w:cs="Calibri"/>
          <w:color w:val="auto"/>
          <w:spacing w:val="-4"/>
          <w:w w:val="110"/>
          <w:szCs w:val="22"/>
        </w:rPr>
        <w:t xml:space="preserve"> </w:t>
      </w:r>
      <w:r w:rsidRPr="00DD7BD1">
        <w:rPr>
          <w:rFonts w:cs="Calibri"/>
          <w:color w:val="auto"/>
          <w:w w:val="110"/>
          <w:szCs w:val="22"/>
        </w:rPr>
        <w:t>secretary</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publish</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official</w:t>
      </w:r>
      <w:r w:rsidRPr="00DD7BD1">
        <w:rPr>
          <w:rFonts w:cs="Calibri"/>
          <w:color w:val="auto"/>
          <w:spacing w:val="-4"/>
          <w:w w:val="110"/>
          <w:szCs w:val="22"/>
        </w:rPr>
        <w:t xml:space="preserve"> </w:t>
      </w:r>
      <w:r w:rsidRPr="00DD7BD1">
        <w:rPr>
          <w:rFonts w:cs="Calibri"/>
          <w:color w:val="auto"/>
          <w:w w:val="110"/>
          <w:szCs w:val="22"/>
        </w:rPr>
        <w:t>list of</w:t>
      </w:r>
      <w:r w:rsidRPr="00DD7BD1">
        <w:rPr>
          <w:rFonts w:cs="Calibri"/>
          <w:color w:val="auto"/>
          <w:spacing w:val="-5"/>
          <w:w w:val="110"/>
          <w:szCs w:val="22"/>
        </w:rPr>
        <w:t xml:space="preserve"> </w:t>
      </w:r>
      <w:r w:rsidRPr="00DD7BD1">
        <w:rPr>
          <w:rFonts w:cs="Calibri"/>
          <w:color w:val="auto"/>
          <w:w w:val="110"/>
          <w:szCs w:val="22"/>
        </w:rPr>
        <w:t>qualifying</w:t>
      </w:r>
      <w:r w:rsidRPr="00DD7BD1">
        <w:rPr>
          <w:rFonts w:cs="Calibri"/>
          <w:color w:val="auto"/>
          <w:spacing w:val="-4"/>
          <w:w w:val="110"/>
          <w:szCs w:val="22"/>
        </w:rPr>
        <w:t xml:space="preserve"> </w:t>
      </w:r>
      <w:r w:rsidRPr="00DD7BD1">
        <w:rPr>
          <w:rFonts w:cs="Calibri"/>
          <w:color w:val="auto"/>
          <w:w w:val="110"/>
          <w:szCs w:val="22"/>
        </w:rPr>
        <w:t>occupations by October 2, 2025.</w:t>
      </w:r>
    </w:p>
    <w:p w14:paraId="11B3007C" w14:textId="77777777" w:rsidR="00E43496" w:rsidRPr="00DD7BD1" w:rsidRDefault="00E43496" w:rsidP="00E43496">
      <w:pPr>
        <w:pStyle w:val="BodyText"/>
        <w:spacing w:after="0" w:line="240" w:lineRule="auto"/>
        <w:jc w:val="left"/>
        <w:rPr>
          <w:rFonts w:cs="Calibri"/>
          <w:color w:val="auto"/>
          <w:sz w:val="16"/>
          <w:szCs w:val="16"/>
        </w:rPr>
      </w:pPr>
    </w:p>
    <w:p w14:paraId="1B2662D3"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Notably,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Treasury</w:t>
      </w:r>
      <w:r w:rsidRPr="00DD7BD1">
        <w:rPr>
          <w:rFonts w:cs="Calibri"/>
          <w:color w:val="auto"/>
          <w:spacing w:val="-11"/>
          <w:w w:val="110"/>
          <w:szCs w:val="22"/>
        </w:rPr>
        <w:t xml:space="preserve"> </w:t>
      </w:r>
      <w:r w:rsidRPr="00DD7BD1">
        <w:rPr>
          <w:rFonts w:cs="Calibri"/>
          <w:color w:val="auto"/>
          <w:w w:val="110"/>
          <w:szCs w:val="22"/>
        </w:rPr>
        <w:t>Department’s</w:t>
      </w:r>
      <w:r w:rsidRPr="00DD7BD1">
        <w:rPr>
          <w:rFonts w:cs="Calibri"/>
          <w:color w:val="auto"/>
          <w:spacing w:val="-13"/>
          <w:w w:val="110"/>
          <w:szCs w:val="22"/>
        </w:rPr>
        <w:t xml:space="preserve"> </w:t>
      </w:r>
      <w:r w:rsidRPr="00DD7BD1">
        <w:rPr>
          <w:rFonts w:cs="Calibri"/>
          <w:color w:val="auto"/>
          <w:w w:val="110"/>
          <w:szCs w:val="22"/>
        </w:rPr>
        <w:t>preliminary</w:t>
      </w:r>
      <w:r w:rsidRPr="00DD7BD1">
        <w:rPr>
          <w:rFonts w:cs="Calibri"/>
          <w:color w:val="auto"/>
          <w:spacing w:val="-11"/>
          <w:w w:val="110"/>
          <w:szCs w:val="22"/>
        </w:rPr>
        <w:t xml:space="preserve"> </w:t>
      </w:r>
      <w:r w:rsidRPr="00DD7BD1">
        <w:rPr>
          <w:rFonts w:cs="Calibri"/>
          <w:color w:val="auto"/>
          <w:w w:val="110"/>
          <w:szCs w:val="22"/>
        </w:rPr>
        <w:t>list</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occupations</w:t>
      </w:r>
      <w:r w:rsidRPr="00DD7BD1">
        <w:rPr>
          <w:rFonts w:cs="Calibri"/>
          <w:color w:val="auto"/>
          <w:spacing w:val="-12"/>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“customarily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regularly</w:t>
      </w:r>
      <w:r w:rsidRPr="00DD7BD1">
        <w:rPr>
          <w:rFonts w:cs="Calibri"/>
          <w:color w:val="auto"/>
          <w:spacing w:val="-15"/>
          <w:w w:val="110"/>
          <w:szCs w:val="22"/>
        </w:rPr>
        <w:t xml:space="preserve"> </w:t>
      </w:r>
      <w:r w:rsidRPr="00DD7BD1">
        <w:rPr>
          <w:rFonts w:cs="Calibri"/>
          <w:color w:val="auto"/>
          <w:w w:val="110"/>
          <w:szCs w:val="22"/>
        </w:rPr>
        <w:t>received</w:t>
      </w:r>
      <w:r w:rsidRPr="00DD7BD1">
        <w:rPr>
          <w:rFonts w:cs="Calibri"/>
          <w:color w:val="auto"/>
          <w:spacing w:val="-11"/>
          <w:w w:val="110"/>
          <w:szCs w:val="22"/>
        </w:rPr>
        <w:t xml:space="preserve"> </w:t>
      </w:r>
      <w:r w:rsidRPr="00DD7BD1">
        <w:rPr>
          <w:rFonts w:cs="Calibri"/>
          <w:color w:val="auto"/>
          <w:w w:val="110"/>
          <w:szCs w:val="22"/>
        </w:rPr>
        <w:t>tips” includes</w:t>
      </w:r>
      <w:r w:rsidRPr="00DD7BD1">
        <w:rPr>
          <w:rFonts w:cs="Calibri"/>
          <w:color w:val="auto"/>
          <w:spacing w:val="-17"/>
          <w:w w:val="110"/>
          <w:szCs w:val="22"/>
        </w:rPr>
        <w:t xml:space="preserve"> </w:t>
      </w:r>
      <w:r w:rsidRPr="00DD7BD1">
        <w:rPr>
          <w:rFonts w:cs="Calibri"/>
          <w:color w:val="auto"/>
          <w:w w:val="110"/>
          <w:szCs w:val="22"/>
        </w:rPr>
        <w:t>many</w:t>
      </w:r>
      <w:r w:rsidRPr="00DD7BD1">
        <w:rPr>
          <w:rFonts w:cs="Calibri"/>
          <w:color w:val="auto"/>
          <w:spacing w:val="-17"/>
          <w:w w:val="110"/>
          <w:szCs w:val="22"/>
        </w:rPr>
        <w:t xml:space="preserve"> </w:t>
      </w:r>
      <w:r w:rsidRPr="00DD7BD1">
        <w:rPr>
          <w:rFonts w:cs="Calibri"/>
          <w:color w:val="auto"/>
          <w:w w:val="110"/>
          <w:szCs w:val="22"/>
        </w:rPr>
        <w:t>occupations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(DOL)</w:t>
      </w:r>
      <w:r w:rsidRPr="00DD7BD1">
        <w:rPr>
          <w:rFonts w:cs="Calibri"/>
          <w:color w:val="auto"/>
          <w:spacing w:val="-17"/>
          <w:w w:val="110"/>
          <w:szCs w:val="22"/>
        </w:rPr>
        <w:t xml:space="preserve"> </w:t>
      </w:r>
      <w:r w:rsidRPr="00DD7BD1">
        <w:rPr>
          <w:rFonts w:cs="Calibri"/>
          <w:color w:val="auto"/>
          <w:w w:val="110"/>
          <w:szCs w:val="22"/>
        </w:rPr>
        <w:t>has</w:t>
      </w:r>
      <w:r w:rsidRPr="00DD7BD1">
        <w:rPr>
          <w:rFonts w:cs="Calibri"/>
          <w:color w:val="auto"/>
          <w:spacing w:val="-16"/>
          <w:w w:val="110"/>
          <w:szCs w:val="22"/>
        </w:rPr>
        <w:t xml:space="preserve"> </w:t>
      </w:r>
      <w:r w:rsidRPr="00DD7BD1">
        <w:rPr>
          <w:rFonts w:cs="Calibri"/>
          <w:color w:val="auto"/>
          <w:w w:val="110"/>
          <w:szCs w:val="22"/>
        </w:rPr>
        <w:t>long</w:t>
      </w:r>
      <w:r w:rsidRPr="00DD7BD1">
        <w:rPr>
          <w:rFonts w:cs="Calibri"/>
          <w:color w:val="auto"/>
          <w:spacing w:val="-13"/>
          <w:w w:val="110"/>
          <w:szCs w:val="22"/>
        </w:rPr>
        <w:t xml:space="preserve"> </w:t>
      </w:r>
      <w:hyperlink r:id="rId244">
        <w:r w:rsidRPr="00DD7BD1">
          <w:rPr>
            <w:rFonts w:cs="Calibri"/>
            <w:color w:val="0000FF"/>
            <w:w w:val="110"/>
            <w:szCs w:val="22"/>
            <w:u w:val="single" w:color="0000FF"/>
          </w:rPr>
          <w:t>interpreted</w:t>
        </w:r>
      </w:hyperlink>
      <w:r w:rsidRPr="00DD7BD1">
        <w:rPr>
          <w:rFonts w:cs="Calibri"/>
          <w:color w:val="0000FF"/>
          <w:spacing w:val="-17"/>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5"/>
          <w:w w:val="110"/>
          <w:szCs w:val="22"/>
        </w:rPr>
        <w:t xml:space="preserve"> </w:t>
      </w:r>
      <w:r w:rsidRPr="00DD7BD1">
        <w:rPr>
          <w:rFonts w:cs="Calibri"/>
          <w:color w:val="auto"/>
          <w:w w:val="110"/>
          <w:szCs w:val="22"/>
        </w:rPr>
        <w:t>customarily</w:t>
      </w:r>
      <w:r w:rsidRPr="00DD7BD1">
        <w:rPr>
          <w:rFonts w:cs="Calibri"/>
          <w:color w:val="auto"/>
          <w:spacing w:val="-16"/>
          <w:w w:val="110"/>
          <w:szCs w:val="22"/>
        </w:rPr>
        <w:t xml:space="preserve"> </w:t>
      </w:r>
      <w:r w:rsidRPr="00DD7BD1">
        <w:rPr>
          <w:rFonts w:cs="Calibri"/>
          <w:color w:val="auto"/>
          <w:w w:val="110"/>
          <w:szCs w:val="22"/>
        </w:rPr>
        <w:t>and regularly receiving tips, such as dishwashers and cooks. This is an important difference. The DOL</w:t>
      </w:r>
      <w:r w:rsidRPr="00DD7BD1">
        <w:rPr>
          <w:rFonts w:cs="Calibri"/>
          <w:color w:val="auto"/>
          <w:spacing w:val="-1"/>
          <w:w w:val="110"/>
          <w:szCs w:val="22"/>
        </w:rPr>
        <w:t xml:space="preserve"> </w:t>
      </w:r>
      <w:r w:rsidRPr="00DD7BD1">
        <w:rPr>
          <w:rFonts w:cs="Calibri"/>
          <w:color w:val="auto"/>
          <w:w w:val="110"/>
          <w:szCs w:val="22"/>
        </w:rPr>
        <w:t>has construed the</w:t>
      </w:r>
      <w:r w:rsidRPr="00DD7BD1">
        <w:rPr>
          <w:rFonts w:cs="Calibri"/>
          <w:color w:val="auto"/>
          <w:spacing w:val="-5"/>
          <w:w w:val="110"/>
          <w:szCs w:val="22"/>
        </w:rPr>
        <w:t xml:space="preserve"> </w:t>
      </w:r>
      <w:r w:rsidRPr="00DD7BD1">
        <w:rPr>
          <w:rFonts w:cs="Calibri"/>
          <w:color w:val="auto"/>
          <w:w w:val="110"/>
          <w:szCs w:val="22"/>
        </w:rPr>
        <w:t>Fair</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Standards</w:t>
      </w:r>
      <w:r w:rsidRPr="00DD7BD1">
        <w:rPr>
          <w:rFonts w:cs="Calibri"/>
          <w:color w:val="auto"/>
          <w:spacing w:val="-7"/>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prohibit</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5"/>
          <w:w w:val="110"/>
          <w:szCs w:val="22"/>
        </w:rPr>
        <w:t xml:space="preserve"> </w:t>
      </w:r>
      <w:r w:rsidRPr="00DD7BD1">
        <w:rPr>
          <w:rFonts w:cs="Calibri"/>
          <w:color w:val="auto"/>
          <w:w w:val="110"/>
          <w:szCs w:val="22"/>
        </w:rPr>
        <w:t>applying</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“tip</w:t>
      </w:r>
      <w:r w:rsidRPr="00DD7BD1">
        <w:rPr>
          <w:rFonts w:cs="Calibri"/>
          <w:color w:val="auto"/>
          <w:spacing w:val="-7"/>
          <w:w w:val="110"/>
          <w:szCs w:val="22"/>
        </w:rPr>
        <w:t xml:space="preserve"> </w:t>
      </w:r>
      <w:r w:rsidRPr="00DD7BD1">
        <w:rPr>
          <w:rFonts w:cs="Calibri"/>
          <w:color w:val="auto"/>
          <w:w w:val="110"/>
          <w:szCs w:val="22"/>
        </w:rPr>
        <w:t>credit”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satisfy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minimum wage</w:t>
      </w:r>
      <w:r w:rsidRPr="00DD7BD1">
        <w:rPr>
          <w:rFonts w:cs="Calibri"/>
          <w:color w:val="auto"/>
          <w:spacing w:val="-5"/>
          <w:w w:val="110"/>
          <w:szCs w:val="22"/>
        </w:rPr>
        <w:t xml:space="preserve"> </w:t>
      </w:r>
      <w:r w:rsidRPr="00DD7BD1">
        <w:rPr>
          <w:rFonts w:cs="Calibri"/>
          <w:color w:val="auto"/>
          <w:w w:val="110"/>
          <w:szCs w:val="22"/>
        </w:rPr>
        <w:t>obligation</w:t>
      </w:r>
      <w:r w:rsidRPr="00DD7BD1">
        <w:rPr>
          <w:rFonts w:cs="Calibri"/>
          <w:color w:val="auto"/>
          <w:spacing w:val="-2"/>
          <w:w w:val="110"/>
          <w:szCs w:val="22"/>
        </w:rPr>
        <w:t xml:space="preserve"> </w:t>
      </w:r>
      <w:r w:rsidRPr="00DD7BD1">
        <w:rPr>
          <w:rFonts w:cs="Calibri"/>
          <w:color w:val="auto"/>
          <w:w w:val="110"/>
          <w:szCs w:val="22"/>
        </w:rPr>
        <w:t>for</w:t>
      </w:r>
      <w:r w:rsidRPr="00DD7BD1">
        <w:rPr>
          <w:rFonts w:cs="Calibri"/>
          <w:color w:val="auto"/>
          <w:spacing w:val="-4"/>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5"/>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engaged</w:t>
      </w:r>
      <w:r w:rsidRPr="00DD7BD1">
        <w:rPr>
          <w:rFonts w:cs="Calibri"/>
          <w:color w:val="auto"/>
          <w:spacing w:val="-2"/>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occupation</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customarily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regularly</w:t>
      </w:r>
      <w:r w:rsidRPr="00DD7BD1">
        <w:rPr>
          <w:rFonts w:cs="Calibri"/>
          <w:color w:val="auto"/>
          <w:spacing w:val="-2"/>
          <w:w w:val="110"/>
          <w:szCs w:val="22"/>
        </w:rPr>
        <w:t xml:space="preserve"> </w:t>
      </w:r>
      <w:r w:rsidRPr="00DD7BD1">
        <w:rPr>
          <w:rFonts w:cs="Calibri"/>
          <w:color w:val="auto"/>
          <w:w w:val="110"/>
          <w:szCs w:val="22"/>
        </w:rPr>
        <w:t>receives</w:t>
      </w:r>
      <w:r w:rsidRPr="00DD7BD1">
        <w:rPr>
          <w:rFonts w:cs="Calibri"/>
          <w:color w:val="auto"/>
          <w:spacing w:val="-2"/>
          <w:w w:val="110"/>
          <w:szCs w:val="22"/>
        </w:rPr>
        <w:t xml:space="preserve"> </w:t>
      </w:r>
      <w:r w:rsidRPr="00DD7BD1">
        <w:rPr>
          <w:rFonts w:cs="Calibri"/>
          <w:color w:val="auto"/>
          <w:w w:val="110"/>
          <w:szCs w:val="22"/>
        </w:rPr>
        <w:t>tips. Further,</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does</w:t>
      </w:r>
      <w:r w:rsidRPr="00DD7BD1">
        <w:rPr>
          <w:rFonts w:cs="Calibri"/>
          <w:color w:val="auto"/>
          <w:spacing w:val="-17"/>
          <w:w w:val="110"/>
          <w:szCs w:val="22"/>
        </w:rPr>
        <w:t xml:space="preserve"> </w:t>
      </w:r>
      <w:r w:rsidRPr="00DD7BD1">
        <w:rPr>
          <w:rFonts w:cs="Calibri"/>
          <w:color w:val="auto"/>
          <w:w w:val="110"/>
          <w:szCs w:val="22"/>
        </w:rPr>
        <w:t>take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credit,</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also</w:t>
      </w:r>
      <w:r w:rsidRPr="00DD7BD1">
        <w:rPr>
          <w:rFonts w:cs="Calibri"/>
          <w:color w:val="auto"/>
          <w:spacing w:val="-17"/>
          <w:w w:val="110"/>
          <w:szCs w:val="22"/>
        </w:rPr>
        <w:t xml:space="preserve"> </w:t>
      </w:r>
      <w:r w:rsidRPr="00DD7BD1">
        <w:rPr>
          <w:rFonts w:cs="Calibri"/>
          <w:color w:val="auto"/>
          <w:w w:val="110"/>
          <w:szCs w:val="22"/>
        </w:rPr>
        <w:t>“customarily</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regularly</w:t>
      </w:r>
      <w:r w:rsidRPr="00DD7BD1">
        <w:rPr>
          <w:rFonts w:cs="Calibri"/>
          <w:color w:val="auto"/>
          <w:spacing w:val="-16"/>
          <w:w w:val="110"/>
          <w:szCs w:val="22"/>
        </w:rPr>
        <w:t xml:space="preserve"> </w:t>
      </w:r>
      <w:r w:rsidRPr="00DD7BD1">
        <w:rPr>
          <w:rFonts w:cs="Calibri"/>
          <w:color w:val="auto"/>
          <w:w w:val="110"/>
          <w:szCs w:val="22"/>
        </w:rPr>
        <w:t>receive</w:t>
      </w:r>
      <w:r w:rsidRPr="00DD7BD1">
        <w:rPr>
          <w:rFonts w:cs="Calibri"/>
          <w:color w:val="auto"/>
          <w:spacing w:val="-15"/>
          <w:w w:val="110"/>
          <w:szCs w:val="22"/>
        </w:rPr>
        <w:t xml:space="preserve"> </w:t>
      </w:r>
      <w:r w:rsidRPr="00DD7BD1">
        <w:rPr>
          <w:rFonts w:cs="Calibri"/>
          <w:color w:val="auto"/>
          <w:w w:val="110"/>
          <w:szCs w:val="22"/>
        </w:rPr>
        <w:t>tips” can</w:t>
      </w:r>
      <w:r w:rsidRPr="00DD7BD1">
        <w:rPr>
          <w:rFonts w:cs="Calibri"/>
          <w:color w:val="auto"/>
          <w:spacing w:val="-1"/>
          <w:w w:val="110"/>
          <w:szCs w:val="22"/>
        </w:rPr>
        <w:t xml:space="preserve"> </w:t>
      </w:r>
      <w:r w:rsidRPr="00DD7BD1">
        <w:rPr>
          <w:rFonts w:cs="Calibri"/>
          <w:color w:val="auto"/>
          <w:w w:val="110"/>
          <w:szCs w:val="22"/>
        </w:rPr>
        <w:t>participate in</w:t>
      </w:r>
      <w:r w:rsidRPr="00DD7BD1">
        <w:rPr>
          <w:rFonts w:cs="Calibri"/>
          <w:color w:val="auto"/>
          <w:spacing w:val="-2"/>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mandatory tip</w:t>
      </w:r>
      <w:r w:rsidRPr="00DD7BD1">
        <w:rPr>
          <w:rFonts w:cs="Calibri"/>
          <w:color w:val="auto"/>
          <w:spacing w:val="-4"/>
          <w:w w:val="110"/>
          <w:szCs w:val="22"/>
        </w:rPr>
        <w:t xml:space="preserve"> </w:t>
      </w:r>
      <w:r w:rsidRPr="00DD7BD1">
        <w:rPr>
          <w:rFonts w:cs="Calibri"/>
          <w:color w:val="auto"/>
          <w:w w:val="110"/>
          <w:szCs w:val="22"/>
        </w:rPr>
        <w:t>pool.</w:t>
      </w:r>
      <w:r w:rsidRPr="00DD7BD1">
        <w:rPr>
          <w:rFonts w:cs="Calibri"/>
          <w:color w:val="auto"/>
          <w:spacing w:val="-2"/>
          <w:w w:val="110"/>
          <w:szCs w:val="22"/>
        </w:rPr>
        <w:t xml:space="preserve"> </w:t>
      </w:r>
      <w:r w:rsidRPr="00DD7BD1">
        <w:rPr>
          <w:rFonts w:cs="Calibri"/>
          <w:color w:val="auto"/>
          <w:w w:val="110"/>
          <w:szCs w:val="22"/>
        </w:rPr>
        <w:t>It</w:t>
      </w:r>
      <w:r w:rsidRPr="00DD7BD1">
        <w:rPr>
          <w:rFonts w:cs="Calibri"/>
          <w:color w:val="auto"/>
          <w:spacing w:val="-1"/>
          <w:w w:val="110"/>
          <w:szCs w:val="22"/>
        </w:rPr>
        <w:t xml:space="preserve"> </w:t>
      </w:r>
      <w:r w:rsidRPr="00DD7BD1">
        <w:rPr>
          <w:rFonts w:cs="Calibri"/>
          <w:color w:val="auto"/>
          <w:w w:val="110"/>
          <w:szCs w:val="22"/>
        </w:rPr>
        <w:t>had</w:t>
      </w:r>
      <w:r w:rsidRPr="00DD7BD1">
        <w:rPr>
          <w:rFonts w:cs="Calibri"/>
          <w:color w:val="auto"/>
          <w:spacing w:val="-4"/>
          <w:w w:val="110"/>
          <w:szCs w:val="22"/>
        </w:rPr>
        <w:t xml:space="preserve"> </w:t>
      </w:r>
      <w:r w:rsidRPr="00DD7BD1">
        <w:rPr>
          <w:rFonts w:cs="Calibri"/>
          <w:color w:val="auto"/>
          <w:w w:val="110"/>
          <w:szCs w:val="22"/>
        </w:rPr>
        <w:t>been assumed</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Treasury</w:t>
      </w:r>
      <w:r w:rsidRPr="00DD7BD1">
        <w:rPr>
          <w:rFonts w:cs="Calibri"/>
          <w:color w:val="auto"/>
          <w:spacing w:val="-2"/>
          <w:w w:val="110"/>
          <w:szCs w:val="22"/>
        </w:rPr>
        <w:t xml:space="preserve"> </w:t>
      </w:r>
      <w:r w:rsidRPr="00DD7BD1">
        <w:rPr>
          <w:rFonts w:cs="Calibri"/>
          <w:color w:val="auto"/>
          <w:w w:val="110"/>
          <w:szCs w:val="22"/>
        </w:rPr>
        <w:t>secretary</w:t>
      </w:r>
      <w:r w:rsidRPr="00DD7BD1">
        <w:rPr>
          <w:rFonts w:cs="Calibri"/>
          <w:color w:val="auto"/>
          <w:spacing w:val="-2"/>
          <w:w w:val="110"/>
          <w:szCs w:val="22"/>
        </w:rPr>
        <w:t xml:space="preserve"> </w:t>
      </w:r>
      <w:r w:rsidRPr="00DD7BD1">
        <w:rPr>
          <w:rFonts w:cs="Calibri"/>
          <w:color w:val="auto"/>
          <w:w w:val="110"/>
          <w:szCs w:val="22"/>
        </w:rPr>
        <w:t>would align its list</w:t>
      </w:r>
      <w:r w:rsidRPr="00DD7BD1">
        <w:rPr>
          <w:rFonts w:cs="Calibri"/>
          <w:color w:val="auto"/>
          <w:spacing w:val="-1"/>
          <w:w w:val="110"/>
          <w:szCs w:val="22"/>
        </w:rPr>
        <w:t xml:space="preserve"> </w:t>
      </w:r>
      <w:r w:rsidRPr="00DD7BD1">
        <w:rPr>
          <w:rFonts w:cs="Calibri"/>
          <w:color w:val="auto"/>
          <w:w w:val="110"/>
          <w:szCs w:val="22"/>
        </w:rPr>
        <w:t>with the</w:t>
      </w:r>
      <w:r w:rsidRPr="00DD7BD1">
        <w:rPr>
          <w:rFonts w:cs="Calibri"/>
          <w:color w:val="auto"/>
          <w:spacing w:val="-6"/>
          <w:w w:val="110"/>
          <w:szCs w:val="22"/>
        </w:rPr>
        <w:t xml:space="preserve"> </w:t>
      </w:r>
      <w:r w:rsidRPr="00DD7BD1">
        <w:rPr>
          <w:rFonts w:cs="Calibri"/>
          <w:color w:val="auto"/>
          <w:w w:val="110"/>
          <w:szCs w:val="22"/>
        </w:rPr>
        <w:t>DOL’s</w:t>
      </w:r>
      <w:r w:rsidRPr="00DD7BD1">
        <w:rPr>
          <w:rFonts w:cs="Calibri"/>
          <w:color w:val="auto"/>
          <w:spacing w:val="-6"/>
          <w:w w:val="110"/>
          <w:szCs w:val="22"/>
        </w:rPr>
        <w:t xml:space="preserve"> </w:t>
      </w:r>
      <w:r w:rsidRPr="00DD7BD1">
        <w:rPr>
          <w:rFonts w:cs="Calibri"/>
          <w:color w:val="auto"/>
          <w:w w:val="110"/>
          <w:szCs w:val="22"/>
        </w:rPr>
        <w:t>approach</w:t>
      </w:r>
      <w:r w:rsidRPr="00DD7BD1">
        <w:rPr>
          <w:rFonts w:cs="Calibri"/>
          <w:color w:val="auto"/>
          <w:spacing w:val="-6"/>
          <w:w w:val="110"/>
          <w:szCs w:val="22"/>
        </w:rPr>
        <w:t xml:space="preserve"> </w:t>
      </w:r>
      <w:r w:rsidRPr="00DD7BD1">
        <w:rPr>
          <w:rFonts w:cs="Calibri"/>
          <w:color w:val="auto"/>
          <w:w w:val="110"/>
          <w:szCs w:val="22"/>
        </w:rPr>
        <w:t>due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parallel</w:t>
      </w:r>
      <w:r w:rsidRPr="00DD7BD1">
        <w:rPr>
          <w:rFonts w:cs="Calibri"/>
          <w:color w:val="auto"/>
          <w:spacing w:val="-9"/>
          <w:w w:val="110"/>
          <w:szCs w:val="22"/>
        </w:rPr>
        <w:t xml:space="preserve"> </w:t>
      </w:r>
      <w:r w:rsidRPr="00DD7BD1">
        <w:rPr>
          <w:rFonts w:cs="Calibri"/>
          <w:color w:val="auto"/>
          <w:w w:val="110"/>
          <w:szCs w:val="22"/>
        </w:rPr>
        <w:t>“customarily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regularly”</w:t>
      </w:r>
      <w:r w:rsidRPr="00DD7BD1">
        <w:rPr>
          <w:rFonts w:cs="Calibri"/>
          <w:color w:val="auto"/>
          <w:spacing w:val="-6"/>
          <w:w w:val="110"/>
          <w:szCs w:val="22"/>
        </w:rPr>
        <w:t xml:space="preserve"> </w:t>
      </w:r>
      <w:r w:rsidRPr="00DD7BD1">
        <w:rPr>
          <w:rFonts w:cs="Calibri"/>
          <w:color w:val="auto"/>
          <w:w w:val="110"/>
          <w:szCs w:val="22"/>
        </w:rPr>
        <w:t>language</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7"/>
          <w:w w:val="110"/>
          <w:szCs w:val="22"/>
        </w:rPr>
        <w:t xml:space="preserve"> </w:t>
      </w:r>
      <w:r w:rsidRPr="00DD7BD1">
        <w:rPr>
          <w:rFonts w:cs="Calibri"/>
          <w:color w:val="auto"/>
          <w:w w:val="110"/>
          <w:szCs w:val="22"/>
        </w:rPr>
        <w:t>both</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the OBBBA.</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7"/>
          <w:w w:val="110"/>
          <w:szCs w:val="22"/>
        </w:rPr>
        <w:t xml:space="preserve"> </w:t>
      </w:r>
      <w:r w:rsidRPr="00DD7BD1">
        <w:rPr>
          <w:rFonts w:cs="Calibri"/>
          <w:color w:val="auto"/>
          <w:w w:val="110"/>
          <w:szCs w:val="22"/>
        </w:rPr>
        <w:t>remains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seen</w:t>
      </w:r>
      <w:r w:rsidRPr="00DD7BD1">
        <w:rPr>
          <w:rFonts w:cs="Calibri"/>
          <w:color w:val="auto"/>
          <w:spacing w:val="-15"/>
          <w:w w:val="110"/>
          <w:szCs w:val="22"/>
        </w:rPr>
        <w:t xml:space="preserve"> </w:t>
      </w:r>
      <w:r w:rsidRPr="00DD7BD1">
        <w:rPr>
          <w:rFonts w:cs="Calibri"/>
          <w:color w:val="auto"/>
          <w:w w:val="110"/>
          <w:szCs w:val="22"/>
        </w:rPr>
        <w:t>whether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secretary</w:t>
      </w:r>
      <w:r w:rsidRPr="00DD7BD1">
        <w:rPr>
          <w:rFonts w:cs="Calibri"/>
          <w:color w:val="auto"/>
          <w:spacing w:val="-15"/>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attempt</w:t>
      </w:r>
      <w:r w:rsidRPr="00DD7BD1">
        <w:rPr>
          <w:rFonts w:cs="Calibri"/>
          <w:color w:val="auto"/>
          <w:spacing w:val="-19"/>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reconcile</w:t>
      </w:r>
      <w:r w:rsidRPr="00DD7BD1">
        <w:rPr>
          <w:rFonts w:cs="Calibri"/>
          <w:color w:val="auto"/>
          <w:spacing w:val="-16"/>
          <w:w w:val="110"/>
          <w:szCs w:val="22"/>
        </w:rPr>
        <w:t xml:space="preserve"> </w:t>
      </w:r>
      <w:r w:rsidRPr="00DD7BD1">
        <w:rPr>
          <w:rFonts w:cs="Calibri"/>
          <w:color w:val="auto"/>
          <w:w w:val="110"/>
          <w:szCs w:val="22"/>
        </w:rPr>
        <w:t>its</w:t>
      </w:r>
      <w:r w:rsidRPr="00DD7BD1">
        <w:rPr>
          <w:rFonts w:cs="Calibri"/>
          <w:color w:val="auto"/>
          <w:spacing w:val="-15"/>
          <w:w w:val="110"/>
          <w:szCs w:val="22"/>
        </w:rPr>
        <w:t xml:space="preserve"> </w:t>
      </w:r>
      <w:r w:rsidRPr="00DD7BD1">
        <w:rPr>
          <w:rFonts w:cs="Calibri"/>
          <w:color w:val="auto"/>
          <w:w w:val="110"/>
          <w:szCs w:val="22"/>
        </w:rPr>
        <w:t>final</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 approach</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whether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broader</w:t>
      </w:r>
      <w:r w:rsidRPr="00DD7BD1">
        <w:rPr>
          <w:rFonts w:cs="Calibri"/>
          <w:color w:val="auto"/>
          <w:spacing w:val="-17"/>
          <w:w w:val="110"/>
          <w:szCs w:val="22"/>
        </w:rPr>
        <w:t xml:space="preserve"> </w:t>
      </w:r>
      <w:r w:rsidRPr="00DD7BD1">
        <w:rPr>
          <w:rFonts w:cs="Calibri"/>
          <w:color w:val="auto"/>
          <w:w w:val="110"/>
          <w:szCs w:val="22"/>
        </w:rPr>
        <w:t>interpretation</w:t>
      </w:r>
      <w:r w:rsidRPr="00DD7BD1">
        <w:rPr>
          <w:rFonts w:cs="Calibri"/>
          <w:color w:val="auto"/>
          <w:spacing w:val="-16"/>
          <w:w w:val="110"/>
          <w:szCs w:val="22"/>
        </w:rPr>
        <w:t xml:space="preserve"> </w:t>
      </w:r>
      <w:r w:rsidRPr="00DD7BD1">
        <w:rPr>
          <w:rFonts w:cs="Calibri"/>
          <w:color w:val="auto"/>
          <w:w w:val="110"/>
          <w:szCs w:val="22"/>
        </w:rPr>
        <w:t>suggested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Department’s</w:t>
      </w:r>
      <w:r w:rsidRPr="00DD7BD1">
        <w:rPr>
          <w:rFonts w:cs="Calibri"/>
          <w:color w:val="auto"/>
          <w:spacing w:val="-16"/>
          <w:w w:val="110"/>
          <w:szCs w:val="22"/>
        </w:rPr>
        <w:t xml:space="preserve"> </w:t>
      </w:r>
      <w:r w:rsidRPr="00DD7BD1">
        <w:rPr>
          <w:rFonts w:cs="Calibri"/>
          <w:color w:val="auto"/>
          <w:w w:val="110"/>
          <w:szCs w:val="22"/>
        </w:rPr>
        <w:t>preliminary</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may</w:t>
      </w:r>
      <w:r w:rsidRPr="00DD7BD1">
        <w:rPr>
          <w:rFonts w:cs="Calibri"/>
          <w:color w:val="auto"/>
          <w:spacing w:val="-17"/>
          <w:w w:val="110"/>
          <w:szCs w:val="22"/>
        </w:rPr>
        <w:t xml:space="preserve"> </w:t>
      </w:r>
      <w:r w:rsidRPr="00DD7BD1">
        <w:rPr>
          <w:rFonts w:cs="Calibri"/>
          <w:color w:val="auto"/>
          <w:w w:val="110"/>
          <w:szCs w:val="22"/>
        </w:rPr>
        <w:t>one day</w:t>
      </w:r>
      <w:r w:rsidRPr="00DD7BD1">
        <w:rPr>
          <w:rFonts w:cs="Calibri"/>
          <w:color w:val="auto"/>
          <w:spacing w:val="-16"/>
          <w:w w:val="110"/>
          <w:szCs w:val="22"/>
        </w:rPr>
        <w:t xml:space="preserve"> </w:t>
      </w:r>
      <w:r w:rsidRPr="00DD7BD1">
        <w:rPr>
          <w:rFonts w:cs="Calibri"/>
          <w:color w:val="auto"/>
          <w:w w:val="110"/>
          <w:szCs w:val="22"/>
        </w:rPr>
        <w:t>influence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w:t>
      </w:r>
      <w:r w:rsidRPr="00DD7BD1">
        <w:rPr>
          <w:rFonts w:cs="Calibri"/>
          <w:color w:val="auto"/>
          <w:spacing w:val="-17"/>
          <w:w w:val="110"/>
          <w:szCs w:val="22"/>
        </w:rPr>
        <w:t xml:space="preserve"> </w:t>
      </w:r>
      <w:r w:rsidRPr="00DD7BD1">
        <w:rPr>
          <w:rFonts w:cs="Calibri"/>
          <w:color w:val="auto"/>
          <w:w w:val="110"/>
          <w:szCs w:val="22"/>
        </w:rPr>
        <w:t>narrower</w:t>
      </w:r>
      <w:r w:rsidRPr="00DD7BD1">
        <w:rPr>
          <w:rFonts w:cs="Calibri"/>
          <w:color w:val="auto"/>
          <w:spacing w:val="-16"/>
          <w:w w:val="110"/>
          <w:szCs w:val="22"/>
        </w:rPr>
        <w:t xml:space="preserve"> </w:t>
      </w:r>
      <w:r w:rsidRPr="00DD7BD1">
        <w:rPr>
          <w:rFonts w:cs="Calibri"/>
          <w:color w:val="auto"/>
          <w:w w:val="110"/>
          <w:szCs w:val="22"/>
        </w:rPr>
        <w:t>interpretation).</w:t>
      </w:r>
    </w:p>
    <w:p w14:paraId="2AAA00F6" w14:textId="77777777" w:rsidR="00E43496" w:rsidRPr="00DD7BD1" w:rsidRDefault="00E43496" w:rsidP="00E43496">
      <w:pPr>
        <w:pStyle w:val="BodyText"/>
        <w:spacing w:after="0" w:line="240" w:lineRule="auto"/>
        <w:jc w:val="left"/>
        <w:rPr>
          <w:rFonts w:cs="Calibri"/>
          <w:color w:val="auto"/>
          <w:sz w:val="16"/>
          <w:szCs w:val="16"/>
        </w:rPr>
      </w:pPr>
    </w:p>
    <w:p w14:paraId="56F39BB5"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Another</w:t>
      </w:r>
      <w:r w:rsidRPr="00DD7BD1">
        <w:rPr>
          <w:rFonts w:cs="Calibri"/>
          <w:color w:val="auto"/>
          <w:spacing w:val="-10"/>
          <w:w w:val="110"/>
          <w:szCs w:val="22"/>
        </w:rPr>
        <w:t xml:space="preserve"> </w:t>
      </w:r>
      <w:r w:rsidRPr="00DD7BD1">
        <w:rPr>
          <w:rFonts w:cs="Calibri"/>
          <w:color w:val="auto"/>
          <w:w w:val="110"/>
          <w:szCs w:val="22"/>
        </w:rPr>
        <w:t>potential</w:t>
      </w:r>
      <w:r w:rsidRPr="00DD7BD1">
        <w:rPr>
          <w:rFonts w:cs="Calibri"/>
          <w:color w:val="auto"/>
          <w:spacing w:val="-9"/>
          <w:w w:val="110"/>
          <w:szCs w:val="22"/>
        </w:rPr>
        <w:t xml:space="preserve"> </w:t>
      </w:r>
      <w:r w:rsidRPr="00DD7BD1">
        <w:rPr>
          <w:rFonts w:cs="Calibri"/>
          <w:color w:val="auto"/>
          <w:w w:val="110"/>
          <w:szCs w:val="22"/>
        </w:rPr>
        <w:t>consequence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Treasury</w:t>
      </w:r>
      <w:r w:rsidRPr="00DD7BD1">
        <w:rPr>
          <w:rFonts w:cs="Calibri"/>
          <w:color w:val="auto"/>
          <w:spacing w:val="-6"/>
          <w:w w:val="110"/>
          <w:szCs w:val="22"/>
        </w:rPr>
        <w:t xml:space="preserve"> </w:t>
      </w:r>
      <w:r w:rsidRPr="00DD7BD1">
        <w:rPr>
          <w:rFonts w:cs="Calibri"/>
          <w:color w:val="auto"/>
          <w:w w:val="110"/>
          <w:szCs w:val="22"/>
        </w:rPr>
        <w:t>Department’s</w:t>
      </w:r>
      <w:r w:rsidRPr="00DD7BD1">
        <w:rPr>
          <w:rFonts w:cs="Calibri"/>
          <w:color w:val="auto"/>
          <w:spacing w:val="-6"/>
          <w:w w:val="110"/>
          <w:szCs w:val="22"/>
        </w:rPr>
        <w:t xml:space="preserve"> </w:t>
      </w:r>
      <w:r w:rsidRPr="00DD7BD1">
        <w:rPr>
          <w:rFonts w:cs="Calibri"/>
          <w:color w:val="auto"/>
          <w:w w:val="110"/>
          <w:szCs w:val="22"/>
        </w:rPr>
        <w:t>broad</w:t>
      </w:r>
      <w:r w:rsidRPr="00DD7BD1">
        <w:rPr>
          <w:rFonts w:cs="Calibri"/>
          <w:color w:val="auto"/>
          <w:spacing w:val="-6"/>
          <w:w w:val="110"/>
          <w:szCs w:val="22"/>
        </w:rPr>
        <w:t xml:space="preserve"> </w:t>
      </w:r>
      <w:r w:rsidRPr="00DD7BD1">
        <w:rPr>
          <w:rFonts w:cs="Calibri"/>
          <w:color w:val="auto"/>
          <w:w w:val="110"/>
          <w:szCs w:val="22"/>
        </w:rPr>
        <w:t>preliminary</w:t>
      </w:r>
      <w:r w:rsidRPr="00DD7BD1">
        <w:rPr>
          <w:rFonts w:cs="Calibri"/>
          <w:color w:val="auto"/>
          <w:spacing w:val="-9"/>
          <w:w w:val="110"/>
          <w:szCs w:val="22"/>
        </w:rPr>
        <w:t xml:space="preserve"> </w:t>
      </w:r>
      <w:r w:rsidRPr="00DD7BD1">
        <w:rPr>
          <w:rFonts w:cs="Calibri"/>
          <w:color w:val="auto"/>
          <w:w w:val="110"/>
          <w:szCs w:val="22"/>
        </w:rPr>
        <w:t>list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ease</w:t>
      </w:r>
      <w:r w:rsidRPr="00DD7BD1">
        <w:rPr>
          <w:rFonts w:cs="Calibri"/>
          <w:color w:val="auto"/>
          <w:spacing w:val="-6"/>
          <w:w w:val="110"/>
          <w:szCs w:val="22"/>
        </w:rPr>
        <w:t xml:space="preserve"> </w:t>
      </w:r>
      <w:r w:rsidRPr="00DD7BD1">
        <w:rPr>
          <w:rFonts w:cs="Calibri"/>
          <w:color w:val="auto"/>
          <w:w w:val="110"/>
          <w:szCs w:val="22"/>
        </w:rPr>
        <w:t>the reporting</w:t>
      </w:r>
      <w:r w:rsidRPr="00DD7BD1">
        <w:rPr>
          <w:rFonts w:cs="Calibri"/>
          <w:color w:val="auto"/>
          <w:spacing w:val="-17"/>
          <w:w w:val="110"/>
          <w:szCs w:val="22"/>
        </w:rPr>
        <w:t xml:space="preserve"> </w:t>
      </w:r>
      <w:r w:rsidRPr="00DD7BD1">
        <w:rPr>
          <w:rFonts w:cs="Calibri"/>
          <w:color w:val="auto"/>
          <w:w w:val="110"/>
          <w:szCs w:val="22"/>
        </w:rPr>
        <w:t>burden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were</w:t>
      </w:r>
      <w:r w:rsidRPr="00DD7BD1">
        <w:rPr>
          <w:rFonts w:cs="Calibri"/>
          <w:color w:val="auto"/>
          <w:spacing w:val="-16"/>
          <w:w w:val="110"/>
          <w:szCs w:val="22"/>
        </w:rPr>
        <w:t xml:space="preserve"> </w:t>
      </w:r>
      <w:r w:rsidRPr="00DD7BD1">
        <w:rPr>
          <w:rFonts w:cs="Calibri"/>
          <w:color w:val="auto"/>
          <w:w w:val="110"/>
          <w:szCs w:val="22"/>
        </w:rPr>
        <w:t>concerned</w:t>
      </w:r>
      <w:r w:rsidRPr="00DD7BD1">
        <w:rPr>
          <w:rFonts w:cs="Calibri"/>
          <w:color w:val="auto"/>
          <w:spacing w:val="-14"/>
          <w:w w:val="110"/>
          <w:szCs w:val="22"/>
        </w:rPr>
        <w:t xml:space="preserve"> </w:t>
      </w:r>
      <w:r w:rsidRPr="00DD7BD1">
        <w:rPr>
          <w:rFonts w:cs="Calibri"/>
          <w:color w:val="auto"/>
          <w:w w:val="110"/>
          <w:szCs w:val="22"/>
        </w:rPr>
        <w:t>that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OBBBA</w:t>
      </w:r>
      <w:r w:rsidRPr="00DD7BD1">
        <w:rPr>
          <w:rFonts w:cs="Calibri"/>
          <w:color w:val="auto"/>
          <w:spacing w:val="-17"/>
          <w:w w:val="110"/>
          <w:szCs w:val="22"/>
        </w:rPr>
        <w:t xml:space="preserve"> </w:t>
      </w:r>
      <w:r w:rsidRPr="00DD7BD1">
        <w:rPr>
          <w:rFonts w:cs="Calibri"/>
          <w:color w:val="auto"/>
          <w:w w:val="110"/>
          <w:szCs w:val="22"/>
        </w:rPr>
        <w:t>might</w:t>
      </w:r>
      <w:r w:rsidRPr="00DD7BD1">
        <w:rPr>
          <w:rFonts w:cs="Calibri"/>
          <w:color w:val="auto"/>
          <w:spacing w:val="-17"/>
          <w:w w:val="110"/>
          <w:szCs w:val="22"/>
        </w:rPr>
        <w:t xml:space="preserve"> </w:t>
      </w:r>
      <w:r w:rsidRPr="00DD7BD1">
        <w:rPr>
          <w:rFonts w:cs="Calibri"/>
          <w:color w:val="auto"/>
          <w:w w:val="110"/>
          <w:szCs w:val="22"/>
        </w:rPr>
        <w:t>require</w:t>
      </w:r>
      <w:r w:rsidRPr="00DD7BD1">
        <w:rPr>
          <w:rFonts w:cs="Calibri"/>
          <w:color w:val="auto"/>
          <w:spacing w:val="-15"/>
          <w:w w:val="110"/>
          <w:szCs w:val="22"/>
        </w:rPr>
        <w:t xml:space="preserve"> </w:t>
      </w:r>
      <w:r w:rsidRPr="00DD7BD1">
        <w:rPr>
          <w:rFonts w:cs="Calibri"/>
          <w:color w:val="auto"/>
          <w:w w:val="110"/>
          <w:szCs w:val="22"/>
        </w:rPr>
        <w:t>them</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separately</w:t>
      </w:r>
      <w:r w:rsidRPr="00DD7BD1">
        <w:rPr>
          <w:rFonts w:cs="Calibri"/>
          <w:color w:val="auto"/>
          <w:spacing w:val="-14"/>
          <w:w w:val="110"/>
          <w:szCs w:val="22"/>
        </w:rPr>
        <w:t xml:space="preserve"> </w:t>
      </w:r>
      <w:r w:rsidRPr="00DD7BD1">
        <w:rPr>
          <w:rFonts w:cs="Calibri"/>
          <w:color w:val="auto"/>
          <w:w w:val="110"/>
          <w:szCs w:val="22"/>
        </w:rPr>
        <w:t>track</w:t>
      </w:r>
      <w:r w:rsidRPr="00DD7BD1">
        <w:rPr>
          <w:rFonts w:cs="Calibri"/>
          <w:color w:val="auto"/>
          <w:spacing w:val="-14"/>
          <w:w w:val="110"/>
          <w:szCs w:val="22"/>
        </w:rPr>
        <w:t xml:space="preserve"> </w:t>
      </w:r>
      <w:r w:rsidRPr="00DD7BD1">
        <w:rPr>
          <w:rFonts w:cs="Calibri"/>
          <w:color w:val="auto"/>
          <w:w w:val="110"/>
          <w:szCs w:val="22"/>
        </w:rPr>
        <w:t>tips received</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dual</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while</w:t>
      </w:r>
      <w:r w:rsidRPr="00DD7BD1">
        <w:rPr>
          <w:rFonts w:cs="Calibri"/>
          <w:color w:val="auto"/>
          <w:spacing w:val="-13"/>
          <w:w w:val="110"/>
          <w:szCs w:val="22"/>
        </w:rPr>
        <w:t xml:space="preserve"> </w:t>
      </w:r>
      <w:r w:rsidRPr="00DD7BD1">
        <w:rPr>
          <w:rFonts w:cs="Calibri"/>
          <w:color w:val="auto"/>
          <w:w w:val="110"/>
          <w:szCs w:val="22"/>
        </w:rPr>
        <w:t>working</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traditional</w:t>
      </w:r>
      <w:r w:rsidRPr="00DD7BD1">
        <w:rPr>
          <w:rFonts w:cs="Calibri"/>
          <w:color w:val="auto"/>
          <w:spacing w:val="-12"/>
          <w:w w:val="110"/>
          <w:szCs w:val="22"/>
        </w:rPr>
        <w:t xml:space="preserve"> </w:t>
      </w:r>
      <w:r w:rsidRPr="00DD7BD1">
        <w:rPr>
          <w:rFonts w:cs="Calibri"/>
          <w:color w:val="auto"/>
          <w:w w:val="110"/>
          <w:szCs w:val="22"/>
        </w:rPr>
        <w:t>tipped</w:t>
      </w:r>
      <w:r w:rsidRPr="00DD7BD1">
        <w:rPr>
          <w:rFonts w:cs="Calibri"/>
          <w:color w:val="auto"/>
          <w:spacing w:val="-11"/>
          <w:w w:val="110"/>
          <w:szCs w:val="22"/>
        </w:rPr>
        <w:t xml:space="preserve"> </w:t>
      </w:r>
      <w:r w:rsidRPr="00DD7BD1">
        <w:rPr>
          <w:rFonts w:cs="Calibri"/>
          <w:color w:val="auto"/>
          <w:w w:val="110"/>
          <w:szCs w:val="22"/>
        </w:rPr>
        <w:t>occupations</w:t>
      </w:r>
      <w:r w:rsidRPr="00DD7BD1">
        <w:rPr>
          <w:rFonts w:cs="Calibri"/>
          <w:color w:val="auto"/>
          <w:spacing w:val="-13"/>
          <w:w w:val="110"/>
          <w:szCs w:val="22"/>
        </w:rPr>
        <w:t xml:space="preserve"> </w:t>
      </w:r>
      <w:r w:rsidRPr="00DD7BD1">
        <w:rPr>
          <w:rFonts w:cs="Calibri"/>
          <w:color w:val="auto"/>
          <w:w w:val="110"/>
          <w:szCs w:val="22"/>
        </w:rPr>
        <w:t>(like</w:t>
      </w:r>
      <w:r w:rsidRPr="00DD7BD1">
        <w:rPr>
          <w:rFonts w:cs="Calibri"/>
          <w:color w:val="auto"/>
          <w:spacing w:val="-11"/>
          <w:w w:val="110"/>
          <w:szCs w:val="22"/>
        </w:rPr>
        <w:t xml:space="preserve"> </w:t>
      </w:r>
      <w:r w:rsidRPr="00DD7BD1">
        <w:rPr>
          <w:rFonts w:cs="Calibri"/>
          <w:color w:val="auto"/>
          <w:w w:val="110"/>
          <w:szCs w:val="22"/>
        </w:rPr>
        <w:t>wait</w:t>
      </w:r>
      <w:r w:rsidRPr="00DD7BD1">
        <w:rPr>
          <w:rFonts w:cs="Calibri"/>
          <w:color w:val="auto"/>
          <w:spacing w:val="-12"/>
          <w:w w:val="110"/>
          <w:szCs w:val="22"/>
        </w:rPr>
        <w:t xml:space="preserve"> </w:t>
      </w:r>
      <w:r w:rsidRPr="00DD7BD1">
        <w:rPr>
          <w:rFonts w:cs="Calibri"/>
          <w:color w:val="auto"/>
          <w:w w:val="110"/>
          <w:szCs w:val="22"/>
        </w:rPr>
        <w:t>staff</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bartender)</w:t>
      </w:r>
      <w:r w:rsidRPr="00DD7BD1">
        <w:rPr>
          <w:rFonts w:cs="Calibri"/>
          <w:color w:val="auto"/>
          <w:spacing w:val="-12"/>
          <w:w w:val="110"/>
          <w:szCs w:val="22"/>
        </w:rPr>
        <w:t xml:space="preserve"> </w:t>
      </w:r>
      <w:r w:rsidRPr="00DD7BD1">
        <w:rPr>
          <w:rFonts w:cs="Calibri"/>
          <w:color w:val="auto"/>
          <w:w w:val="110"/>
          <w:szCs w:val="22"/>
        </w:rPr>
        <w:t>from tips</w:t>
      </w:r>
      <w:r w:rsidRPr="00DD7BD1">
        <w:rPr>
          <w:rFonts w:cs="Calibri"/>
          <w:color w:val="auto"/>
          <w:spacing w:val="-8"/>
          <w:w w:val="110"/>
          <w:szCs w:val="22"/>
        </w:rPr>
        <w:t xml:space="preserve"> </w:t>
      </w:r>
      <w:r w:rsidRPr="00DD7BD1">
        <w:rPr>
          <w:rFonts w:cs="Calibri"/>
          <w:color w:val="auto"/>
          <w:w w:val="110"/>
          <w:szCs w:val="22"/>
        </w:rPr>
        <w:t>received</w:t>
      </w:r>
      <w:r w:rsidRPr="00DD7BD1">
        <w:rPr>
          <w:rFonts w:cs="Calibri"/>
          <w:color w:val="auto"/>
          <w:spacing w:val="-8"/>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tip</w:t>
      </w:r>
      <w:r w:rsidRPr="00DD7BD1">
        <w:rPr>
          <w:rFonts w:cs="Calibri"/>
          <w:color w:val="auto"/>
          <w:spacing w:val="-11"/>
          <w:w w:val="110"/>
          <w:szCs w:val="22"/>
        </w:rPr>
        <w:t xml:space="preserve"> </w:t>
      </w:r>
      <w:r w:rsidRPr="00DD7BD1">
        <w:rPr>
          <w:rFonts w:cs="Calibri"/>
          <w:color w:val="auto"/>
          <w:w w:val="110"/>
          <w:szCs w:val="22"/>
        </w:rPr>
        <w:t>pool</w:t>
      </w:r>
      <w:r w:rsidRPr="00DD7BD1">
        <w:rPr>
          <w:rFonts w:cs="Calibri"/>
          <w:color w:val="auto"/>
          <w:spacing w:val="-12"/>
          <w:w w:val="110"/>
          <w:szCs w:val="22"/>
        </w:rPr>
        <w:t xml:space="preserve"> </w:t>
      </w:r>
      <w:r w:rsidRPr="00DD7BD1">
        <w:rPr>
          <w:rFonts w:cs="Calibri"/>
          <w:color w:val="auto"/>
          <w:w w:val="110"/>
          <w:szCs w:val="22"/>
        </w:rPr>
        <w:t>by</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same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8"/>
          <w:w w:val="110"/>
          <w:szCs w:val="22"/>
        </w:rPr>
        <w:t xml:space="preserve"> </w:t>
      </w:r>
      <w:r w:rsidRPr="00DD7BD1">
        <w:rPr>
          <w:rFonts w:cs="Calibri"/>
          <w:color w:val="auto"/>
          <w:w w:val="110"/>
          <w:szCs w:val="22"/>
        </w:rPr>
        <w:t>while</w:t>
      </w:r>
      <w:r w:rsidRPr="00DD7BD1">
        <w:rPr>
          <w:rFonts w:cs="Calibri"/>
          <w:color w:val="auto"/>
          <w:spacing w:val="-8"/>
          <w:w w:val="110"/>
          <w:szCs w:val="22"/>
        </w:rPr>
        <w:t xml:space="preserve"> </w:t>
      </w:r>
      <w:r w:rsidRPr="00DD7BD1">
        <w:rPr>
          <w:rFonts w:cs="Calibri"/>
          <w:color w:val="auto"/>
          <w:w w:val="110"/>
          <w:szCs w:val="22"/>
        </w:rPr>
        <w:t>working</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another</w:t>
      </w:r>
      <w:r w:rsidRPr="00DD7BD1">
        <w:rPr>
          <w:rFonts w:cs="Calibri"/>
          <w:color w:val="auto"/>
          <w:spacing w:val="-11"/>
          <w:w w:val="110"/>
          <w:szCs w:val="22"/>
        </w:rPr>
        <w:t xml:space="preserve"> </w:t>
      </w:r>
      <w:r w:rsidRPr="00DD7BD1">
        <w:rPr>
          <w:rFonts w:cs="Calibri"/>
          <w:color w:val="auto"/>
          <w:w w:val="110"/>
          <w:szCs w:val="22"/>
        </w:rPr>
        <w:t>position</w:t>
      </w:r>
      <w:r w:rsidRPr="00DD7BD1">
        <w:rPr>
          <w:rFonts w:cs="Calibri"/>
          <w:color w:val="auto"/>
          <w:spacing w:val="-8"/>
          <w:w w:val="110"/>
          <w:szCs w:val="22"/>
        </w:rPr>
        <w:t xml:space="preserve"> </w:t>
      </w:r>
      <w:r w:rsidRPr="00DD7BD1">
        <w:rPr>
          <w:rFonts w:cs="Calibri"/>
          <w:color w:val="auto"/>
          <w:w w:val="110"/>
          <w:szCs w:val="22"/>
        </w:rPr>
        <w:t>(like</w:t>
      </w:r>
      <w:r w:rsidRPr="00DD7BD1">
        <w:rPr>
          <w:rFonts w:cs="Calibri"/>
          <w:color w:val="auto"/>
          <w:spacing w:val="-8"/>
          <w:w w:val="110"/>
          <w:szCs w:val="22"/>
        </w:rPr>
        <w:t xml:space="preserve"> </w:t>
      </w:r>
      <w:r w:rsidRPr="00DD7BD1">
        <w:rPr>
          <w:rFonts w:cs="Calibri"/>
          <w:color w:val="auto"/>
          <w:w w:val="110"/>
          <w:szCs w:val="22"/>
        </w:rPr>
        <w:t>dishwasher</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cook), assuming that only the former category of tips would qualify for the deduction.</w:t>
      </w:r>
    </w:p>
    <w:p w14:paraId="5AA94D63" w14:textId="77777777" w:rsidR="00E43496" w:rsidRPr="00DD7BD1" w:rsidRDefault="00E43496" w:rsidP="00E43496">
      <w:pPr>
        <w:pStyle w:val="BodyText"/>
        <w:spacing w:after="0" w:line="240" w:lineRule="auto"/>
        <w:jc w:val="left"/>
        <w:rPr>
          <w:rFonts w:cs="Calibri"/>
          <w:color w:val="auto"/>
          <w:sz w:val="16"/>
          <w:szCs w:val="16"/>
        </w:rPr>
      </w:pPr>
    </w:p>
    <w:p w14:paraId="2C0AB89E" w14:textId="77777777" w:rsidR="00E43496" w:rsidRPr="00DD7BD1" w:rsidRDefault="00E43496" w:rsidP="00E43496">
      <w:pPr>
        <w:pStyle w:val="BodyText"/>
        <w:spacing w:after="0" w:line="240" w:lineRule="auto"/>
        <w:jc w:val="left"/>
        <w:rPr>
          <w:rFonts w:cs="Calibri"/>
          <w:szCs w:val="22"/>
        </w:rPr>
      </w:pPr>
      <w:r w:rsidRPr="00DD7BD1">
        <w:rPr>
          <w:rFonts w:cs="Calibri"/>
          <w:color w:val="auto"/>
          <w:w w:val="110"/>
          <w:szCs w:val="22"/>
        </w:rPr>
        <w:t>-Extracted</w:t>
      </w:r>
      <w:r w:rsidRPr="00DD7BD1">
        <w:rPr>
          <w:rFonts w:cs="Calibri"/>
          <w:color w:val="auto"/>
          <w:spacing w:val="-9"/>
          <w:w w:val="110"/>
          <w:szCs w:val="22"/>
        </w:rPr>
        <w:t xml:space="preserve"> </w:t>
      </w:r>
      <w:r w:rsidRPr="00DD7BD1">
        <w:rPr>
          <w:rFonts w:cs="Calibri"/>
          <w:color w:val="auto"/>
          <w:w w:val="110"/>
          <w:szCs w:val="22"/>
        </w:rPr>
        <w:t>from</w:t>
      </w:r>
      <w:r w:rsidRPr="00DD7BD1">
        <w:rPr>
          <w:rFonts w:cs="Calibri"/>
          <w:color w:val="auto"/>
          <w:spacing w:val="-9"/>
          <w:w w:val="110"/>
          <w:szCs w:val="22"/>
        </w:rPr>
        <w:t xml:space="preserve"> </w:t>
      </w:r>
      <w:r w:rsidRPr="00DD7BD1">
        <w:rPr>
          <w:rFonts w:cs="Calibri"/>
          <w:color w:val="auto"/>
          <w:w w:val="110"/>
          <w:szCs w:val="22"/>
        </w:rPr>
        <w:t>Littler</w:t>
      </w:r>
      <w:r w:rsidRPr="00DD7BD1">
        <w:rPr>
          <w:rFonts w:cs="Calibri"/>
          <w:color w:val="auto"/>
          <w:spacing w:val="-9"/>
          <w:w w:val="110"/>
          <w:szCs w:val="22"/>
        </w:rPr>
        <w:t xml:space="preserve"> </w:t>
      </w:r>
      <w:r w:rsidRPr="00DD7BD1">
        <w:rPr>
          <w:rFonts w:cs="Calibri"/>
          <w:color w:val="auto"/>
          <w:w w:val="110"/>
          <w:szCs w:val="22"/>
        </w:rPr>
        <w:t>Mendelson</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9"/>
          <w:w w:val="110"/>
          <w:szCs w:val="22"/>
        </w:rPr>
        <w:t xml:space="preserve"> </w:t>
      </w:r>
      <w:r w:rsidRPr="00DD7BD1">
        <w:rPr>
          <w:rFonts w:cs="Calibri"/>
          <w:color w:val="auto"/>
          <w:w w:val="110"/>
          <w:szCs w:val="22"/>
        </w:rPr>
        <w:t>released</w:t>
      </w:r>
      <w:r w:rsidRPr="00DD7BD1">
        <w:rPr>
          <w:rFonts w:cs="Calibri"/>
          <w:color w:val="auto"/>
          <w:spacing w:val="-10"/>
          <w:w w:val="110"/>
          <w:szCs w:val="22"/>
        </w:rPr>
        <w:t xml:space="preserve"> </w:t>
      </w:r>
      <w:r w:rsidRPr="00DD7BD1">
        <w:rPr>
          <w:rFonts w:cs="Calibri"/>
          <w:color w:val="auto"/>
          <w:w w:val="110"/>
          <w:szCs w:val="22"/>
        </w:rPr>
        <w:t>Sept</w:t>
      </w:r>
      <w:r w:rsidRPr="00DD7BD1">
        <w:rPr>
          <w:rFonts w:cs="Calibri"/>
          <w:color w:val="auto"/>
          <w:spacing w:val="-10"/>
          <w:w w:val="110"/>
          <w:szCs w:val="22"/>
        </w:rPr>
        <w:t xml:space="preserve"> </w:t>
      </w:r>
      <w:r w:rsidRPr="00DD7BD1">
        <w:rPr>
          <w:rFonts w:cs="Calibri"/>
          <w:color w:val="auto"/>
          <w:w w:val="110"/>
          <w:szCs w:val="22"/>
        </w:rPr>
        <w:t>3</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45">
        <w:r w:rsidRPr="00DD7BD1">
          <w:rPr>
            <w:rFonts w:cs="Calibri"/>
            <w:color w:val="0000FF"/>
            <w:spacing w:val="-4"/>
            <w:w w:val="110"/>
            <w:szCs w:val="22"/>
            <w:u w:val="single" w:color="0000FF"/>
          </w:rPr>
          <w:t>HERE</w:t>
        </w:r>
      </w:hyperlink>
    </w:p>
    <w:p w14:paraId="32593D39" w14:textId="77777777" w:rsidR="00E43496" w:rsidRPr="00DD7BD1" w:rsidRDefault="00E43496" w:rsidP="00E43496">
      <w:pPr>
        <w:pStyle w:val="BodyText"/>
        <w:spacing w:after="0" w:line="240" w:lineRule="auto"/>
        <w:jc w:val="left"/>
        <w:rPr>
          <w:rFonts w:cs="Calibri"/>
          <w:szCs w:val="22"/>
        </w:rPr>
      </w:pPr>
    </w:p>
    <w:p w14:paraId="248E738C" w14:textId="3B74EB7A" w:rsidR="00E43496" w:rsidRPr="00DD7BD1" w:rsidRDefault="00E43496" w:rsidP="00E43496">
      <w:pPr>
        <w:pStyle w:val="Heading1"/>
        <w:spacing w:before="0" w:beforeAutospacing="0" w:after="0" w:afterAutospacing="0"/>
        <w:ind w:right="361"/>
        <w:jc w:val="center"/>
        <w:rPr>
          <w:rFonts w:ascii="Calibri" w:hAnsi="Calibri" w:cs="Calibri"/>
          <w:spacing w:val="-8"/>
          <w:sz w:val="32"/>
          <w:szCs w:val="32"/>
        </w:rPr>
      </w:pPr>
      <w:r w:rsidRPr="00DD7BD1">
        <w:rPr>
          <w:rFonts w:ascii="Calibri" w:hAnsi="Calibri" w:cs="Calibri"/>
          <w:spacing w:val="-8"/>
          <w:sz w:val="32"/>
          <w:szCs w:val="32"/>
        </w:rPr>
        <w:t>IRS Raises ACA Affordability Threshold for 2026 Plan Year</w:t>
      </w:r>
    </w:p>
    <w:p w14:paraId="07F39269"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IRS</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hyperlink r:id="rId246">
        <w:r w:rsidRPr="00DD7BD1">
          <w:rPr>
            <w:rFonts w:cs="Calibri"/>
            <w:color w:val="0000FF"/>
            <w:w w:val="110"/>
            <w:szCs w:val="22"/>
            <w:u w:val="single" w:color="0000FF"/>
          </w:rPr>
          <w:t>Revenue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Procedure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2025-25</w:t>
        </w:r>
      </w:hyperlink>
      <w:r w:rsidRPr="00DD7BD1">
        <w:rPr>
          <w:rFonts w:cs="Calibri"/>
          <w:color w:val="0000FF"/>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18,</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6"/>
          <w:w w:val="110"/>
          <w:szCs w:val="22"/>
        </w:rPr>
        <w:t xml:space="preserve"> </w:t>
      </w:r>
      <w:r w:rsidRPr="00DD7BD1">
        <w:rPr>
          <w:rFonts w:cs="Calibri"/>
          <w:color w:val="auto"/>
          <w:w w:val="110"/>
          <w:szCs w:val="22"/>
        </w:rPr>
        <w:t>release,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Affordable</w:t>
      </w:r>
      <w:r w:rsidRPr="00DD7BD1">
        <w:rPr>
          <w:rFonts w:cs="Calibri"/>
          <w:color w:val="auto"/>
          <w:spacing w:val="-17"/>
          <w:w w:val="110"/>
          <w:szCs w:val="22"/>
        </w:rPr>
        <w:t xml:space="preserve"> </w:t>
      </w:r>
      <w:r w:rsidRPr="00DD7BD1">
        <w:rPr>
          <w:rFonts w:cs="Calibri"/>
          <w:color w:val="auto"/>
          <w:w w:val="110"/>
          <w:szCs w:val="22"/>
        </w:rPr>
        <w:t>Care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(ACA) affordability</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b/>
          <w:color w:val="auto"/>
          <w:w w:val="110"/>
          <w:szCs w:val="22"/>
        </w:rPr>
        <w:t>increase</w:t>
      </w:r>
      <w:r w:rsidRPr="00DD7BD1">
        <w:rPr>
          <w:rFonts w:cs="Calibri"/>
          <w:b/>
          <w:color w:val="auto"/>
          <w:spacing w:val="-11"/>
          <w:w w:val="110"/>
          <w:szCs w:val="22"/>
        </w:rPr>
        <w:t xml:space="preserve"> </w:t>
      </w:r>
      <w:r w:rsidRPr="00DD7BD1">
        <w:rPr>
          <w:rFonts w:cs="Calibri"/>
          <w:b/>
          <w:color w:val="auto"/>
          <w:w w:val="110"/>
          <w:szCs w:val="22"/>
        </w:rPr>
        <w:t>to</w:t>
      </w:r>
      <w:r w:rsidRPr="00DD7BD1">
        <w:rPr>
          <w:rFonts w:cs="Calibri"/>
          <w:b/>
          <w:color w:val="auto"/>
          <w:spacing w:val="-14"/>
          <w:w w:val="110"/>
          <w:szCs w:val="22"/>
        </w:rPr>
        <w:t xml:space="preserve"> </w:t>
      </w:r>
      <w:r w:rsidRPr="00DD7BD1">
        <w:rPr>
          <w:rFonts w:cs="Calibri"/>
          <w:b/>
          <w:color w:val="auto"/>
          <w:w w:val="110"/>
          <w:szCs w:val="22"/>
        </w:rPr>
        <w:t>9.96%</w:t>
      </w:r>
      <w:r w:rsidRPr="00DD7BD1">
        <w:rPr>
          <w:rFonts w:cs="Calibri"/>
          <w:b/>
          <w:color w:val="auto"/>
          <w:spacing w:val="-9"/>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1"/>
          <w:w w:val="110"/>
          <w:szCs w:val="22"/>
        </w:rPr>
        <w:t xml:space="preserve"> </w:t>
      </w:r>
      <w:r w:rsidRPr="00DD7BD1">
        <w:rPr>
          <w:rFonts w:cs="Calibri"/>
          <w:color w:val="auto"/>
          <w:w w:val="110"/>
          <w:szCs w:val="22"/>
        </w:rPr>
        <w:t>years</w:t>
      </w:r>
      <w:r w:rsidRPr="00DD7BD1">
        <w:rPr>
          <w:rFonts w:cs="Calibri"/>
          <w:color w:val="auto"/>
          <w:spacing w:val="-14"/>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b/>
          <w:color w:val="auto"/>
          <w:w w:val="110"/>
          <w:szCs w:val="22"/>
        </w:rPr>
        <w:t>2026</w:t>
      </w:r>
      <w:r w:rsidRPr="00DD7BD1">
        <w:rPr>
          <w:rFonts w:cs="Calibri"/>
          <w:color w:val="auto"/>
          <w:w w:val="110"/>
          <w:szCs w:val="22"/>
        </w:rPr>
        <w:t>.</w:t>
      </w:r>
    </w:p>
    <w:p w14:paraId="264483BD" w14:textId="77777777" w:rsidR="00E43496" w:rsidRPr="00DD7BD1" w:rsidRDefault="00E43496" w:rsidP="00E43496">
      <w:pPr>
        <w:pStyle w:val="BodyText"/>
        <w:spacing w:after="0" w:line="240" w:lineRule="auto"/>
        <w:jc w:val="left"/>
        <w:rPr>
          <w:rFonts w:cs="Calibri"/>
          <w:color w:val="auto"/>
          <w:sz w:val="16"/>
          <w:szCs w:val="16"/>
        </w:rPr>
      </w:pPr>
    </w:p>
    <w:p w14:paraId="2D7EA8FA" w14:textId="77777777" w:rsidR="00E43496" w:rsidRPr="00DD7BD1" w:rsidRDefault="00E43496" w:rsidP="00E43496">
      <w:pPr>
        <w:pStyle w:val="BodyText"/>
        <w:spacing w:after="0" w:line="240" w:lineRule="auto"/>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threshold,</w:t>
      </w:r>
      <w:r w:rsidRPr="00DD7BD1">
        <w:rPr>
          <w:rFonts w:cs="Calibri"/>
          <w:color w:val="auto"/>
          <w:spacing w:val="-12"/>
          <w:w w:val="110"/>
          <w:szCs w:val="22"/>
        </w:rPr>
        <w:t xml:space="preserve"> </w:t>
      </w:r>
      <w:r w:rsidRPr="00DD7BD1">
        <w:rPr>
          <w:rFonts w:cs="Calibri"/>
          <w:color w:val="auto"/>
          <w:w w:val="110"/>
          <w:szCs w:val="22"/>
        </w:rPr>
        <w:t>applicable</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large</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subject</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ACA’s</w:t>
      </w:r>
      <w:r w:rsidRPr="00DD7BD1">
        <w:rPr>
          <w:rFonts w:cs="Calibri"/>
          <w:color w:val="auto"/>
          <w:spacing w:val="-11"/>
          <w:w w:val="110"/>
          <w:szCs w:val="22"/>
        </w:rPr>
        <w:t xml:space="preserve"> </w:t>
      </w:r>
      <w:r w:rsidRPr="00DD7BD1">
        <w:rPr>
          <w:rFonts w:cs="Calibri"/>
          <w:color w:val="auto"/>
          <w:w w:val="110"/>
          <w:szCs w:val="22"/>
        </w:rPr>
        <w:t>“play</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provision,</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maximum percentage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W-2</w:t>
      </w:r>
      <w:r w:rsidRPr="00DD7BD1">
        <w:rPr>
          <w:rFonts w:cs="Calibri"/>
          <w:color w:val="auto"/>
          <w:spacing w:val="-16"/>
          <w:w w:val="110"/>
          <w:szCs w:val="22"/>
        </w:rPr>
        <w:t xml:space="preserve"> </w:t>
      </w:r>
      <w:r w:rsidRPr="00DD7BD1">
        <w:rPr>
          <w:rFonts w:cs="Calibri"/>
          <w:color w:val="auto"/>
          <w:w w:val="110"/>
          <w:szCs w:val="22"/>
        </w:rPr>
        <w:t>wages</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rate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pay,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7"/>
          <w:w w:val="110"/>
          <w:szCs w:val="22"/>
        </w:rPr>
        <w:t xml:space="preserve"> </w:t>
      </w:r>
      <w:r w:rsidRPr="00DD7BD1">
        <w:rPr>
          <w:rFonts w:cs="Calibri"/>
          <w:color w:val="auto"/>
          <w:w w:val="110"/>
          <w:szCs w:val="22"/>
        </w:rPr>
        <w:t>poverty</w:t>
      </w:r>
      <w:r w:rsidRPr="00DD7BD1">
        <w:rPr>
          <w:rFonts w:cs="Calibri"/>
          <w:color w:val="auto"/>
          <w:spacing w:val="-15"/>
          <w:w w:val="110"/>
          <w:szCs w:val="22"/>
        </w:rPr>
        <w:t xml:space="preserve"> </w:t>
      </w:r>
      <w:r w:rsidRPr="00DD7BD1">
        <w:rPr>
          <w:rFonts w:cs="Calibri"/>
          <w:color w:val="auto"/>
          <w:w w:val="110"/>
          <w:szCs w:val="22"/>
        </w:rPr>
        <w:t>line,</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6"/>
          <w:w w:val="110"/>
          <w:szCs w:val="22"/>
        </w:rPr>
        <w:t xml:space="preserve"> </w:t>
      </w:r>
      <w:r w:rsidRPr="00DD7BD1">
        <w:rPr>
          <w:rFonts w:cs="Calibri"/>
          <w:color w:val="auto"/>
          <w:w w:val="110"/>
          <w:szCs w:val="22"/>
        </w:rPr>
        <w:t>asked</w:t>
      </w:r>
      <w:r w:rsidRPr="00DD7BD1">
        <w:rPr>
          <w:rFonts w:cs="Calibri"/>
          <w:color w:val="auto"/>
          <w:spacing w:val="-15"/>
          <w:w w:val="110"/>
          <w:szCs w:val="22"/>
        </w:rPr>
        <w:t xml:space="preserve"> </w:t>
      </w:r>
      <w:r w:rsidRPr="00DD7BD1">
        <w:rPr>
          <w:rFonts w:cs="Calibri"/>
          <w:color w:val="auto"/>
          <w:w w:val="110"/>
          <w:szCs w:val="22"/>
        </w:rPr>
        <w:t>to contribute toward their</w:t>
      </w:r>
      <w:r w:rsidRPr="00DD7BD1">
        <w:rPr>
          <w:rFonts w:cs="Calibri"/>
          <w:color w:val="auto"/>
          <w:spacing w:val="-1"/>
          <w:w w:val="110"/>
          <w:szCs w:val="22"/>
        </w:rPr>
        <w:t xml:space="preserve"> </w:t>
      </w:r>
      <w:r w:rsidRPr="00DD7BD1">
        <w:rPr>
          <w:rFonts w:cs="Calibri"/>
          <w:color w:val="auto"/>
          <w:w w:val="110"/>
          <w:szCs w:val="22"/>
        </w:rPr>
        <w:t>employee-only</w:t>
      </w:r>
      <w:r w:rsidRPr="00DD7BD1">
        <w:rPr>
          <w:rFonts w:cs="Calibri"/>
          <w:color w:val="auto"/>
          <w:spacing w:val="-2"/>
          <w:w w:val="110"/>
          <w:szCs w:val="22"/>
        </w:rPr>
        <w:t xml:space="preserve"> </w:t>
      </w:r>
      <w:r w:rsidRPr="00DD7BD1">
        <w:rPr>
          <w:rFonts w:cs="Calibri"/>
          <w:color w:val="auto"/>
          <w:w w:val="110"/>
          <w:szCs w:val="22"/>
        </w:rPr>
        <w:t>health insurance coverage.</w:t>
      </w:r>
    </w:p>
    <w:p w14:paraId="6F2544F3" w14:textId="77777777" w:rsidR="00E43496" w:rsidRPr="00DD7BD1" w:rsidRDefault="00E43496" w:rsidP="00E43496">
      <w:pPr>
        <w:pStyle w:val="Heading1"/>
        <w:spacing w:before="0" w:beforeAutospacing="0" w:after="0" w:afterAutospacing="0"/>
        <w:ind w:right="342"/>
        <w:rPr>
          <w:rFonts w:ascii="Calibri" w:hAnsi="Calibri" w:cs="Calibri"/>
          <w:color w:val="C00000"/>
          <w:spacing w:val="-8"/>
          <w:sz w:val="22"/>
          <w:szCs w:val="22"/>
        </w:rPr>
      </w:pPr>
    </w:p>
    <w:p w14:paraId="03D31F15" w14:textId="4F5068D2"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2" w:name="_Hlk212641923"/>
      <w:r w:rsidRPr="00DD7BD1">
        <w:rPr>
          <w:rFonts w:ascii="Calibri" w:hAnsi="Calibri" w:cs="Calibri"/>
          <w:spacing w:val="-8"/>
          <w:sz w:val="32"/>
          <w:szCs w:val="32"/>
        </w:rPr>
        <w:t>DOJ Defines “Illegal DEI,” Warns Recipients of Federal Funds to Take Notice</w:t>
      </w:r>
      <w:bookmarkEnd w:id="12"/>
    </w:p>
    <w:p w14:paraId="555C2565" w14:textId="77777777" w:rsidR="00E43496" w:rsidRPr="00DD7BD1" w:rsidRDefault="00E43496" w:rsidP="00E43496">
      <w:pPr>
        <w:pStyle w:val="BodyText"/>
        <w:spacing w:after="0" w:line="240" w:lineRule="auto"/>
        <w:jc w:val="left"/>
        <w:rPr>
          <w:rFonts w:cs="Calibri"/>
        </w:rPr>
      </w:pPr>
      <w:r w:rsidRPr="00DD7BD1">
        <w:rPr>
          <w:rFonts w:cs="Calibri"/>
          <w:color w:val="auto"/>
          <w:w w:val="110"/>
        </w:rPr>
        <w:t>On</w:t>
      </w:r>
      <w:r w:rsidRPr="00DD7BD1">
        <w:rPr>
          <w:rFonts w:cs="Calibri"/>
          <w:color w:val="auto"/>
          <w:spacing w:val="-1"/>
          <w:w w:val="110"/>
        </w:rPr>
        <w:t xml:space="preserve"> </w:t>
      </w:r>
      <w:r w:rsidRPr="00DD7BD1">
        <w:rPr>
          <w:rFonts w:cs="Calibri"/>
          <w:color w:val="auto"/>
          <w:w w:val="110"/>
        </w:rPr>
        <w:t>July</w:t>
      </w:r>
      <w:r w:rsidRPr="00DD7BD1">
        <w:rPr>
          <w:rFonts w:cs="Calibri"/>
          <w:color w:val="auto"/>
          <w:spacing w:val="-3"/>
          <w:w w:val="110"/>
        </w:rPr>
        <w:t xml:space="preserve"> </w:t>
      </w:r>
      <w:r w:rsidRPr="00DD7BD1">
        <w:rPr>
          <w:rFonts w:cs="Calibri"/>
          <w:color w:val="auto"/>
          <w:w w:val="110"/>
        </w:rPr>
        <w:t>29,</w:t>
      </w:r>
      <w:r w:rsidRPr="00DD7BD1">
        <w:rPr>
          <w:rFonts w:cs="Calibri"/>
          <w:color w:val="auto"/>
          <w:spacing w:val="-5"/>
          <w:w w:val="110"/>
        </w:rPr>
        <w:t xml:space="preserve"> </w:t>
      </w:r>
      <w:r w:rsidRPr="00DD7BD1">
        <w:rPr>
          <w:rFonts w:cs="Calibri"/>
          <w:color w:val="auto"/>
          <w:w w:val="110"/>
        </w:rPr>
        <w:t>2025,</w:t>
      </w:r>
      <w:r w:rsidRPr="00DD7BD1">
        <w:rPr>
          <w:rFonts w:cs="Calibri"/>
          <w:color w:val="auto"/>
          <w:spacing w:val="-5"/>
          <w:w w:val="110"/>
        </w:rPr>
        <w:t xml:space="preserve"> </w:t>
      </w:r>
      <w:r w:rsidRPr="00DD7BD1">
        <w:rPr>
          <w:rFonts w:cs="Calibri"/>
          <w:color w:val="auto"/>
          <w:w w:val="110"/>
        </w:rPr>
        <w:t>U.S.</w:t>
      </w:r>
      <w:r w:rsidRPr="00DD7BD1">
        <w:rPr>
          <w:rFonts w:cs="Calibri"/>
          <w:color w:val="auto"/>
          <w:spacing w:val="-5"/>
          <w:w w:val="110"/>
        </w:rPr>
        <w:t xml:space="preserve"> </w:t>
      </w:r>
      <w:r w:rsidRPr="00DD7BD1">
        <w:rPr>
          <w:rFonts w:cs="Calibri"/>
          <w:color w:val="auto"/>
          <w:w w:val="110"/>
        </w:rPr>
        <w:t>Attorney</w:t>
      </w:r>
      <w:r w:rsidRPr="00DD7BD1">
        <w:rPr>
          <w:rFonts w:cs="Calibri"/>
          <w:color w:val="auto"/>
          <w:spacing w:val="-3"/>
          <w:w w:val="110"/>
        </w:rPr>
        <w:t xml:space="preserve"> </w:t>
      </w:r>
      <w:r w:rsidRPr="00DD7BD1">
        <w:rPr>
          <w:rFonts w:cs="Calibri"/>
          <w:color w:val="auto"/>
          <w:w w:val="110"/>
        </w:rPr>
        <w:t>General</w:t>
      </w:r>
      <w:r w:rsidRPr="00DD7BD1">
        <w:rPr>
          <w:rFonts w:cs="Calibri"/>
          <w:color w:val="auto"/>
          <w:spacing w:val="-3"/>
          <w:w w:val="110"/>
        </w:rPr>
        <w:t xml:space="preserve"> </w:t>
      </w:r>
      <w:r w:rsidRPr="00DD7BD1">
        <w:rPr>
          <w:rFonts w:cs="Calibri"/>
          <w:color w:val="auto"/>
          <w:w w:val="110"/>
        </w:rPr>
        <w:t>Pam</w:t>
      </w:r>
      <w:r w:rsidRPr="00DD7BD1">
        <w:rPr>
          <w:rFonts w:cs="Calibri"/>
          <w:color w:val="auto"/>
          <w:spacing w:val="-1"/>
          <w:w w:val="110"/>
        </w:rPr>
        <w:t xml:space="preserve"> </w:t>
      </w:r>
      <w:r w:rsidRPr="00DD7BD1">
        <w:rPr>
          <w:rFonts w:cs="Calibri"/>
          <w:color w:val="auto"/>
          <w:w w:val="110"/>
        </w:rPr>
        <w:t>Bondi</w:t>
      </w:r>
      <w:r w:rsidRPr="00DD7BD1">
        <w:rPr>
          <w:rFonts w:cs="Calibri"/>
          <w:color w:val="auto"/>
          <w:spacing w:val="-3"/>
          <w:w w:val="110"/>
        </w:rPr>
        <w:t xml:space="preserve"> </w:t>
      </w:r>
      <w:r w:rsidRPr="00DD7BD1">
        <w:rPr>
          <w:rFonts w:cs="Calibri"/>
          <w:color w:val="auto"/>
          <w:w w:val="110"/>
        </w:rPr>
        <w:t xml:space="preserve">issued </w:t>
      </w:r>
      <w:hyperlink r:id="rId247">
        <w:r w:rsidRPr="00DD7BD1">
          <w:rPr>
            <w:rFonts w:cs="Calibri"/>
            <w:color w:val="0000FF"/>
            <w:w w:val="110"/>
            <w:u w:val="single" w:color="0000FF"/>
          </w:rPr>
          <w:t>Guidance</w:t>
        </w:r>
        <w:r w:rsidRPr="00DD7BD1">
          <w:rPr>
            <w:rFonts w:cs="Calibri"/>
            <w:color w:val="0000FF"/>
            <w:spacing w:val="-5"/>
            <w:w w:val="110"/>
            <w:u w:val="single" w:color="0000FF"/>
          </w:rPr>
          <w:t xml:space="preserve"> </w:t>
        </w:r>
        <w:r w:rsidRPr="00DD7BD1">
          <w:rPr>
            <w:rFonts w:cs="Calibri"/>
            <w:color w:val="0000FF"/>
            <w:w w:val="110"/>
            <w:u w:val="single" w:color="0000FF"/>
          </w:rPr>
          <w:t>for</w:t>
        </w:r>
        <w:r w:rsidRPr="00DD7BD1">
          <w:rPr>
            <w:rFonts w:cs="Calibri"/>
            <w:color w:val="0000FF"/>
            <w:spacing w:val="-2"/>
            <w:w w:val="110"/>
            <w:u w:val="single" w:color="0000FF"/>
          </w:rPr>
          <w:t xml:space="preserve"> </w:t>
        </w:r>
        <w:r w:rsidRPr="00DD7BD1">
          <w:rPr>
            <w:rFonts w:cs="Calibri"/>
            <w:color w:val="0000FF"/>
            <w:w w:val="110"/>
            <w:u w:val="single" w:color="0000FF"/>
          </w:rPr>
          <w:t>Recipients</w:t>
        </w:r>
        <w:r w:rsidRPr="00DD7BD1">
          <w:rPr>
            <w:rFonts w:cs="Calibri"/>
            <w:color w:val="0000FF"/>
            <w:spacing w:val="-3"/>
            <w:w w:val="110"/>
            <w:u w:val="single" w:color="0000FF"/>
          </w:rPr>
          <w:t xml:space="preserve"> </w:t>
        </w:r>
        <w:r w:rsidRPr="00DD7BD1">
          <w:rPr>
            <w:rFonts w:cs="Calibri"/>
            <w:color w:val="0000FF"/>
            <w:w w:val="110"/>
            <w:u w:val="single" w:color="0000FF"/>
          </w:rPr>
          <w:t>of</w:t>
        </w:r>
        <w:r w:rsidRPr="00DD7BD1">
          <w:rPr>
            <w:rFonts w:cs="Calibri"/>
            <w:color w:val="0000FF"/>
            <w:spacing w:val="-2"/>
            <w:w w:val="110"/>
            <w:u w:val="single" w:color="0000FF"/>
          </w:rPr>
          <w:t xml:space="preserve"> </w:t>
        </w:r>
        <w:r w:rsidRPr="00DD7BD1">
          <w:rPr>
            <w:rFonts w:cs="Calibri"/>
            <w:color w:val="0000FF"/>
            <w:w w:val="110"/>
            <w:u w:val="single" w:color="0000FF"/>
          </w:rPr>
          <w:t>Federal</w:t>
        </w:r>
        <w:r w:rsidRPr="00DD7BD1">
          <w:rPr>
            <w:rFonts w:cs="Calibri"/>
            <w:color w:val="0000FF"/>
            <w:spacing w:val="-6"/>
            <w:w w:val="110"/>
            <w:u w:val="single" w:color="0000FF"/>
          </w:rPr>
          <w:t xml:space="preserve"> </w:t>
        </w:r>
        <w:r w:rsidRPr="00DD7BD1">
          <w:rPr>
            <w:rFonts w:cs="Calibri"/>
            <w:color w:val="0000FF"/>
            <w:w w:val="110"/>
            <w:u w:val="single" w:color="0000FF"/>
          </w:rPr>
          <w:t>Funding</w:t>
        </w:r>
      </w:hyperlink>
      <w:r w:rsidRPr="00DD7BD1">
        <w:rPr>
          <w:rFonts w:cs="Calibri"/>
          <w:color w:val="0000FF"/>
          <w:w w:val="110"/>
        </w:rPr>
        <w:t xml:space="preserve"> </w:t>
      </w:r>
      <w:hyperlink r:id="rId248">
        <w:r w:rsidRPr="00DD7BD1">
          <w:rPr>
            <w:rFonts w:cs="Calibri"/>
            <w:color w:val="0000FF"/>
            <w:spacing w:val="-2"/>
            <w:w w:val="110"/>
            <w:u w:val="single" w:color="0000FF"/>
          </w:rPr>
          <w:t>Regarding</w:t>
        </w:r>
        <w:r w:rsidRPr="00DD7BD1">
          <w:rPr>
            <w:rFonts w:cs="Calibri"/>
            <w:color w:val="0000FF"/>
            <w:spacing w:val="-7"/>
            <w:w w:val="110"/>
            <w:u w:val="single" w:color="0000FF"/>
          </w:rPr>
          <w:t xml:space="preserve"> </w:t>
        </w:r>
        <w:r w:rsidRPr="00DD7BD1">
          <w:rPr>
            <w:rFonts w:cs="Calibri"/>
            <w:color w:val="0000FF"/>
            <w:spacing w:val="-2"/>
            <w:w w:val="110"/>
            <w:u w:val="single" w:color="0000FF"/>
          </w:rPr>
          <w:t>Unlawful</w:t>
        </w:r>
        <w:r w:rsidRPr="00DD7BD1">
          <w:rPr>
            <w:rFonts w:cs="Calibri"/>
            <w:color w:val="0000FF"/>
            <w:spacing w:val="-7"/>
            <w:w w:val="110"/>
            <w:u w:val="single" w:color="0000FF"/>
          </w:rPr>
          <w:t xml:space="preserve"> </w:t>
        </w:r>
        <w:r w:rsidRPr="00DD7BD1">
          <w:rPr>
            <w:rFonts w:cs="Calibri"/>
            <w:color w:val="0000FF"/>
            <w:spacing w:val="-2"/>
            <w:w w:val="110"/>
            <w:u w:val="single" w:color="0000FF"/>
          </w:rPr>
          <w:t>Discrimination</w:t>
        </w:r>
      </w:hyperlink>
      <w:r w:rsidRPr="00DD7BD1">
        <w:rPr>
          <w:rFonts w:cs="Calibri"/>
          <w:color w:val="0000FF"/>
          <w:spacing w:val="-5"/>
          <w:w w:val="110"/>
        </w:rPr>
        <w:t xml:space="preserve"> </w:t>
      </w:r>
      <w:r w:rsidRPr="00DD7BD1">
        <w:rPr>
          <w:rFonts w:cs="Calibri"/>
          <w:color w:val="auto"/>
          <w:spacing w:val="-2"/>
          <w:w w:val="110"/>
        </w:rPr>
        <w:t>(the</w:t>
      </w:r>
      <w:r w:rsidRPr="00DD7BD1">
        <w:rPr>
          <w:rFonts w:cs="Calibri"/>
          <w:color w:val="auto"/>
          <w:spacing w:val="-7"/>
          <w:w w:val="110"/>
        </w:rPr>
        <w:t xml:space="preserve"> </w:t>
      </w:r>
      <w:r w:rsidRPr="00DD7BD1">
        <w:rPr>
          <w:rFonts w:cs="Calibri"/>
          <w:color w:val="auto"/>
          <w:spacing w:val="-2"/>
          <w:w w:val="110"/>
        </w:rPr>
        <w:t>“Guidance”).</w:t>
      </w:r>
      <w:r w:rsidRPr="00DD7BD1">
        <w:rPr>
          <w:rFonts w:cs="Calibri"/>
          <w:color w:val="auto"/>
          <w:spacing w:val="-6"/>
          <w:w w:val="110"/>
        </w:rPr>
        <w:t xml:space="preserve"> </w:t>
      </w:r>
      <w:r w:rsidRPr="00DD7BD1">
        <w:rPr>
          <w:rFonts w:cs="Calibri"/>
          <w:color w:val="auto"/>
          <w:spacing w:val="-2"/>
          <w:w w:val="110"/>
        </w:rPr>
        <w:t>Following</w:t>
      </w:r>
      <w:r w:rsidRPr="00DD7BD1">
        <w:rPr>
          <w:rFonts w:cs="Calibri"/>
          <w:color w:val="auto"/>
          <w:spacing w:val="-5"/>
          <w:w w:val="110"/>
        </w:rPr>
        <w:t xml:space="preserve"> </w:t>
      </w:r>
      <w:r w:rsidRPr="00DD7BD1">
        <w:rPr>
          <w:rFonts w:cs="Calibri"/>
          <w:color w:val="auto"/>
          <w:spacing w:val="-2"/>
          <w:w w:val="110"/>
        </w:rPr>
        <w:t>the</w:t>
      </w:r>
      <w:r w:rsidRPr="00DD7BD1">
        <w:rPr>
          <w:rFonts w:cs="Calibri"/>
          <w:color w:val="auto"/>
          <w:spacing w:val="-5"/>
          <w:w w:val="110"/>
        </w:rPr>
        <w:t xml:space="preserve"> </w:t>
      </w:r>
      <w:r w:rsidRPr="00DD7BD1">
        <w:rPr>
          <w:rFonts w:cs="Calibri"/>
          <w:color w:val="auto"/>
          <w:spacing w:val="-2"/>
          <w:w w:val="110"/>
        </w:rPr>
        <w:t>creation</w:t>
      </w:r>
      <w:r w:rsidRPr="00DD7BD1">
        <w:rPr>
          <w:rFonts w:cs="Calibri"/>
          <w:color w:val="auto"/>
          <w:spacing w:val="-5"/>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 xml:space="preserve">the </w:t>
      </w:r>
      <w:hyperlink r:id="rId249">
        <w:r w:rsidRPr="00DD7BD1">
          <w:rPr>
            <w:rFonts w:cs="Calibri"/>
            <w:color w:val="0000FF"/>
            <w:spacing w:val="-2"/>
            <w:w w:val="110"/>
            <w:u w:val="single" w:color="0000FF"/>
          </w:rPr>
          <w:t>Civil</w:t>
        </w:r>
        <w:r w:rsidRPr="00DD7BD1">
          <w:rPr>
            <w:rFonts w:cs="Calibri"/>
            <w:color w:val="0000FF"/>
            <w:spacing w:val="-7"/>
            <w:w w:val="110"/>
            <w:u w:val="single" w:color="0000FF"/>
          </w:rPr>
          <w:t xml:space="preserve"> </w:t>
        </w:r>
        <w:r w:rsidRPr="00DD7BD1">
          <w:rPr>
            <w:rFonts w:cs="Calibri"/>
            <w:color w:val="0000FF"/>
            <w:spacing w:val="-2"/>
            <w:w w:val="110"/>
            <w:u w:val="single" w:color="0000FF"/>
          </w:rPr>
          <w:t>Rights</w:t>
        </w:r>
        <w:r w:rsidRPr="00DD7BD1">
          <w:rPr>
            <w:rFonts w:cs="Calibri"/>
            <w:color w:val="0000FF"/>
            <w:spacing w:val="-7"/>
            <w:w w:val="110"/>
            <w:u w:val="single" w:color="0000FF"/>
          </w:rPr>
          <w:t xml:space="preserve"> </w:t>
        </w:r>
        <w:r w:rsidRPr="00DD7BD1">
          <w:rPr>
            <w:rFonts w:cs="Calibri"/>
            <w:color w:val="0000FF"/>
            <w:spacing w:val="-2"/>
            <w:w w:val="110"/>
            <w:u w:val="single" w:color="0000FF"/>
          </w:rPr>
          <w:t>Fraud</w:t>
        </w:r>
        <w:r w:rsidRPr="00DD7BD1">
          <w:rPr>
            <w:rFonts w:cs="Calibri"/>
            <w:color w:val="0000FF"/>
            <w:spacing w:val="-5"/>
            <w:w w:val="110"/>
            <w:u w:val="single" w:color="0000FF"/>
          </w:rPr>
          <w:t xml:space="preserve"> </w:t>
        </w:r>
        <w:r w:rsidRPr="00DD7BD1">
          <w:rPr>
            <w:rFonts w:cs="Calibri"/>
            <w:color w:val="0000FF"/>
            <w:spacing w:val="-2"/>
            <w:w w:val="110"/>
            <w:u w:val="single" w:color="0000FF"/>
          </w:rPr>
          <w:t>Initiative</w:t>
        </w:r>
      </w:hyperlink>
      <w:r w:rsidRPr="00DD7BD1">
        <w:rPr>
          <w:rFonts w:cs="Calibri"/>
          <w:color w:val="0000FF"/>
          <w:spacing w:val="-4"/>
          <w:w w:val="110"/>
        </w:rPr>
        <w:t xml:space="preserve"> </w:t>
      </w:r>
      <w:r w:rsidRPr="00DD7BD1">
        <w:rPr>
          <w:rFonts w:cs="Calibri"/>
          <w:color w:val="auto"/>
          <w:spacing w:val="-2"/>
          <w:w w:val="110"/>
        </w:rPr>
        <w:t xml:space="preserve">by </w:t>
      </w:r>
      <w:r w:rsidRPr="00DD7BD1">
        <w:rPr>
          <w:rFonts w:cs="Calibri"/>
          <w:color w:val="auto"/>
          <w:w w:val="110"/>
        </w:rPr>
        <w:t>the Department</w:t>
      </w:r>
      <w:r w:rsidRPr="00DD7BD1">
        <w:rPr>
          <w:rFonts w:cs="Calibri"/>
          <w:color w:val="auto"/>
          <w:spacing w:val="-5"/>
          <w:w w:val="110"/>
        </w:rPr>
        <w:t xml:space="preserve"> </w:t>
      </w:r>
      <w:r w:rsidRPr="00DD7BD1">
        <w:rPr>
          <w:rFonts w:cs="Calibri"/>
          <w:color w:val="auto"/>
          <w:w w:val="110"/>
        </w:rPr>
        <w:t>of</w:t>
      </w:r>
      <w:r w:rsidRPr="00DD7BD1">
        <w:rPr>
          <w:rFonts w:cs="Calibri"/>
          <w:color w:val="auto"/>
          <w:spacing w:val="-4"/>
          <w:w w:val="110"/>
        </w:rPr>
        <w:t xml:space="preserve"> </w:t>
      </w:r>
      <w:r w:rsidRPr="00DD7BD1">
        <w:rPr>
          <w:rFonts w:cs="Calibri"/>
          <w:color w:val="auto"/>
          <w:w w:val="110"/>
        </w:rPr>
        <w:t>Justice (“DOJ”),</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4"/>
          <w:w w:val="110"/>
        </w:rPr>
        <w:t xml:space="preserve"> </w:t>
      </w:r>
      <w:r w:rsidRPr="00DD7BD1">
        <w:rPr>
          <w:rFonts w:cs="Calibri"/>
          <w:color w:val="auto"/>
          <w:w w:val="110"/>
        </w:rPr>
        <w:t>joint guidance issued</w:t>
      </w:r>
      <w:r w:rsidRPr="00DD7BD1">
        <w:rPr>
          <w:rFonts w:cs="Calibri"/>
          <w:color w:val="auto"/>
          <w:spacing w:val="-3"/>
          <w:w w:val="110"/>
        </w:rPr>
        <w:t xml:space="preserve"> </w:t>
      </w:r>
      <w:r w:rsidRPr="00DD7BD1">
        <w:rPr>
          <w:rFonts w:cs="Calibri"/>
          <w:color w:val="auto"/>
          <w:w w:val="110"/>
        </w:rPr>
        <w:t>by DOJ</w:t>
      </w:r>
      <w:r w:rsidRPr="00DD7BD1">
        <w:rPr>
          <w:rFonts w:cs="Calibri"/>
          <w:color w:val="auto"/>
          <w:spacing w:val="-3"/>
          <w:w w:val="110"/>
        </w:rPr>
        <w:t xml:space="preserve"> </w:t>
      </w:r>
      <w:r w:rsidRPr="00DD7BD1">
        <w:rPr>
          <w:rFonts w:cs="Calibri"/>
          <w:color w:val="auto"/>
          <w:w w:val="110"/>
        </w:rPr>
        <w:t>and the</w:t>
      </w:r>
      <w:r w:rsidRPr="00DD7BD1">
        <w:rPr>
          <w:rFonts w:cs="Calibri"/>
          <w:color w:val="auto"/>
          <w:spacing w:val="-3"/>
          <w:w w:val="110"/>
        </w:rPr>
        <w:t xml:space="preserve"> </w:t>
      </w:r>
      <w:r w:rsidRPr="00DD7BD1">
        <w:rPr>
          <w:rFonts w:cs="Calibri"/>
          <w:color w:val="auto"/>
          <w:w w:val="110"/>
        </w:rPr>
        <w:t>U.S.</w:t>
      </w:r>
      <w:r w:rsidRPr="00DD7BD1">
        <w:rPr>
          <w:rFonts w:cs="Calibri"/>
          <w:color w:val="auto"/>
          <w:spacing w:val="-1"/>
          <w:w w:val="110"/>
        </w:rPr>
        <w:t xml:space="preserve"> </w:t>
      </w:r>
      <w:r w:rsidRPr="00DD7BD1">
        <w:rPr>
          <w:rFonts w:cs="Calibri"/>
          <w:color w:val="auto"/>
          <w:w w:val="110"/>
        </w:rPr>
        <w:t>Equal</w:t>
      </w:r>
      <w:r w:rsidRPr="00DD7BD1">
        <w:rPr>
          <w:rFonts w:cs="Calibri"/>
          <w:color w:val="auto"/>
          <w:spacing w:val="-3"/>
          <w:w w:val="110"/>
        </w:rPr>
        <w:t xml:space="preserve"> </w:t>
      </w:r>
      <w:r w:rsidRPr="00DD7BD1">
        <w:rPr>
          <w:rFonts w:cs="Calibri"/>
          <w:color w:val="auto"/>
          <w:w w:val="110"/>
        </w:rPr>
        <w:t xml:space="preserve">Employment </w:t>
      </w:r>
      <w:r w:rsidRPr="00DD7BD1">
        <w:rPr>
          <w:rFonts w:cs="Calibri"/>
          <w:color w:val="auto"/>
          <w:spacing w:val="-2"/>
          <w:w w:val="110"/>
        </w:rPr>
        <w:t>Opportunity</w:t>
      </w:r>
      <w:r w:rsidRPr="00DD7BD1">
        <w:rPr>
          <w:rFonts w:cs="Calibri"/>
          <w:color w:val="auto"/>
          <w:spacing w:val="-6"/>
          <w:w w:val="110"/>
        </w:rPr>
        <w:t xml:space="preserve"> </w:t>
      </w:r>
      <w:r w:rsidRPr="00DD7BD1">
        <w:rPr>
          <w:rFonts w:cs="Calibri"/>
          <w:color w:val="auto"/>
          <w:spacing w:val="-2"/>
          <w:w w:val="110"/>
        </w:rPr>
        <w:t>Commission</w:t>
      </w:r>
      <w:r w:rsidRPr="00DD7BD1">
        <w:rPr>
          <w:rFonts w:cs="Calibri"/>
          <w:color w:val="auto"/>
          <w:spacing w:val="-10"/>
          <w:w w:val="110"/>
        </w:rPr>
        <w:t xml:space="preserve"> </w:t>
      </w:r>
      <w:r w:rsidRPr="00DD7BD1">
        <w:rPr>
          <w:rFonts w:cs="Calibri"/>
          <w:color w:val="auto"/>
          <w:spacing w:val="-2"/>
          <w:w w:val="110"/>
        </w:rPr>
        <w:t>(“EEOC”)</w:t>
      </w:r>
      <w:r w:rsidRPr="00DD7BD1">
        <w:rPr>
          <w:rFonts w:cs="Calibri"/>
          <w:color w:val="auto"/>
          <w:spacing w:val="-9"/>
          <w:w w:val="110"/>
        </w:rPr>
        <w:t xml:space="preserve"> </w:t>
      </w:r>
      <w:r w:rsidRPr="00DD7BD1">
        <w:rPr>
          <w:rFonts w:cs="Calibri"/>
          <w:color w:val="auto"/>
          <w:spacing w:val="-2"/>
          <w:w w:val="110"/>
        </w:rPr>
        <w:t>on</w:t>
      </w:r>
      <w:r w:rsidRPr="00DD7BD1">
        <w:rPr>
          <w:rFonts w:cs="Calibri"/>
          <w:color w:val="auto"/>
          <w:spacing w:val="-9"/>
          <w:w w:val="110"/>
        </w:rPr>
        <w:t xml:space="preserve"> </w:t>
      </w:r>
      <w:r w:rsidRPr="00DD7BD1">
        <w:rPr>
          <w:rFonts w:cs="Calibri"/>
          <w:spacing w:val="-2"/>
          <w:w w:val="110"/>
        </w:rPr>
        <w:t>“</w:t>
      </w:r>
      <w:hyperlink r:id="rId250">
        <w:r w:rsidRPr="00DD7BD1">
          <w:rPr>
            <w:rFonts w:cs="Calibri"/>
            <w:color w:val="0000FF"/>
            <w:spacing w:val="-2"/>
            <w:w w:val="110"/>
            <w:u w:val="single" w:color="0000FF"/>
          </w:rPr>
          <w:t>unlawful</w:t>
        </w:r>
        <w:r w:rsidRPr="00DD7BD1">
          <w:rPr>
            <w:rFonts w:cs="Calibri"/>
            <w:color w:val="0000FF"/>
            <w:spacing w:val="-9"/>
            <w:w w:val="110"/>
            <w:u w:val="single" w:color="0000FF"/>
          </w:rPr>
          <w:t xml:space="preserve"> </w:t>
        </w:r>
        <w:r w:rsidRPr="00DD7BD1">
          <w:rPr>
            <w:rFonts w:cs="Calibri"/>
            <w:color w:val="0000FF"/>
            <w:spacing w:val="-2"/>
            <w:w w:val="110"/>
            <w:u w:val="single" w:color="0000FF"/>
          </w:rPr>
          <w:t>DEI-related</w:t>
        </w:r>
        <w:r w:rsidRPr="00DD7BD1">
          <w:rPr>
            <w:rFonts w:cs="Calibri"/>
            <w:color w:val="0000FF"/>
            <w:spacing w:val="-6"/>
            <w:w w:val="110"/>
            <w:u w:val="single" w:color="0000FF"/>
          </w:rPr>
          <w:t xml:space="preserve"> </w:t>
        </w:r>
        <w:r w:rsidRPr="00DD7BD1">
          <w:rPr>
            <w:rFonts w:cs="Calibri"/>
            <w:color w:val="0000FF"/>
            <w:spacing w:val="-2"/>
            <w:w w:val="110"/>
            <w:u w:val="single" w:color="0000FF"/>
          </w:rPr>
          <w:t>discrimination</w:t>
        </w:r>
      </w:hyperlink>
      <w:r w:rsidRPr="00DD7BD1">
        <w:rPr>
          <w:rFonts w:cs="Calibri"/>
          <w:spacing w:val="-2"/>
          <w:w w:val="110"/>
        </w:rPr>
        <w:t>”</w:t>
      </w:r>
      <w:r w:rsidRPr="00DD7BD1">
        <w:rPr>
          <w:rFonts w:cs="Calibri"/>
          <w:color w:val="auto"/>
          <w:spacing w:val="-2"/>
          <w:w w:val="110"/>
        </w:rPr>
        <w:t>,</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Guidance</w:t>
      </w:r>
      <w:r w:rsidRPr="00DD7BD1">
        <w:rPr>
          <w:rFonts w:cs="Calibri"/>
          <w:color w:val="auto"/>
          <w:spacing w:val="-10"/>
          <w:w w:val="110"/>
        </w:rPr>
        <w:t xml:space="preserve"> </w:t>
      </w:r>
      <w:r w:rsidRPr="00DD7BD1">
        <w:rPr>
          <w:rFonts w:cs="Calibri"/>
          <w:color w:val="auto"/>
          <w:spacing w:val="-2"/>
          <w:w w:val="110"/>
        </w:rPr>
        <w:t>is</w:t>
      </w:r>
      <w:r w:rsidRPr="00DD7BD1">
        <w:rPr>
          <w:rFonts w:cs="Calibri"/>
          <w:color w:val="auto"/>
          <w:spacing w:val="-6"/>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most</w:t>
      </w:r>
      <w:r w:rsidRPr="00DD7BD1">
        <w:rPr>
          <w:rFonts w:cs="Calibri"/>
          <w:color w:val="auto"/>
          <w:spacing w:val="-8"/>
          <w:w w:val="110"/>
        </w:rPr>
        <w:t xml:space="preserve"> </w:t>
      </w:r>
      <w:r w:rsidRPr="00DD7BD1">
        <w:rPr>
          <w:rFonts w:cs="Calibri"/>
          <w:color w:val="auto"/>
          <w:spacing w:val="-2"/>
          <w:w w:val="110"/>
        </w:rPr>
        <w:t>tangible g</w:t>
      </w:r>
      <w:r w:rsidRPr="00DD7BD1">
        <w:rPr>
          <w:rFonts w:cs="Calibri"/>
          <w:color w:val="auto"/>
          <w:w w:val="110"/>
        </w:rPr>
        <w:t>uidance</w:t>
      </w:r>
      <w:r w:rsidRPr="00DD7BD1">
        <w:rPr>
          <w:rFonts w:cs="Calibri"/>
          <w:color w:val="auto"/>
          <w:spacing w:val="-7"/>
          <w:w w:val="110"/>
        </w:rPr>
        <w:t xml:space="preserve"> </w:t>
      </w:r>
      <w:r w:rsidRPr="00DD7BD1">
        <w:rPr>
          <w:rFonts w:cs="Calibri"/>
          <w:color w:val="auto"/>
          <w:w w:val="110"/>
        </w:rPr>
        <w:t>released</w:t>
      </w:r>
      <w:r w:rsidRPr="00DD7BD1">
        <w:rPr>
          <w:rFonts w:cs="Calibri"/>
          <w:color w:val="auto"/>
          <w:spacing w:val="-7"/>
          <w:w w:val="110"/>
        </w:rPr>
        <w:t xml:space="preserve"> </w:t>
      </w:r>
      <w:r w:rsidRPr="00DD7BD1">
        <w:rPr>
          <w:rFonts w:cs="Calibri"/>
          <w:color w:val="auto"/>
          <w:w w:val="110"/>
        </w:rPr>
        <w:t>to</w:t>
      </w:r>
      <w:r w:rsidRPr="00DD7BD1">
        <w:rPr>
          <w:rFonts w:cs="Calibri"/>
          <w:color w:val="auto"/>
          <w:spacing w:val="-9"/>
          <w:w w:val="110"/>
        </w:rPr>
        <w:t xml:space="preserve"> </w:t>
      </w:r>
      <w:r w:rsidRPr="00DD7BD1">
        <w:rPr>
          <w:rFonts w:cs="Calibri"/>
          <w:color w:val="auto"/>
          <w:w w:val="110"/>
        </w:rPr>
        <w:t>date</w:t>
      </w:r>
      <w:r w:rsidRPr="00DD7BD1">
        <w:rPr>
          <w:rFonts w:cs="Calibri"/>
          <w:color w:val="auto"/>
          <w:spacing w:val="-7"/>
          <w:w w:val="110"/>
        </w:rPr>
        <w:t xml:space="preserve"> </w:t>
      </w:r>
      <w:r w:rsidRPr="00DD7BD1">
        <w:rPr>
          <w:rFonts w:cs="Calibri"/>
          <w:color w:val="auto"/>
          <w:w w:val="110"/>
        </w:rPr>
        <w:t>on</w:t>
      </w:r>
      <w:r w:rsidRPr="00DD7BD1">
        <w:rPr>
          <w:rFonts w:cs="Calibri"/>
          <w:color w:val="auto"/>
          <w:spacing w:val="-7"/>
          <w:w w:val="110"/>
        </w:rPr>
        <w:t xml:space="preserve"> </w:t>
      </w:r>
      <w:r w:rsidRPr="00DD7BD1">
        <w:rPr>
          <w:rFonts w:cs="Calibri"/>
          <w:color w:val="auto"/>
          <w:w w:val="110"/>
        </w:rPr>
        <w:t>what</w:t>
      </w:r>
      <w:r w:rsidRPr="00DD7BD1">
        <w:rPr>
          <w:rFonts w:cs="Calibri"/>
          <w:color w:val="auto"/>
          <w:spacing w:val="-8"/>
          <w:w w:val="110"/>
        </w:rPr>
        <w:t xml:space="preserve"> </w:t>
      </w:r>
      <w:r w:rsidRPr="00DD7BD1">
        <w:rPr>
          <w:rFonts w:cs="Calibri"/>
          <w:color w:val="auto"/>
          <w:w w:val="110"/>
        </w:rPr>
        <w:t>the</w:t>
      </w:r>
      <w:r w:rsidRPr="00DD7BD1">
        <w:rPr>
          <w:rFonts w:cs="Calibri"/>
          <w:color w:val="auto"/>
          <w:spacing w:val="-7"/>
          <w:w w:val="110"/>
        </w:rPr>
        <w:t xml:space="preserve"> </w:t>
      </w:r>
      <w:r w:rsidRPr="00DD7BD1">
        <w:rPr>
          <w:rFonts w:cs="Calibri"/>
          <w:color w:val="auto"/>
          <w:w w:val="110"/>
        </w:rPr>
        <w:t>administration</w:t>
      </w:r>
      <w:r w:rsidRPr="00DD7BD1">
        <w:rPr>
          <w:rFonts w:cs="Calibri"/>
          <w:color w:val="auto"/>
          <w:spacing w:val="-9"/>
          <w:w w:val="110"/>
        </w:rPr>
        <w:t xml:space="preserve"> </w:t>
      </w:r>
      <w:r w:rsidRPr="00DD7BD1">
        <w:rPr>
          <w:rFonts w:cs="Calibri"/>
          <w:color w:val="auto"/>
          <w:w w:val="110"/>
        </w:rPr>
        <w:t>views</w:t>
      </w:r>
      <w:r w:rsidRPr="00DD7BD1">
        <w:rPr>
          <w:rFonts w:cs="Calibri"/>
          <w:color w:val="auto"/>
          <w:spacing w:val="-7"/>
          <w:w w:val="110"/>
        </w:rPr>
        <w:t xml:space="preserve"> </w:t>
      </w:r>
      <w:r w:rsidRPr="00DD7BD1">
        <w:rPr>
          <w:rFonts w:cs="Calibri"/>
          <w:color w:val="auto"/>
          <w:w w:val="110"/>
        </w:rPr>
        <w:t>as</w:t>
      </w:r>
      <w:r w:rsidRPr="00DD7BD1">
        <w:rPr>
          <w:rFonts w:cs="Calibri"/>
          <w:color w:val="auto"/>
          <w:spacing w:val="-7"/>
          <w:w w:val="110"/>
        </w:rPr>
        <w:t xml:space="preserve"> </w:t>
      </w:r>
      <w:r w:rsidRPr="00DD7BD1">
        <w:rPr>
          <w:rFonts w:cs="Calibri"/>
          <w:color w:val="auto"/>
          <w:w w:val="110"/>
        </w:rPr>
        <w:t>“illegal</w:t>
      </w:r>
      <w:r w:rsidRPr="00DD7BD1">
        <w:rPr>
          <w:rFonts w:cs="Calibri"/>
          <w:color w:val="auto"/>
          <w:spacing w:val="-9"/>
          <w:w w:val="110"/>
        </w:rPr>
        <w:t xml:space="preserve"> </w:t>
      </w:r>
      <w:r w:rsidRPr="00DD7BD1">
        <w:rPr>
          <w:rFonts w:cs="Calibri"/>
          <w:color w:val="auto"/>
          <w:w w:val="110"/>
        </w:rPr>
        <w:t>DEI”</w:t>
      </w:r>
      <w:r w:rsidRPr="00DD7BD1">
        <w:rPr>
          <w:rFonts w:cs="Calibri"/>
          <w:color w:val="auto"/>
          <w:spacing w:val="-10"/>
          <w:w w:val="110"/>
        </w:rPr>
        <w:t xml:space="preserve"> </w:t>
      </w:r>
      <w:r w:rsidRPr="00DD7BD1">
        <w:rPr>
          <w:rFonts w:cs="Calibri"/>
          <w:color w:val="auto"/>
          <w:w w:val="110"/>
        </w:rPr>
        <w:t>and</w:t>
      </w:r>
      <w:r w:rsidRPr="00DD7BD1">
        <w:rPr>
          <w:rFonts w:cs="Calibri"/>
          <w:color w:val="auto"/>
          <w:spacing w:val="-7"/>
          <w:w w:val="110"/>
        </w:rPr>
        <w:t xml:space="preserve"> </w:t>
      </w:r>
      <w:r w:rsidRPr="00DD7BD1">
        <w:rPr>
          <w:rFonts w:cs="Calibri"/>
          <w:color w:val="auto"/>
          <w:w w:val="110"/>
        </w:rPr>
        <w:t>a</w:t>
      </w:r>
      <w:r w:rsidRPr="00DD7BD1">
        <w:rPr>
          <w:rFonts w:cs="Calibri"/>
          <w:color w:val="auto"/>
          <w:spacing w:val="-10"/>
          <w:w w:val="110"/>
        </w:rPr>
        <w:t xml:space="preserve"> </w:t>
      </w:r>
      <w:r w:rsidRPr="00DD7BD1">
        <w:rPr>
          <w:rFonts w:cs="Calibri"/>
          <w:color w:val="auto"/>
          <w:w w:val="110"/>
        </w:rPr>
        <w:t>likely</w:t>
      </w:r>
      <w:r w:rsidRPr="00DD7BD1">
        <w:rPr>
          <w:rFonts w:cs="Calibri"/>
          <w:color w:val="auto"/>
          <w:spacing w:val="-9"/>
          <w:w w:val="110"/>
        </w:rPr>
        <w:t xml:space="preserve"> </w:t>
      </w:r>
      <w:r w:rsidRPr="00DD7BD1">
        <w:rPr>
          <w:rFonts w:cs="Calibri"/>
          <w:color w:val="auto"/>
          <w:w w:val="110"/>
        </w:rPr>
        <w:t>roadmap</w:t>
      </w:r>
      <w:r w:rsidRPr="00DD7BD1">
        <w:rPr>
          <w:rFonts w:cs="Calibri"/>
          <w:color w:val="auto"/>
          <w:spacing w:val="-7"/>
          <w:w w:val="110"/>
        </w:rPr>
        <w:t xml:space="preserve"> </w:t>
      </w:r>
      <w:r w:rsidRPr="00DD7BD1">
        <w:rPr>
          <w:rFonts w:cs="Calibri"/>
          <w:color w:val="auto"/>
          <w:w w:val="110"/>
        </w:rPr>
        <w:t>for</w:t>
      </w:r>
      <w:r w:rsidRPr="00DD7BD1">
        <w:rPr>
          <w:rFonts w:cs="Calibri"/>
          <w:color w:val="auto"/>
          <w:spacing w:val="-12"/>
          <w:w w:val="110"/>
        </w:rPr>
        <w:t xml:space="preserve"> </w:t>
      </w:r>
      <w:r w:rsidRPr="00DD7BD1">
        <w:rPr>
          <w:rFonts w:cs="Calibri"/>
          <w:color w:val="auto"/>
          <w:w w:val="110"/>
        </w:rPr>
        <w:t>DOJ’s</w:t>
      </w:r>
      <w:r w:rsidRPr="00DD7BD1">
        <w:rPr>
          <w:rFonts w:cs="Calibri"/>
          <w:color w:val="auto"/>
          <w:spacing w:val="-7"/>
          <w:w w:val="110"/>
        </w:rPr>
        <w:t xml:space="preserve"> </w:t>
      </w:r>
      <w:r w:rsidRPr="00DD7BD1">
        <w:rPr>
          <w:rFonts w:cs="Calibri"/>
          <w:color w:val="auto"/>
          <w:w w:val="110"/>
        </w:rPr>
        <w:t>False Claims</w:t>
      </w:r>
      <w:r w:rsidRPr="00DD7BD1">
        <w:rPr>
          <w:rFonts w:cs="Calibri"/>
          <w:color w:val="auto"/>
          <w:spacing w:val="-11"/>
          <w:w w:val="110"/>
        </w:rPr>
        <w:t xml:space="preserve"> </w:t>
      </w:r>
      <w:r w:rsidRPr="00DD7BD1">
        <w:rPr>
          <w:rFonts w:cs="Calibri"/>
          <w:color w:val="auto"/>
          <w:w w:val="110"/>
        </w:rPr>
        <w:t>Act</w:t>
      </w:r>
      <w:r w:rsidRPr="00DD7BD1">
        <w:rPr>
          <w:rFonts w:cs="Calibri"/>
          <w:color w:val="auto"/>
          <w:spacing w:val="-12"/>
          <w:w w:val="110"/>
        </w:rPr>
        <w:t xml:space="preserve"> </w:t>
      </w:r>
      <w:r w:rsidRPr="00DD7BD1">
        <w:rPr>
          <w:rFonts w:cs="Calibri"/>
          <w:color w:val="auto"/>
          <w:w w:val="110"/>
        </w:rPr>
        <w:t>(“FCA”)</w:t>
      </w:r>
      <w:r w:rsidRPr="00DD7BD1">
        <w:rPr>
          <w:rFonts w:cs="Calibri"/>
          <w:color w:val="auto"/>
          <w:spacing w:val="-12"/>
          <w:w w:val="110"/>
        </w:rPr>
        <w:t xml:space="preserve"> </w:t>
      </w:r>
      <w:r w:rsidRPr="00DD7BD1">
        <w:rPr>
          <w:rFonts w:cs="Calibri"/>
          <w:color w:val="auto"/>
          <w:w w:val="110"/>
        </w:rPr>
        <w:t>investigations</w:t>
      </w:r>
      <w:r w:rsidRPr="00DD7BD1">
        <w:rPr>
          <w:rFonts w:cs="Calibri"/>
          <w:color w:val="auto"/>
          <w:spacing w:val="-11"/>
          <w:w w:val="110"/>
        </w:rPr>
        <w:t xml:space="preserve"> </w:t>
      </w:r>
      <w:r w:rsidRPr="00DD7BD1">
        <w:rPr>
          <w:rFonts w:cs="Calibri"/>
          <w:color w:val="auto"/>
          <w:w w:val="110"/>
        </w:rPr>
        <w:t>under</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Civil</w:t>
      </w:r>
      <w:r w:rsidRPr="00DD7BD1">
        <w:rPr>
          <w:rFonts w:cs="Calibri"/>
          <w:color w:val="auto"/>
          <w:spacing w:val="-11"/>
          <w:w w:val="110"/>
        </w:rPr>
        <w:t xml:space="preserve"> </w:t>
      </w:r>
      <w:r w:rsidRPr="00DD7BD1">
        <w:rPr>
          <w:rFonts w:cs="Calibri"/>
          <w:color w:val="auto"/>
          <w:w w:val="110"/>
        </w:rPr>
        <w:t>Rights</w:t>
      </w:r>
      <w:r w:rsidRPr="00DD7BD1">
        <w:rPr>
          <w:rFonts w:cs="Calibri"/>
          <w:color w:val="auto"/>
          <w:spacing w:val="-11"/>
          <w:w w:val="110"/>
        </w:rPr>
        <w:t xml:space="preserve"> </w:t>
      </w:r>
      <w:r w:rsidRPr="00DD7BD1">
        <w:rPr>
          <w:rFonts w:cs="Calibri"/>
          <w:color w:val="auto"/>
          <w:w w:val="110"/>
        </w:rPr>
        <w:t>Fraud</w:t>
      </w:r>
      <w:r w:rsidRPr="00DD7BD1">
        <w:rPr>
          <w:rFonts w:cs="Calibri"/>
          <w:color w:val="auto"/>
          <w:spacing w:val="-12"/>
          <w:w w:val="110"/>
        </w:rPr>
        <w:t xml:space="preserve"> </w:t>
      </w:r>
      <w:r w:rsidRPr="00DD7BD1">
        <w:rPr>
          <w:rFonts w:cs="Calibri"/>
          <w:color w:val="auto"/>
          <w:w w:val="110"/>
        </w:rPr>
        <w:t>Initiative.</w:t>
      </w:r>
      <w:r w:rsidRPr="00DD7BD1">
        <w:rPr>
          <w:rFonts w:cs="Calibri"/>
          <w:color w:val="auto"/>
          <w:spacing w:val="40"/>
          <w:w w:val="110"/>
        </w:rPr>
        <w:t xml:space="preserve"> </w:t>
      </w:r>
      <w:r w:rsidRPr="00DD7BD1">
        <w:rPr>
          <w:rFonts w:cs="Calibri"/>
          <w:color w:val="auto"/>
          <w:w w:val="110"/>
        </w:rPr>
        <w:t>Read</w:t>
      </w:r>
      <w:r w:rsidRPr="00DD7BD1">
        <w:rPr>
          <w:rFonts w:cs="Calibri"/>
          <w:color w:val="auto"/>
          <w:spacing w:val="-11"/>
          <w:w w:val="110"/>
        </w:rPr>
        <w:t xml:space="preserve"> </w:t>
      </w:r>
      <w:r w:rsidRPr="00DD7BD1">
        <w:rPr>
          <w:rFonts w:cs="Calibri"/>
          <w:color w:val="auto"/>
          <w:w w:val="110"/>
        </w:rPr>
        <w:t>more</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1"/>
          <w:w w:val="110"/>
        </w:rPr>
        <w:t xml:space="preserve"> </w:t>
      </w:r>
      <w:r w:rsidRPr="00DD7BD1">
        <w:rPr>
          <w:rFonts w:cs="Calibri"/>
          <w:color w:val="auto"/>
          <w:w w:val="110"/>
        </w:rPr>
        <w:t>August</w:t>
      </w:r>
      <w:r w:rsidRPr="00DD7BD1">
        <w:rPr>
          <w:rFonts w:cs="Calibri"/>
          <w:color w:val="auto"/>
          <w:spacing w:val="-12"/>
          <w:w w:val="110"/>
        </w:rPr>
        <w:t xml:space="preserve"> </w:t>
      </w:r>
      <w:r w:rsidRPr="00DD7BD1">
        <w:rPr>
          <w:rFonts w:cs="Calibri"/>
          <w:color w:val="auto"/>
          <w:w w:val="110"/>
        </w:rPr>
        <w:t>6</w:t>
      </w:r>
      <w:r w:rsidRPr="00DD7BD1">
        <w:rPr>
          <w:rFonts w:cs="Calibri"/>
          <w:color w:val="auto"/>
          <w:w w:val="110"/>
          <w:vertAlign w:val="superscript"/>
        </w:rPr>
        <w:t>th</w:t>
      </w:r>
      <w:r w:rsidRPr="00DD7BD1">
        <w:rPr>
          <w:rFonts w:cs="Calibri"/>
          <w:color w:val="auto"/>
          <w:spacing w:val="-9"/>
          <w:w w:val="110"/>
        </w:rPr>
        <w:t xml:space="preserve"> </w:t>
      </w:r>
      <w:r w:rsidRPr="00DD7BD1">
        <w:rPr>
          <w:rFonts w:cs="Calibri"/>
          <w:color w:val="auto"/>
          <w:w w:val="110"/>
        </w:rPr>
        <w:t xml:space="preserve">online article released by Mayer Brown </w:t>
      </w:r>
      <w:hyperlink r:id="rId251">
        <w:r w:rsidRPr="00DD7BD1">
          <w:rPr>
            <w:rFonts w:cs="Calibri"/>
            <w:color w:val="0000FF"/>
            <w:w w:val="110"/>
            <w:u w:val="single" w:color="0000FF"/>
          </w:rPr>
          <w:t>HERE</w:t>
        </w:r>
      </w:hyperlink>
    </w:p>
    <w:p w14:paraId="4B137972" w14:textId="77777777" w:rsidR="00E43496" w:rsidRPr="00DD7BD1" w:rsidRDefault="00E43496" w:rsidP="00E43496">
      <w:pPr>
        <w:pStyle w:val="BodyText"/>
        <w:spacing w:after="0" w:line="240" w:lineRule="auto"/>
        <w:ind w:left="501" w:right="894"/>
        <w:rPr>
          <w:rFonts w:cs="Calibri"/>
          <w:szCs w:val="22"/>
        </w:rPr>
      </w:pPr>
    </w:p>
    <w:p w14:paraId="4526D784" w14:textId="0DA06E88"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3" w:name="_Hlk212641914"/>
      <w:r w:rsidRPr="00DD7BD1">
        <w:rPr>
          <w:rFonts w:ascii="Calibri" w:hAnsi="Calibri" w:cs="Calibri"/>
          <w:spacing w:val="-8"/>
          <w:sz w:val="32"/>
          <w:szCs w:val="32"/>
        </w:rPr>
        <w:t>DOL Ceases Enforcement of Liquidated Damages in FLSA Investigations</w:t>
      </w:r>
      <w:bookmarkEnd w:id="13"/>
    </w:p>
    <w:p w14:paraId="7E26B944"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The</w:t>
      </w:r>
      <w:r w:rsidRPr="00DD7BD1">
        <w:rPr>
          <w:rFonts w:cs="Calibri"/>
          <w:spacing w:val="-3"/>
          <w:w w:val="110"/>
          <w:szCs w:val="22"/>
        </w:rPr>
        <w:t xml:space="preserve"> </w:t>
      </w:r>
      <w:hyperlink r:id="rId252">
        <w:r w:rsidRPr="00DD7BD1">
          <w:rPr>
            <w:rFonts w:cs="Calibri"/>
            <w:color w:val="0000FF"/>
            <w:w w:val="110"/>
            <w:szCs w:val="22"/>
            <w:u w:val="single" w:color="0000FF"/>
          </w:rPr>
          <w:t>Federal</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Fair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Labor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Standards</w:t>
        </w:r>
        <w:r w:rsidRPr="00DD7BD1">
          <w:rPr>
            <w:rFonts w:cs="Calibri"/>
            <w:color w:val="0000FF"/>
            <w:spacing w:val="-1"/>
            <w:w w:val="110"/>
            <w:szCs w:val="22"/>
            <w:u w:val="single" w:color="0000FF"/>
          </w:rPr>
          <w:t xml:space="preserve"> </w:t>
        </w:r>
        <w:r w:rsidRPr="00DD7BD1">
          <w:rPr>
            <w:rFonts w:cs="Calibri"/>
            <w:color w:val="0000FF"/>
            <w:w w:val="110"/>
            <w:szCs w:val="22"/>
            <w:u w:val="single" w:color="0000FF"/>
          </w:rPr>
          <w:t>Act</w:t>
        </w:r>
      </w:hyperlink>
      <w:r w:rsidRPr="00DD7BD1">
        <w:rPr>
          <w:rFonts w:cs="Calibri"/>
          <w:color w:val="0000FF"/>
          <w:spacing w:val="-1"/>
          <w:w w:val="110"/>
          <w:szCs w:val="22"/>
        </w:rPr>
        <w:t xml:space="preserve"> </w:t>
      </w:r>
      <w:r w:rsidRPr="00DD7BD1">
        <w:rPr>
          <w:rFonts w:cs="Calibri"/>
          <w:color w:val="auto"/>
          <w:w w:val="110"/>
          <w:szCs w:val="22"/>
        </w:rPr>
        <w:t>(“FLSA”)</w:t>
      </w:r>
      <w:r w:rsidRPr="00DD7BD1">
        <w:rPr>
          <w:rFonts w:cs="Calibri"/>
          <w:color w:val="auto"/>
          <w:spacing w:val="-1"/>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federal</w:t>
      </w:r>
      <w:r w:rsidRPr="00DD7BD1">
        <w:rPr>
          <w:rFonts w:cs="Calibri"/>
          <w:color w:val="auto"/>
          <w:spacing w:val="-3"/>
          <w:w w:val="110"/>
          <w:szCs w:val="22"/>
        </w:rPr>
        <w:t xml:space="preserve"> </w:t>
      </w:r>
      <w:r w:rsidRPr="00DD7BD1">
        <w:rPr>
          <w:rFonts w:cs="Calibri"/>
          <w:color w:val="auto"/>
          <w:w w:val="110"/>
          <w:szCs w:val="22"/>
        </w:rPr>
        <w:t>law</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establishes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standard</w:t>
      </w:r>
      <w:r w:rsidRPr="00DD7BD1">
        <w:rPr>
          <w:rFonts w:cs="Calibri"/>
          <w:color w:val="auto"/>
          <w:spacing w:val="-4"/>
          <w:w w:val="110"/>
          <w:szCs w:val="22"/>
        </w:rPr>
        <w:t xml:space="preserve"> </w:t>
      </w:r>
      <w:r w:rsidRPr="00DD7BD1">
        <w:rPr>
          <w:rFonts w:cs="Calibri"/>
          <w:color w:val="auto"/>
          <w:w w:val="110"/>
          <w:szCs w:val="22"/>
        </w:rPr>
        <w:t>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4"/>
          <w:w w:val="110"/>
          <w:szCs w:val="22"/>
        </w:rPr>
        <w:t xml:space="preserve"> </w:t>
      </w:r>
      <w:r w:rsidRPr="00DD7BD1">
        <w:rPr>
          <w:rFonts w:cs="Calibri"/>
          <w:color w:val="auto"/>
          <w:w w:val="110"/>
          <w:szCs w:val="22"/>
        </w:rPr>
        <w:t>and overtime</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eligible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4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FLSA</w:t>
      </w:r>
      <w:r w:rsidRPr="00DD7BD1">
        <w:rPr>
          <w:rFonts w:cs="Calibri"/>
          <w:color w:val="auto"/>
          <w:spacing w:val="-8"/>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violate</w:t>
      </w:r>
      <w:r w:rsidRPr="00DD7BD1">
        <w:rPr>
          <w:rFonts w:cs="Calibri"/>
          <w:color w:val="auto"/>
          <w:spacing w:val="-7"/>
          <w:w w:val="110"/>
          <w:szCs w:val="22"/>
        </w:rPr>
        <w:t xml:space="preserve"> </w:t>
      </w:r>
      <w:r w:rsidRPr="00DD7BD1">
        <w:rPr>
          <w:rFonts w:cs="Calibri"/>
          <w:color w:val="auto"/>
          <w:w w:val="110"/>
          <w:szCs w:val="22"/>
        </w:rPr>
        <w:t>its</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can be</w:t>
      </w:r>
      <w:r w:rsidRPr="00DD7BD1">
        <w:rPr>
          <w:rFonts w:cs="Calibri"/>
          <w:color w:val="auto"/>
          <w:spacing w:val="-2"/>
          <w:w w:val="110"/>
          <w:szCs w:val="22"/>
        </w:rPr>
        <w:t xml:space="preserve"> </w:t>
      </w:r>
      <w:r w:rsidRPr="00DD7BD1">
        <w:rPr>
          <w:rFonts w:cs="Calibri"/>
          <w:color w:val="auto"/>
          <w:w w:val="110"/>
          <w:szCs w:val="22"/>
        </w:rPr>
        <w:t>held</w:t>
      </w:r>
      <w:r w:rsidRPr="00DD7BD1">
        <w:rPr>
          <w:rFonts w:cs="Calibri"/>
          <w:color w:val="auto"/>
          <w:spacing w:val="-1"/>
          <w:w w:val="110"/>
          <w:szCs w:val="22"/>
        </w:rPr>
        <w:t xml:space="preserve"> </w:t>
      </w:r>
      <w:r w:rsidRPr="00DD7BD1">
        <w:rPr>
          <w:rFonts w:cs="Calibri"/>
          <w:color w:val="auto"/>
          <w:w w:val="110"/>
          <w:szCs w:val="22"/>
        </w:rPr>
        <w:t>liable for</w:t>
      </w:r>
      <w:r w:rsidRPr="00DD7BD1">
        <w:rPr>
          <w:rFonts w:cs="Calibri"/>
          <w:color w:val="auto"/>
          <w:spacing w:val="-1"/>
          <w:w w:val="110"/>
          <w:szCs w:val="22"/>
        </w:rPr>
        <w:t xml:space="preserve"> </w:t>
      </w:r>
      <w:r w:rsidRPr="00DD7BD1">
        <w:rPr>
          <w:rFonts w:cs="Calibri"/>
          <w:color w:val="auto"/>
          <w:w w:val="110"/>
          <w:szCs w:val="22"/>
        </w:rPr>
        <w:t>liquidated</w:t>
      </w:r>
      <w:r w:rsidRPr="00DD7BD1">
        <w:rPr>
          <w:rFonts w:cs="Calibri"/>
          <w:color w:val="auto"/>
          <w:spacing w:val="-2"/>
          <w:w w:val="110"/>
          <w:szCs w:val="22"/>
        </w:rPr>
        <w:t xml:space="preserve"> </w:t>
      </w:r>
      <w:r w:rsidRPr="00DD7BD1">
        <w:rPr>
          <w:rFonts w:cs="Calibri"/>
          <w:color w:val="auto"/>
          <w:w w:val="110"/>
          <w:szCs w:val="22"/>
        </w:rPr>
        <w:t>(double) damages.</w:t>
      </w:r>
      <w:r w:rsidRPr="00DD7BD1">
        <w:rPr>
          <w:rFonts w:cs="Calibri"/>
          <w:color w:val="auto"/>
          <w:spacing w:val="-1"/>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1"/>
          <w:w w:val="110"/>
          <w:szCs w:val="22"/>
        </w:rPr>
        <w:t xml:space="preserve"> </w:t>
      </w:r>
      <w:r w:rsidRPr="00DD7BD1">
        <w:rPr>
          <w:rFonts w:cs="Calibri"/>
          <w:color w:val="auto"/>
          <w:w w:val="110"/>
          <w:szCs w:val="22"/>
        </w:rPr>
        <w:t>words,</w:t>
      </w:r>
      <w:r w:rsidRPr="00DD7BD1">
        <w:rPr>
          <w:rFonts w:cs="Calibri"/>
          <w:color w:val="auto"/>
          <w:spacing w:val="-1"/>
          <w:w w:val="110"/>
          <w:szCs w:val="22"/>
        </w:rPr>
        <w:t xml:space="preserve"> </w:t>
      </w:r>
      <w:r w:rsidRPr="00DD7BD1">
        <w:rPr>
          <w:rFonts w:cs="Calibri"/>
          <w:color w:val="auto"/>
          <w:w w:val="110"/>
          <w:szCs w:val="22"/>
        </w:rPr>
        <w:t>if</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employer</w:t>
      </w:r>
      <w:r w:rsidRPr="00DD7BD1">
        <w:rPr>
          <w:rFonts w:cs="Calibri"/>
          <w:color w:val="auto"/>
          <w:spacing w:val="-4"/>
          <w:w w:val="110"/>
          <w:szCs w:val="22"/>
        </w:rPr>
        <w:t xml:space="preserve"> </w:t>
      </w:r>
      <w:r w:rsidRPr="00DD7BD1">
        <w:rPr>
          <w:rFonts w:cs="Calibri"/>
          <w:color w:val="auto"/>
          <w:w w:val="110"/>
          <w:szCs w:val="22"/>
        </w:rPr>
        <w:t>shorts an employee</w:t>
      </w:r>
      <w:r w:rsidRPr="00DD7BD1">
        <w:rPr>
          <w:rFonts w:cs="Calibri"/>
          <w:color w:val="auto"/>
          <w:spacing w:val="-2"/>
          <w:w w:val="110"/>
          <w:szCs w:val="22"/>
        </w:rPr>
        <w:t xml:space="preserve"> </w:t>
      </w:r>
      <w:r w:rsidRPr="00DD7BD1">
        <w:rPr>
          <w:rFonts w:cs="Calibri"/>
          <w:color w:val="auto"/>
          <w:w w:val="110"/>
          <w:szCs w:val="22"/>
        </w:rPr>
        <w:t>$100</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w w:val="115"/>
          <w:szCs w:val="22"/>
        </w:rPr>
        <w:t>overtime</w:t>
      </w:r>
      <w:r w:rsidRPr="00DD7BD1">
        <w:rPr>
          <w:rFonts w:cs="Calibri"/>
          <w:color w:val="auto"/>
          <w:spacing w:val="-16"/>
          <w:w w:val="115"/>
          <w:szCs w:val="22"/>
        </w:rPr>
        <w:t xml:space="preserve"> </w:t>
      </w:r>
      <w:r w:rsidRPr="00DD7BD1">
        <w:rPr>
          <w:rFonts w:cs="Calibri"/>
          <w:color w:val="auto"/>
          <w:w w:val="115"/>
          <w:szCs w:val="22"/>
        </w:rPr>
        <w:t>pay,</w:t>
      </w:r>
      <w:r w:rsidRPr="00DD7BD1">
        <w:rPr>
          <w:rFonts w:cs="Calibri"/>
          <w:color w:val="auto"/>
          <w:spacing w:val="-14"/>
          <w:w w:val="115"/>
          <w:szCs w:val="22"/>
        </w:rPr>
        <w:t xml:space="preserve"> </w:t>
      </w:r>
      <w:r w:rsidRPr="00DD7BD1">
        <w:rPr>
          <w:rFonts w:cs="Calibri"/>
          <w:color w:val="auto"/>
          <w:w w:val="115"/>
          <w:szCs w:val="22"/>
        </w:rPr>
        <w:t>it</w:t>
      </w:r>
      <w:r w:rsidRPr="00DD7BD1">
        <w:rPr>
          <w:rFonts w:cs="Calibri"/>
          <w:color w:val="auto"/>
          <w:spacing w:val="-14"/>
          <w:w w:val="115"/>
          <w:szCs w:val="22"/>
        </w:rPr>
        <w:t xml:space="preserve"> </w:t>
      </w:r>
      <w:r w:rsidRPr="00DD7BD1">
        <w:rPr>
          <w:rFonts w:cs="Calibri"/>
          <w:color w:val="auto"/>
          <w:w w:val="115"/>
          <w:szCs w:val="22"/>
        </w:rPr>
        <w:t>faces</w:t>
      </w:r>
      <w:r w:rsidRPr="00DD7BD1">
        <w:rPr>
          <w:rFonts w:cs="Calibri"/>
          <w:color w:val="auto"/>
          <w:spacing w:val="-14"/>
          <w:w w:val="115"/>
          <w:szCs w:val="22"/>
        </w:rPr>
        <w:t xml:space="preserve"> </w:t>
      </w:r>
      <w:r w:rsidRPr="00DD7BD1">
        <w:rPr>
          <w:rFonts w:cs="Calibri"/>
          <w:color w:val="auto"/>
          <w:w w:val="115"/>
          <w:szCs w:val="22"/>
        </w:rPr>
        <w:t>a</w:t>
      </w:r>
      <w:r w:rsidRPr="00DD7BD1">
        <w:rPr>
          <w:rFonts w:cs="Calibri"/>
          <w:color w:val="auto"/>
          <w:spacing w:val="-16"/>
          <w:w w:val="115"/>
          <w:szCs w:val="22"/>
        </w:rPr>
        <w:t xml:space="preserve"> </w:t>
      </w:r>
      <w:r w:rsidRPr="00DD7BD1">
        <w:rPr>
          <w:rFonts w:cs="Calibri"/>
          <w:color w:val="auto"/>
          <w:w w:val="115"/>
          <w:szCs w:val="22"/>
        </w:rPr>
        <w:t>potential</w:t>
      </w:r>
      <w:r w:rsidRPr="00DD7BD1">
        <w:rPr>
          <w:rFonts w:cs="Calibri"/>
          <w:color w:val="auto"/>
          <w:spacing w:val="-17"/>
          <w:w w:val="115"/>
          <w:szCs w:val="22"/>
        </w:rPr>
        <w:t xml:space="preserve"> </w:t>
      </w:r>
      <w:r w:rsidRPr="00DD7BD1">
        <w:rPr>
          <w:rFonts w:cs="Calibri"/>
          <w:color w:val="auto"/>
          <w:w w:val="115"/>
          <w:szCs w:val="22"/>
        </w:rPr>
        <w:t>$200</w:t>
      </w:r>
      <w:r w:rsidRPr="00DD7BD1">
        <w:rPr>
          <w:rFonts w:cs="Calibri"/>
          <w:color w:val="auto"/>
          <w:spacing w:val="-13"/>
          <w:w w:val="115"/>
          <w:szCs w:val="22"/>
        </w:rPr>
        <w:t xml:space="preserve"> </w:t>
      </w:r>
      <w:r w:rsidRPr="00DD7BD1">
        <w:rPr>
          <w:rFonts w:cs="Calibri"/>
          <w:color w:val="auto"/>
          <w:w w:val="115"/>
          <w:szCs w:val="22"/>
        </w:rPr>
        <w:t>liability.</w:t>
      </w:r>
    </w:p>
    <w:p w14:paraId="2E9E6F7F" w14:textId="77777777" w:rsidR="00E43496" w:rsidRPr="00DD7BD1" w:rsidRDefault="00E43496" w:rsidP="00E43496">
      <w:pPr>
        <w:pStyle w:val="BodyText"/>
        <w:spacing w:after="0" w:line="240" w:lineRule="auto"/>
        <w:ind w:right="-90"/>
        <w:jc w:val="left"/>
        <w:rPr>
          <w:rFonts w:cs="Calibri"/>
          <w:color w:val="auto"/>
          <w:sz w:val="16"/>
          <w:szCs w:val="16"/>
        </w:rPr>
      </w:pPr>
    </w:p>
    <w:p w14:paraId="0F28367A"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past,</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DOL</w:t>
      </w:r>
      <w:r w:rsidRPr="00DD7BD1">
        <w:rPr>
          <w:rFonts w:cs="Calibri"/>
          <w:color w:val="auto"/>
          <w:spacing w:val="-12"/>
          <w:w w:val="110"/>
          <w:szCs w:val="22"/>
        </w:rPr>
        <w:t xml:space="preserve"> </w:t>
      </w:r>
      <w:r w:rsidRPr="00DD7BD1">
        <w:rPr>
          <w:rFonts w:cs="Calibri"/>
          <w:color w:val="auto"/>
          <w:w w:val="110"/>
          <w:szCs w:val="22"/>
        </w:rPr>
        <w:t>determined</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business</w:t>
      </w:r>
      <w:r w:rsidRPr="00DD7BD1">
        <w:rPr>
          <w:rFonts w:cs="Calibri"/>
          <w:color w:val="auto"/>
          <w:spacing w:val="-12"/>
          <w:w w:val="110"/>
          <w:szCs w:val="22"/>
        </w:rPr>
        <w:t xml:space="preserve"> </w:t>
      </w:r>
      <w:r w:rsidRPr="00DD7BD1">
        <w:rPr>
          <w:rFonts w:cs="Calibri"/>
          <w:color w:val="auto"/>
          <w:w w:val="110"/>
          <w:szCs w:val="22"/>
        </w:rPr>
        <w:t>owed</w:t>
      </w:r>
      <w:r w:rsidRPr="00DD7BD1">
        <w:rPr>
          <w:rFonts w:cs="Calibri"/>
          <w:color w:val="auto"/>
          <w:spacing w:val="-10"/>
          <w:w w:val="110"/>
          <w:szCs w:val="22"/>
        </w:rPr>
        <w:t xml:space="preserve"> </w:t>
      </w:r>
      <w:r w:rsidRPr="00DD7BD1">
        <w:rPr>
          <w:rFonts w:cs="Calibri"/>
          <w:color w:val="auto"/>
          <w:w w:val="110"/>
          <w:szCs w:val="22"/>
        </w:rPr>
        <w:t>workers</w:t>
      </w:r>
      <w:r w:rsidRPr="00DD7BD1">
        <w:rPr>
          <w:rFonts w:cs="Calibri"/>
          <w:color w:val="auto"/>
          <w:spacing w:val="-12"/>
          <w:w w:val="110"/>
          <w:szCs w:val="22"/>
        </w:rPr>
        <w:t xml:space="preserve"> </w:t>
      </w:r>
      <w:r w:rsidRPr="00DD7BD1">
        <w:rPr>
          <w:rFonts w:cs="Calibri"/>
          <w:color w:val="auto"/>
          <w:w w:val="110"/>
          <w:szCs w:val="22"/>
        </w:rPr>
        <w:t>unpaid</w:t>
      </w:r>
      <w:r w:rsidRPr="00DD7BD1">
        <w:rPr>
          <w:rFonts w:cs="Calibri"/>
          <w:color w:val="auto"/>
          <w:spacing w:val="-10"/>
          <w:w w:val="110"/>
          <w:szCs w:val="22"/>
        </w:rPr>
        <w:t xml:space="preserve"> </w:t>
      </w:r>
      <w:r w:rsidRPr="00DD7BD1">
        <w:rPr>
          <w:rFonts w:cs="Calibri"/>
          <w:color w:val="auto"/>
          <w:w w:val="110"/>
          <w:szCs w:val="22"/>
        </w:rPr>
        <w:t>wages,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DOL</w:t>
      </w:r>
      <w:r w:rsidRPr="00DD7BD1">
        <w:rPr>
          <w:rFonts w:cs="Calibri"/>
          <w:color w:val="auto"/>
          <w:spacing w:val="-10"/>
          <w:w w:val="110"/>
          <w:szCs w:val="22"/>
        </w:rPr>
        <w:t xml:space="preserve"> </w:t>
      </w:r>
      <w:r w:rsidRPr="00DD7BD1">
        <w:rPr>
          <w:rFonts w:cs="Calibri"/>
          <w:color w:val="auto"/>
          <w:w w:val="110"/>
          <w:szCs w:val="22"/>
        </w:rPr>
        <w:t>sought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0"/>
          <w:w w:val="110"/>
          <w:szCs w:val="22"/>
        </w:rPr>
        <w:t xml:space="preserve"> </w:t>
      </w:r>
      <w:r w:rsidRPr="00DD7BD1">
        <w:rPr>
          <w:rFonts w:cs="Calibri"/>
          <w:color w:val="auto"/>
          <w:w w:val="110"/>
          <w:szCs w:val="22"/>
        </w:rPr>
        <w:t xml:space="preserve">the </w:t>
      </w:r>
      <w:r w:rsidRPr="00DD7BD1">
        <w:rPr>
          <w:rFonts w:cs="Calibri"/>
          <w:color w:val="auto"/>
          <w:w w:val="115"/>
          <w:szCs w:val="22"/>
        </w:rPr>
        <w:t>offending</w:t>
      </w:r>
      <w:r w:rsidRPr="00DD7BD1">
        <w:rPr>
          <w:rFonts w:cs="Calibri"/>
          <w:color w:val="auto"/>
          <w:spacing w:val="-17"/>
          <w:w w:val="115"/>
          <w:szCs w:val="22"/>
        </w:rPr>
        <w:t xml:space="preserve"> </w:t>
      </w:r>
      <w:r w:rsidRPr="00DD7BD1">
        <w:rPr>
          <w:rFonts w:cs="Calibri"/>
          <w:color w:val="auto"/>
          <w:w w:val="115"/>
          <w:szCs w:val="22"/>
        </w:rPr>
        <w:t>business</w:t>
      </w:r>
      <w:r w:rsidRPr="00DD7BD1">
        <w:rPr>
          <w:rFonts w:cs="Calibri"/>
          <w:color w:val="auto"/>
          <w:spacing w:val="-18"/>
          <w:w w:val="115"/>
          <w:szCs w:val="22"/>
        </w:rPr>
        <w:t xml:space="preserve"> </w:t>
      </w:r>
      <w:r w:rsidRPr="00DD7BD1">
        <w:rPr>
          <w:rFonts w:cs="Calibri"/>
          <w:color w:val="auto"/>
          <w:w w:val="115"/>
          <w:szCs w:val="22"/>
        </w:rPr>
        <w:t>pay</w:t>
      </w:r>
      <w:r w:rsidRPr="00DD7BD1">
        <w:rPr>
          <w:rFonts w:cs="Calibri"/>
          <w:color w:val="auto"/>
          <w:spacing w:val="-18"/>
          <w:w w:val="115"/>
          <w:szCs w:val="22"/>
        </w:rPr>
        <w:t xml:space="preserve"> </w:t>
      </w:r>
      <w:r w:rsidRPr="00DD7BD1">
        <w:rPr>
          <w:rFonts w:cs="Calibri"/>
          <w:color w:val="auto"/>
          <w:w w:val="115"/>
          <w:szCs w:val="22"/>
        </w:rPr>
        <w:t>out</w:t>
      </w:r>
      <w:r w:rsidRPr="00DD7BD1">
        <w:rPr>
          <w:rFonts w:cs="Calibri"/>
          <w:color w:val="auto"/>
          <w:spacing w:val="-16"/>
          <w:w w:val="115"/>
          <w:szCs w:val="22"/>
        </w:rPr>
        <w:t xml:space="preserve"> </w:t>
      </w:r>
      <w:r w:rsidRPr="00DD7BD1">
        <w:rPr>
          <w:rFonts w:cs="Calibri"/>
          <w:color w:val="auto"/>
          <w:w w:val="115"/>
          <w:szCs w:val="22"/>
        </w:rPr>
        <w:t>those</w:t>
      </w:r>
      <w:r w:rsidRPr="00DD7BD1">
        <w:rPr>
          <w:rFonts w:cs="Calibri"/>
          <w:color w:val="auto"/>
          <w:spacing w:val="-16"/>
          <w:w w:val="115"/>
          <w:szCs w:val="22"/>
        </w:rPr>
        <w:t xml:space="preserve"> </w:t>
      </w:r>
      <w:r w:rsidRPr="00DD7BD1">
        <w:rPr>
          <w:rFonts w:cs="Calibri"/>
          <w:color w:val="auto"/>
          <w:w w:val="115"/>
          <w:szCs w:val="22"/>
        </w:rPr>
        <w:t>wages,</w:t>
      </w:r>
      <w:r w:rsidRPr="00DD7BD1">
        <w:rPr>
          <w:rFonts w:cs="Calibri"/>
          <w:color w:val="auto"/>
          <w:spacing w:val="-19"/>
          <w:w w:val="115"/>
          <w:szCs w:val="22"/>
        </w:rPr>
        <w:t xml:space="preserve"> </w:t>
      </w:r>
      <w:r w:rsidRPr="00DD7BD1">
        <w:rPr>
          <w:rFonts w:cs="Calibri"/>
          <w:color w:val="auto"/>
          <w:w w:val="115"/>
          <w:szCs w:val="22"/>
        </w:rPr>
        <w:t>plus</w:t>
      </w:r>
      <w:r w:rsidRPr="00DD7BD1">
        <w:rPr>
          <w:rFonts w:cs="Calibri"/>
          <w:color w:val="auto"/>
          <w:spacing w:val="-15"/>
          <w:w w:val="115"/>
          <w:szCs w:val="22"/>
        </w:rPr>
        <w:t xml:space="preserve"> </w:t>
      </w:r>
      <w:r w:rsidRPr="00DD7BD1">
        <w:rPr>
          <w:rFonts w:cs="Calibri"/>
          <w:color w:val="auto"/>
          <w:w w:val="115"/>
          <w:szCs w:val="22"/>
        </w:rPr>
        <w:t>an</w:t>
      </w:r>
      <w:r w:rsidRPr="00DD7BD1">
        <w:rPr>
          <w:rFonts w:cs="Calibri"/>
          <w:color w:val="auto"/>
          <w:spacing w:val="-18"/>
          <w:w w:val="115"/>
          <w:szCs w:val="22"/>
        </w:rPr>
        <w:t xml:space="preserve"> </w:t>
      </w:r>
      <w:r w:rsidRPr="00DD7BD1">
        <w:rPr>
          <w:rFonts w:cs="Calibri"/>
          <w:color w:val="auto"/>
          <w:w w:val="115"/>
          <w:szCs w:val="22"/>
        </w:rPr>
        <w:t>equal</w:t>
      </w:r>
      <w:r w:rsidRPr="00DD7BD1">
        <w:rPr>
          <w:rFonts w:cs="Calibri"/>
          <w:color w:val="auto"/>
          <w:spacing w:val="-18"/>
          <w:w w:val="115"/>
          <w:szCs w:val="22"/>
        </w:rPr>
        <w:t xml:space="preserve"> </w:t>
      </w:r>
      <w:r w:rsidRPr="00DD7BD1">
        <w:rPr>
          <w:rFonts w:cs="Calibri"/>
          <w:color w:val="auto"/>
          <w:w w:val="115"/>
          <w:szCs w:val="22"/>
        </w:rPr>
        <w:t>amount</w:t>
      </w:r>
      <w:r w:rsidRPr="00DD7BD1">
        <w:rPr>
          <w:rFonts w:cs="Calibri"/>
          <w:color w:val="auto"/>
          <w:spacing w:val="-17"/>
          <w:w w:val="115"/>
          <w:szCs w:val="22"/>
        </w:rPr>
        <w:t xml:space="preserve"> </w:t>
      </w:r>
      <w:r w:rsidRPr="00DD7BD1">
        <w:rPr>
          <w:rFonts w:cs="Calibri"/>
          <w:color w:val="auto"/>
          <w:w w:val="115"/>
          <w:szCs w:val="22"/>
        </w:rPr>
        <w:t>as</w:t>
      </w:r>
      <w:r w:rsidRPr="00DD7BD1">
        <w:rPr>
          <w:rFonts w:cs="Calibri"/>
          <w:color w:val="auto"/>
          <w:spacing w:val="-16"/>
          <w:w w:val="115"/>
          <w:szCs w:val="22"/>
        </w:rPr>
        <w:t xml:space="preserve"> </w:t>
      </w:r>
      <w:r w:rsidRPr="00DD7BD1">
        <w:rPr>
          <w:rFonts w:cs="Calibri"/>
          <w:color w:val="auto"/>
          <w:w w:val="115"/>
          <w:szCs w:val="22"/>
        </w:rPr>
        <w:t>liquidated</w:t>
      </w:r>
      <w:r w:rsidRPr="00DD7BD1">
        <w:rPr>
          <w:rFonts w:cs="Calibri"/>
          <w:color w:val="auto"/>
          <w:spacing w:val="-16"/>
          <w:w w:val="115"/>
          <w:szCs w:val="22"/>
        </w:rPr>
        <w:t xml:space="preserve"> </w:t>
      </w:r>
      <w:r w:rsidRPr="00DD7BD1">
        <w:rPr>
          <w:rFonts w:cs="Calibri"/>
          <w:color w:val="auto"/>
          <w:w w:val="115"/>
          <w:szCs w:val="22"/>
        </w:rPr>
        <w:t>damages.</w:t>
      </w:r>
      <w:r w:rsidRPr="00DD7BD1">
        <w:rPr>
          <w:rFonts w:cs="Calibri"/>
          <w:color w:val="auto"/>
          <w:spacing w:val="40"/>
          <w:w w:val="115"/>
          <w:szCs w:val="22"/>
        </w:rPr>
        <w:t xml:space="preserve"> </w:t>
      </w:r>
      <w:r w:rsidRPr="00DD7BD1">
        <w:rPr>
          <w:rFonts w:cs="Calibri"/>
          <w:color w:val="auto"/>
          <w:w w:val="115"/>
          <w:szCs w:val="22"/>
        </w:rPr>
        <w:t>As</w:t>
      </w:r>
      <w:r w:rsidRPr="00DD7BD1">
        <w:rPr>
          <w:rFonts w:cs="Calibri"/>
          <w:color w:val="auto"/>
          <w:spacing w:val="-18"/>
          <w:w w:val="115"/>
          <w:szCs w:val="22"/>
        </w:rPr>
        <w:t xml:space="preserve"> </w:t>
      </w:r>
      <w:r w:rsidRPr="00DD7BD1">
        <w:rPr>
          <w:rFonts w:cs="Calibri"/>
          <w:color w:val="auto"/>
          <w:w w:val="115"/>
          <w:szCs w:val="22"/>
        </w:rPr>
        <w:t>of</w:t>
      </w:r>
      <w:r w:rsidRPr="00DD7BD1">
        <w:rPr>
          <w:rFonts w:cs="Calibri"/>
          <w:color w:val="auto"/>
          <w:spacing w:val="-18"/>
          <w:w w:val="115"/>
          <w:szCs w:val="22"/>
        </w:rPr>
        <w:t xml:space="preserve"> </w:t>
      </w:r>
      <w:r w:rsidRPr="00DD7BD1">
        <w:rPr>
          <w:rFonts w:cs="Calibri"/>
          <w:color w:val="auto"/>
          <w:w w:val="115"/>
          <w:szCs w:val="22"/>
        </w:rPr>
        <w:t>June</w:t>
      </w:r>
      <w:r w:rsidRPr="00DD7BD1">
        <w:rPr>
          <w:rFonts w:cs="Calibri"/>
          <w:color w:val="auto"/>
          <w:spacing w:val="-18"/>
          <w:w w:val="115"/>
          <w:szCs w:val="22"/>
        </w:rPr>
        <w:t xml:space="preserve"> </w:t>
      </w:r>
      <w:r w:rsidRPr="00DD7BD1">
        <w:rPr>
          <w:rFonts w:cs="Calibri"/>
          <w:color w:val="auto"/>
          <w:w w:val="115"/>
          <w:szCs w:val="22"/>
        </w:rPr>
        <w:t>27,</w:t>
      </w:r>
      <w:r w:rsidRPr="00DD7BD1">
        <w:rPr>
          <w:rFonts w:cs="Calibri"/>
          <w:color w:val="auto"/>
          <w:spacing w:val="-18"/>
          <w:w w:val="115"/>
          <w:szCs w:val="22"/>
        </w:rPr>
        <w:t xml:space="preserve"> </w:t>
      </w:r>
      <w:r w:rsidRPr="00DD7BD1">
        <w:rPr>
          <w:rFonts w:cs="Calibri"/>
          <w:color w:val="auto"/>
          <w:w w:val="115"/>
          <w:szCs w:val="22"/>
        </w:rPr>
        <w:t xml:space="preserve">2025, </w:t>
      </w:r>
      <w:r w:rsidRPr="00DD7BD1">
        <w:rPr>
          <w:rFonts w:cs="Calibri"/>
          <w:color w:val="auto"/>
          <w:spacing w:val="-2"/>
          <w:w w:val="115"/>
          <w:szCs w:val="22"/>
        </w:rPr>
        <w:t>that</w:t>
      </w:r>
      <w:r w:rsidRPr="00DD7BD1">
        <w:rPr>
          <w:rFonts w:cs="Calibri"/>
          <w:color w:val="auto"/>
          <w:spacing w:val="-13"/>
          <w:w w:val="115"/>
          <w:szCs w:val="22"/>
        </w:rPr>
        <w:t xml:space="preserve"> </w:t>
      </w:r>
      <w:r w:rsidRPr="00DD7BD1">
        <w:rPr>
          <w:rFonts w:cs="Calibri"/>
          <w:color w:val="auto"/>
          <w:spacing w:val="-2"/>
          <w:w w:val="115"/>
          <w:szCs w:val="22"/>
        </w:rPr>
        <w:t>practice</w:t>
      </w:r>
      <w:r w:rsidRPr="00DD7BD1">
        <w:rPr>
          <w:rFonts w:cs="Calibri"/>
          <w:color w:val="auto"/>
          <w:spacing w:val="-12"/>
          <w:w w:val="115"/>
          <w:szCs w:val="22"/>
        </w:rPr>
        <w:t xml:space="preserve"> </w:t>
      </w:r>
      <w:r w:rsidRPr="00DD7BD1">
        <w:rPr>
          <w:rFonts w:cs="Calibri"/>
          <w:color w:val="auto"/>
          <w:spacing w:val="-2"/>
          <w:w w:val="115"/>
          <w:szCs w:val="22"/>
        </w:rPr>
        <w:t>has</w:t>
      </w:r>
      <w:r w:rsidRPr="00DD7BD1">
        <w:rPr>
          <w:rFonts w:cs="Calibri"/>
          <w:color w:val="auto"/>
          <w:spacing w:val="-14"/>
          <w:w w:val="115"/>
          <w:szCs w:val="22"/>
        </w:rPr>
        <w:t xml:space="preserve"> </w:t>
      </w:r>
      <w:r w:rsidRPr="00DD7BD1">
        <w:rPr>
          <w:rFonts w:cs="Calibri"/>
          <w:color w:val="auto"/>
          <w:spacing w:val="-2"/>
          <w:w w:val="115"/>
          <w:szCs w:val="22"/>
        </w:rPr>
        <w:t>come</w:t>
      </w:r>
      <w:r w:rsidRPr="00DD7BD1">
        <w:rPr>
          <w:rFonts w:cs="Calibri"/>
          <w:color w:val="auto"/>
          <w:spacing w:val="-12"/>
          <w:w w:val="115"/>
          <w:szCs w:val="22"/>
        </w:rPr>
        <w:t xml:space="preserve"> </w:t>
      </w:r>
      <w:r w:rsidRPr="00DD7BD1">
        <w:rPr>
          <w:rFonts w:cs="Calibri"/>
          <w:color w:val="auto"/>
          <w:spacing w:val="-2"/>
          <w:w w:val="115"/>
          <w:szCs w:val="22"/>
        </w:rPr>
        <w:t>to</w:t>
      </w:r>
      <w:r w:rsidRPr="00DD7BD1">
        <w:rPr>
          <w:rFonts w:cs="Calibri"/>
          <w:color w:val="auto"/>
          <w:spacing w:val="-12"/>
          <w:w w:val="115"/>
          <w:szCs w:val="22"/>
        </w:rPr>
        <w:t xml:space="preserve"> </w:t>
      </w:r>
      <w:r w:rsidRPr="00DD7BD1">
        <w:rPr>
          <w:rFonts w:cs="Calibri"/>
          <w:color w:val="auto"/>
          <w:spacing w:val="-2"/>
          <w:w w:val="115"/>
          <w:szCs w:val="22"/>
        </w:rPr>
        <w:t>an</w:t>
      </w:r>
      <w:r w:rsidRPr="00DD7BD1">
        <w:rPr>
          <w:rFonts w:cs="Calibri"/>
          <w:color w:val="auto"/>
          <w:spacing w:val="-14"/>
          <w:w w:val="115"/>
          <w:szCs w:val="22"/>
        </w:rPr>
        <w:t xml:space="preserve"> </w:t>
      </w:r>
      <w:r w:rsidRPr="00DD7BD1">
        <w:rPr>
          <w:rFonts w:cs="Calibri"/>
          <w:color w:val="auto"/>
          <w:spacing w:val="-2"/>
          <w:w w:val="115"/>
          <w:szCs w:val="22"/>
        </w:rPr>
        <w:t>end</w:t>
      </w:r>
      <w:r w:rsidRPr="00DD7BD1">
        <w:rPr>
          <w:rFonts w:cs="Calibri"/>
          <w:color w:val="auto"/>
          <w:spacing w:val="-9"/>
          <w:w w:val="115"/>
          <w:szCs w:val="22"/>
        </w:rPr>
        <w:t xml:space="preserve"> </w:t>
      </w:r>
      <w:r w:rsidRPr="00DD7BD1">
        <w:rPr>
          <w:rFonts w:cs="Calibri"/>
          <w:color w:val="auto"/>
          <w:spacing w:val="-2"/>
          <w:w w:val="115"/>
          <w:szCs w:val="22"/>
        </w:rPr>
        <w:t>with</w:t>
      </w:r>
      <w:r w:rsidRPr="00DD7BD1">
        <w:rPr>
          <w:rFonts w:cs="Calibri"/>
          <w:color w:val="auto"/>
          <w:spacing w:val="-14"/>
          <w:w w:val="115"/>
          <w:szCs w:val="22"/>
        </w:rPr>
        <w:t xml:space="preserve"> </w:t>
      </w:r>
      <w:r w:rsidRPr="00DD7BD1">
        <w:rPr>
          <w:rFonts w:cs="Calibri"/>
          <w:color w:val="auto"/>
          <w:spacing w:val="-2"/>
          <w:w w:val="115"/>
          <w:szCs w:val="22"/>
        </w:rPr>
        <w:t>the</w:t>
      </w:r>
      <w:r w:rsidRPr="00DD7BD1">
        <w:rPr>
          <w:rFonts w:cs="Calibri"/>
          <w:color w:val="auto"/>
          <w:spacing w:val="-12"/>
          <w:w w:val="115"/>
          <w:szCs w:val="22"/>
        </w:rPr>
        <w:t xml:space="preserve"> </w:t>
      </w:r>
      <w:r w:rsidRPr="00DD7BD1">
        <w:rPr>
          <w:rFonts w:cs="Calibri"/>
          <w:color w:val="auto"/>
          <w:spacing w:val="-2"/>
          <w:w w:val="115"/>
          <w:szCs w:val="22"/>
        </w:rPr>
        <w:t>DOL</w:t>
      </w:r>
      <w:r w:rsidRPr="00DD7BD1">
        <w:rPr>
          <w:rFonts w:cs="Calibri"/>
          <w:color w:val="auto"/>
          <w:spacing w:val="-11"/>
          <w:w w:val="115"/>
          <w:szCs w:val="22"/>
        </w:rPr>
        <w:t xml:space="preserve"> </w:t>
      </w:r>
      <w:r w:rsidRPr="00DD7BD1">
        <w:rPr>
          <w:rFonts w:cs="Calibri"/>
          <w:color w:val="auto"/>
          <w:spacing w:val="-2"/>
          <w:w w:val="115"/>
          <w:szCs w:val="22"/>
        </w:rPr>
        <w:t>issuing</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5"/>
          <w:w w:val="115"/>
          <w:szCs w:val="22"/>
        </w:rPr>
        <w:t xml:space="preserve"> </w:t>
      </w:r>
      <w:hyperlink r:id="rId253">
        <w:r w:rsidRPr="00DD7BD1">
          <w:rPr>
            <w:rFonts w:cs="Calibri"/>
            <w:color w:val="0000FF"/>
            <w:spacing w:val="-2"/>
            <w:w w:val="115"/>
            <w:szCs w:val="22"/>
            <w:u w:val="single" w:color="0000FF"/>
          </w:rPr>
          <w:t>Field</w:t>
        </w:r>
        <w:r w:rsidRPr="00DD7BD1">
          <w:rPr>
            <w:rFonts w:cs="Calibri"/>
            <w:color w:val="0000FF"/>
            <w:spacing w:val="-12"/>
            <w:w w:val="115"/>
            <w:szCs w:val="22"/>
            <w:u w:val="single" w:color="0000FF"/>
          </w:rPr>
          <w:t xml:space="preserve"> </w:t>
        </w:r>
        <w:r w:rsidRPr="00DD7BD1">
          <w:rPr>
            <w:rFonts w:cs="Calibri"/>
            <w:color w:val="0000FF"/>
            <w:spacing w:val="-2"/>
            <w:w w:val="115"/>
            <w:szCs w:val="22"/>
            <w:u w:val="single" w:color="0000FF"/>
          </w:rPr>
          <w:t>Assistance</w:t>
        </w:r>
        <w:r w:rsidRPr="00DD7BD1">
          <w:rPr>
            <w:rFonts w:cs="Calibri"/>
            <w:color w:val="0000FF"/>
            <w:spacing w:val="-14"/>
            <w:w w:val="115"/>
            <w:szCs w:val="22"/>
            <w:u w:val="single" w:color="0000FF"/>
          </w:rPr>
          <w:t xml:space="preserve"> </w:t>
        </w:r>
        <w:r w:rsidRPr="00DD7BD1">
          <w:rPr>
            <w:rFonts w:cs="Calibri"/>
            <w:color w:val="0000FF"/>
            <w:spacing w:val="-2"/>
            <w:w w:val="115"/>
            <w:szCs w:val="22"/>
            <w:u w:val="single" w:color="0000FF"/>
          </w:rPr>
          <w:t>Bulletin</w:t>
        </w:r>
      </w:hyperlink>
      <w:r w:rsidRPr="00DD7BD1">
        <w:rPr>
          <w:rFonts w:cs="Calibri"/>
          <w:color w:val="0000FF"/>
          <w:spacing w:val="-11"/>
          <w:w w:val="115"/>
          <w:szCs w:val="22"/>
        </w:rPr>
        <w:t xml:space="preserve"> </w:t>
      </w:r>
      <w:r w:rsidRPr="00DD7BD1">
        <w:rPr>
          <w:rFonts w:cs="Calibri"/>
          <w:color w:val="auto"/>
          <w:spacing w:val="-2"/>
          <w:w w:val="115"/>
          <w:szCs w:val="22"/>
        </w:rPr>
        <w:t>advising</w:t>
      </w:r>
      <w:r w:rsidRPr="00DD7BD1">
        <w:rPr>
          <w:rFonts w:cs="Calibri"/>
          <w:color w:val="auto"/>
          <w:spacing w:val="-12"/>
          <w:w w:val="115"/>
          <w:szCs w:val="22"/>
        </w:rPr>
        <w:t xml:space="preserve"> </w:t>
      </w:r>
      <w:r w:rsidRPr="00DD7BD1">
        <w:rPr>
          <w:rFonts w:cs="Calibri"/>
          <w:color w:val="auto"/>
          <w:spacing w:val="-2"/>
          <w:w w:val="115"/>
          <w:szCs w:val="22"/>
        </w:rPr>
        <w:t>that</w:t>
      </w:r>
      <w:r w:rsidRPr="00DD7BD1">
        <w:rPr>
          <w:rFonts w:cs="Calibri"/>
          <w:color w:val="auto"/>
          <w:spacing w:val="-16"/>
          <w:w w:val="115"/>
          <w:szCs w:val="22"/>
        </w:rPr>
        <w:t xml:space="preserve"> </w:t>
      </w:r>
      <w:r w:rsidRPr="00DD7BD1">
        <w:rPr>
          <w:rFonts w:cs="Calibri"/>
          <w:color w:val="auto"/>
          <w:spacing w:val="-2"/>
          <w:w w:val="115"/>
          <w:szCs w:val="22"/>
        </w:rPr>
        <w:t>the</w:t>
      </w:r>
      <w:r w:rsidRPr="00DD7BD1">
        <w:rPr>
          <w:rFonts w:cs="Calibri"/>
          <w:color w:val="auto"/>
          <w:spacing w:val="-15"/>
          <w:w w:val="115"/>
          <w:szCs w:val="22"/>
        </w:rPr>
        <w:t xml:space="preserve"> </w:t>
      </w:r>
      <w:r w:rsidRPr="00DD7BD1">
        <w:rPr>
          <w:rFonts w:cs="Calibri"/>
          <w:color w:val="auto"/>
          <w:spacing w:val="-2"/>
          <w:w w:val="115"/>
          <w:szCs w:val="22"/>
        </w:rPr>
        <w:t xml:space="preserve">agency </w:t>
      </w:r>
      <w:r w:rsidRPr="00DD7BD1">
        <w:rPr>
          <w:rFonts w:cs="Calibri"/>
          <w:color w:val="auto"/>
          <w:w w:val="115"/>
          <w:szCs w:val="22"/>
        </w:rPr>
        <w:t>would</w:t>
      </w:r>
      <w:r w:rsidRPr="00DD7BD1">
        <w:rPr>
          <w:rFonts w:cs="Calibri"/>
          <w:color w:val="auto"/>
          <w:spacing w:val="-14"/>
          <w:w w:val="115"/>
          <w:szCs w:val="22"/>
        </w:rPr>
        <w:t xml:space="preserve"> </w:t>
      </w:r>
      <w:r w:rsidRPr="00DD7BD1">
        <w:rPr>
          <w:rFonts w:cs="Calibri"/>
          <w:color w:val="auto"/>
          <w:w w:val="115"/>
          <w:szCs w:val="22"/>
        </w:rPr>
        <w:t>no</w:t>
      </w:r>
      <w:r w:rsidRPr="00DD7BD1">
        <w:rPr>
          <w:rFonts w:cs="Calibri"/>
          <w:color w:val="auto"/>
          <w:spacing w:val="-11"/>
          <w:w w:val="115"/>
          <w:szCs w:val="22"/>
        </w:rPr>
        <w:t xml:space="preserve"> </w:t>
      </w:r>
      <w:r w:rsidRPr="00DD7BD1">
        <w:rPr>
          <w:rFonts w:cs="Calibri"/>
          <w:color w:val="auto"/>
          <w:w w:val="115"/>
          <w:szCs w:val="22"/>
        </w:rPr>
        <w:t>longer</w:t>
      </w:r>
      <w:r w:rsidRPr="00DD7BD1">
        <w:rPr>
          <w:rFonts w:cs="Calibri"/>
          <w:color w:val="auto"/>
          <w:spacing w:val="-14"/>
          <w:w w:val="115"/>
          <w:szCs w:val="22"/>
        </w:rPr>
        <w:t xml:space="preserve"> </w:t>
      </w:r>
      <w:r w:rsidRPr="00DD7BD1">
        <w:rPr>
          <w:rFonts w:cs="Calibri"/>
          <w:color w:val="auto"/>
          <w:w w:val="115"/>
          <w:szCs w:val="22"/>
        </w:rPr>
        <w:t>seek</w:t>
      </w:r>
      <w:r w:rsidRPr="00DD7BD1">
        <w:rPr>
          <w:rFonts w:cs="Calibri"/>
          <w:color w:val="auto"/>
          <w:spacing w:val="-11"/>
          <w:w w:val="115"/>
          <w:szCs w:val="22"/>
        </w:rPr>
        <w:t xml:space="preserve"> </w:t>
      </w:r>
      <w:r w:rsidRPr="00DD7BD1">
        <w:rPr>
          <w:rFonts w:cs="Calibri"/>
          <w:color w:val="auto"/>
          <w:w w:val="115"/>
          <w:szCs w:val="22"/>
        </w:rPr>
        <w:t>liquidated</w:t>
      </w:r>
      <w:r w:rsidRPr="00DD7BD1">
        <w:rPr>
          <w:rFonts w:cs="Calibri"/>
          <w:color w:val="auto"/>
          <w:spacing w:val="-13"/>
          <w:w w:val="115"/>
          <w:szCs w:val="22"/>
        </w:rPr>
        <w:t xml:space="preserve"> </w:t>
      </w:r>
      <w:r w:rsidRPr="00DD7BD1">
        <w:rPr>
          <w:rFonts w:cs="Calibri"/>
          <w:color w:val="auto"/>
          <w:w w:val="115"/>
          <w:szCs w:val="22"/>
        </w:rPr>
        <w:t>damages</w:t>
      </w:r>
      <w:r w:rsidRPr="00DD7BD1">
        <w:rPr>
          <w:rFonts w:cs="Calibri"/>
          <w:color w:val="auto"/>
          <w:spacing w:val="-12"/>
          <w:w w:val="115"/>
          <w:szCs w:val="22"/>
        </w:rPr>
        <w:t xml:space="preserve"> </w:t>
      </w:r>
      <w:r w:rsidRPr="00DD7BD1">
        <w:rPr>
          <w:rFonts w:cs="Calibri"/>
          <w:color w:val="auto"/>
          <w:w w:val="115"/>
          <w:szCs w:val="22"/>
        </w:rPr>
        <w:t>at</w:t>
      </w:r>
      <w:r w:rsidRPr="00DD7BD1">
        <w:rPr>
          <w:rFonts w:cs="Calibri"/>
          <w:color w:val="auto"/>
          <w:spacing w:val="-12"/>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investigation</w:t>
      </w:r>
      <w:r w:rsidRPr="00DD7BD1">
        <w:rPr>
          <w:rFonts w:cs="Calibri"/>
          <w:color w:val="auto"/>
          <w:spacing w:val="-13"/>
          <w:w w:val="115"/>
          <w:szCs w:val="22"/>
        </w:rPr>
        <w:t xml:space="preserve"> </w:t>
      </w:r>
      <w:r w:rsidRPr="00DD7BD1">
        <w:rPr>
          <w:rFonts w:cs="Calibri"/>
          <w:color w:val="auto"/>
          <w:w w:val="115"/>
          <w:szCs w:val="22"/>
        </w:rPr>
        <w:t>stage.</w:t>
      </w:r>
    </w:p>
    <w:p w14:paraId="14BEA9E9" w14:textId="77777777" w:rsidR="00E43496" w:rsidRPr="00DD7BD1" w:rsidRDefault="00E43496" w:rsidP="00E43496">
      <w:pPr>
        <w:pStyle w:val="BodyText"/>
        <w:spacing w:after="0" w:line="240" w:lineRule="auto"/>
        <w:ind w:right="-90"/>
        <w:jc w:val="left"/>
        <w:rPr>
          <w:rFonts w:cs="Calibri"/>
          <w:color w:val="auto"/>
          <w:sz w:val="16"/>
          <w:szCs w:val="16"/>
        </w:rPr>
      </w:pPr>
    </w:p>
    <w:p w14:paraId="7188FCF9"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w w:val="110"/>
          <w:szCs w:val="22"/>
        </w:rPr>
        <w:t>Note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prohibition</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5"/>
          <w:w w:val="110"/>
          <w:szCs w:val="22"/>
        </w:rPr>
        <w:t xml:space="preserve"> </w:t>
      </w:r>
      <w:r w:rsidRPr="00DD7BD1">
        <w:rPr>
          <w:rFonts w:cs="Calibri"/>
          <w:color w:val="auto"/>
          <w:w w:val="110"/>
          <w:szCs w:val="22"/>
        </w:rPr>
        <w:t>seeking</w:t>
      </w:r>
      <w:r w:rsidRPr="00DD7BD1">
        <w:rPr>
          <w:rFonts w:cs="Calibri"/>
          <w:color w:val="auto"/>
          <w:spacing w:val="-12"/>
          <w:w w:val="110"/>
          <w:szCs w:val="22"/>
        </w:rPr>
        <w:t xml:space="preserve"> </w:t>
      </w:r>
      <w:r w:rsidRPr="00DD7BD1">
        <w:rPr>
          <w:rFonts w:cs="Calibri"/>
          <w:color w:val="auto"/>
          <w:w w:val="110"/>
          <w:szCs w:val="22"/>
        </w:rPr>
        <w:t>liquidated</w:t>
      </w:r>
      <w:r w:rsidRPr="00DD7BD1">
        <w:rPr>
          <w:rFonts w:cs="Calibri"/>
          <w:color w:val="auto"/>
          <w:spacing w:val="-13"/>
          <w:w w:val="110"/>
          <w:szCs w:val="22"/>
        </w:rPr>
        <w:t xml:space="preserve"> </w:t>
      </w:r>
      <w:r w:rsidRPr="00DD7BD1">
        <w:rPr>
          <w:rFonts w:cs="Calibri"/>
          <w:color w:val="auto"/>
          <w:w w:val="110"/>
          <w:szCs w:val="22"/>
        </w:rPr>
        <w:t>damages</w:t>
      </w:r>
      <w:r w:rsidRPr="00DD7BD1">
        <w:rPr>
          <w:rFonts w:cs="Calibri"/>
          <w:color w:val="auto"/>
          <w:spacing w:val="-13"/>
          <w:w w:val="110"/>
          <w:szCs w:val="22"/>
        </w:rPr>
        <w:t xml:space="preserve"> </w:t>
      </w:r>
      <w:r w:rsidRPr="00DD7BD1">
        <w:rPr>
          <w:rFonts w:cs="Calibri"/>
          <w:color w:val="auto"/>
          <w:w w:val="110"/>
          <w:szCs w:val="22"/>
        </w:rPr>
        <w:t>exists</w:t>
      </w:r>
      <w:r w:rsidRPr="00DD7BD1">
        <w:rPr>
          <w:rFonts w:cs="Calibri"/>
          <w:color w:val="auto"/>
          <w:spacing w:val="-15"/>
          <w:w w:val="110"/>
          <w:szCs w:val="22"/>
        </w:rPr>
        <w:t xml:space="preserve"> </w:t>
      </w:r>
      <w:r w:rsidRPr="00DD7BD1">
        <w:rPr>
          <w:rFonts w:cs="Calibri"/>
          <w:color w:val="auto"/>
          <w:w w:val="110"/>
          <w:szCs w:val="22"/>
        </w:rPr>
        <w:t>only</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spacing w:val="-2"/>
          <w:w w:val="110"/>
          <w:szCs w:val="22"/>
        </w:rPr>
        <w:t>administrative/investigative</w:t>
      </w:r>
    </w:p>
    <w:p w14:paraId="2F5DD88A"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spacing w:val="-2"/>
          <w:w w:val="115"/>
          <w:szCs w:val="22"/>
        </w:rPr>
        <w:t>stage.</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1"/>
          <w:w w:val="115"/>
          <w:szCs w:val="22"/>
        </w:rPr>
        <w:t xml:space="preserve"> </w:t>
      </w:r>
      <w:r w:rsidRPr="00DD7BD1">
        <w:rPr>
          <w:rFonts w:cs="Calibri"/>
          <w:color w:val="auto"/>
          <w:spacing w:val="-2"/>
          <w:w w:val="115"/>
          <w:szCs w:val="22"/>
        </w:rPr>
        <w:t>that</w:t>
      </w:r>
      <w:r w:rsidRPr="00DD7BD1">
        <w:rPr>
          <w:rFonts w:cs="Calibri"/>
          <w:color w:val="auto"/>
          <w:spacing w:val="-12"/>
          <w:w w:val="115"/>
          <w:szCs w:val="22"/>
        </w:rPr>
        <w:t xml:space="preserve"> </w:t>
      </w:r>
      <w:r w:rsidRPr="00DD7BD1">
        <w:rPr>
          <w:rFonts w:cs="Calibri"/>
          <w:color w:val="auto"/>
          <w:spacing w:val="-2"/>
          <w:w w:val="115"/>
          <w:szCs w:val="22"/>
        </w:rPr>
        <w:t>litigate</w:t>
      </w:r>
      <w:r w:rsidRPr="00DD7BD1">
        <w:rPr>
          <w:rFonts w:cs="Calibri"/>
          <w:color w:val="auto"/>
          <w:spacing w:val="-11"/>
          <w:w w:val="115"/>
          <w:szCs w:val="22"/>
        </w:rPr>
        <w:t xml:space="preserve"> </w:t>
      </w:r>
      <w:r w:rsidRPr="00DD7BD1">
        <w:rPr>
          <w:rFonts w:cs="Calibri"/>
          <w:color w:val="auto"/>
          <w:spacing w:val="-2"/>
          <w:w w:val="115"/>
          <w:szCs w:val="22"/>
        </w:rPr>
        <w:t>FLSA</w:t>
      </w:r>
      <w:r w:rsidRPr="00DD7BD1">
        <w:rPr>
          <w:rFonts w:cs="Calibri"/>
          <w:color w:val="auto"/>
          <w:spacing w:val="-12"/>
          <w:w w:val="115"/>
          <w:szCs w:val="22"/>
        </w:rPr>
        <w:t xml:space="preserve"> </w:t>
      </w:r>
      <w:r w:rsidRPr="00DD7BD1">
        <w:rPr>
          <w:rFonts w:cs="Calibri"/>
          <w:color w:val="auto"/>
          <w:spacing w:val="-2"/>
          <w:w w:val="115"/>
          <w:szCs w:val="22"/>
        </w:rPr>
        <w:t>cases</w:t>
      </w:r>
      <w:r w:rsidRPr="00DD7BD1">
        <w:rPr>
          <w:rFonts w:cs="Calibri"/>
          <w:color w:val="auto"/>
          <w:spacing w:val="-11"/>
          <w:w w:val="115"/>
          <w:szCs w:val="22"/>
        </w:rPr>
        <w:t xml:space="preserve"> </w:t>
      </w:r>
      <w:r w:rsidRPr="00DD7BD1">
        <w:rPr>
          <w:rFonts w:cs="Calibri"/>
          <w:color w:val="auto"/>
          <w:spacing w:val="-2"/>
          <w:w w:val="115"/>
          <w:szCs w:val="22"/>
        </w:rPr>
        <w:t>in</w:t>
      </w:r>
      <w:r w:rsidRPr="00DD7BD1">
        <w:rPr>
          <w:rFonts w:cs="Calibri"/>
          <w:color w:val="auto"/>
          <w:spacing w:val="-14"/>
          <w:w w:val="115"/>
          <w:szCs w:val="22"/>
        </w:rPr>
        <w:t xml:space="preserve"> </w:t>
      </w:r>
      <w:r w:rsidRPr="00DD7BD1">
        <w:rPr>
          <w:rFonts w:cs="Calibri"/>
          <w:color w:val="auto"/>
          <w:spacing w:val="-2"/>
          <w:w w:val="115"/>
          <w:szCs w:val="22"/>
        </w:rPr>
        <w:t>court</w:t>
      </w:r>
      <w:r w:rsidRPr="00DD7BD1">
        <w:rPr>
          <w:rFonts w:cs="Calibri"/>
          <w:color w:val="auto"/>
          <w:spacing w:val="-12"/>
          <w:w w:val="115"/>
          <w:szCs w:val="22"/>
        </w:rPr>
        <w:t xml:space="preserve"> </w:t>
      </w:r>
      <w:r w:rsidRPr="00DD7BD1">
        <w:rPr>
          <w:rFonts w:cs="Calibri"/>
          <w:color w:val="auto"/>
          <w:spacing w:val="-2"/>
          <w:w w:val="115"/>
          <w:szCs w:val="22"/>
        </w:rPr>
        <w:t>still</w:t>
      </w:r>
      <w:r w:rsidRPr="00DD7BD1">
        <w:rPr>
          <w:rFonts w:cs="Calibri"/>
          <w:color w:val="auto"/>
          <w:spacing w:val="-13"/>
          <w:w w:val="115"/>
          <w:szCs w:val="22"/>
        </w:rPr>
        <w:t xml:space="preserve"> </w:t>
      </w:r>
      <w:r w:rsidRPr="00DD7BD1">
        <w:rPr>
          <w:rFonts w:cs="Calibri"/>
          <w:color w:val="auto"/>
          <w:spacing w:val="-2"/>
          <w:w w:val="115"/>
          <w:szCs w:val="22"/>
        </w:rPr>
        <w:t>face</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threat</w:t>
      </w:r>
      <w:r w:rsidRPr="00DD7BD1">
        <w:rPr>
          <w:rFonts w:cs="Calibri"/>
          <w:color w:val="auto"/>
          <w:spacing w:val="-15"/>
          <w:w w:val="115"/>
          <w:szCs w:val="22"/>
        </w:rPr>
        <w:t xml:space="preserve"> </w:t>
      </w:r>
      <w:r w:rsidRPr="00DD7BD1">
        <w:rPr>
          <w:rFonts w:cs="Calibri"/>
          <w:color w:val="auto"/>
          <w:spacing w:val="-2"/>
          <w:w w:val="115"/>
          <w:szCs w:val="22"/>
        </w:rPr>
        <w:t>of</w:t>
      </w:r>
      <w:r w:rsidRPr="00DD7BD1">
        <w:rPr>
          <w:rFonts w:cs="Calibri"/>
          <w:color w:val="auto"/>
          <w:spacing w:val="-12"/>
          <w:w w:val="115"/>
          <w:szCs w:val="22"/>
        </w:rPr>
        <w:t xml:space="preserve"> </w:t>
      </w:r>
      <w:r w:rsidRPr="00DD7BD1">
        <w:rPr>
          <w:rFonts w:cs="Calibri"/>
          <w:color w:val="auto"/>
          <w:spacing w:val="-2"/>
          <w:w w:val="115"/>
          <w:szCs w:val="22"/>
        </w:rPr>
        <w:t>liquidated</w:t>
      </w:r>
      <w:r w:rsidRPr="00DD7BD1">
        <w:rPr>
          <w:rFonts w:cs="Calibri"/>
          <w:color w:val="auto"/>
          <w:spacing w:val="-13"/>
          <w:w w:val="115"/>
          <w:szCs w:val="22"/>
        </w:rPr>
        <w:t xml:space="preserve"> </w:t>
      </w:r>
      <w:r w:rsidRPr="00DD7BD1">
        <w:rPr>
          <w:rFonts w:cs="Calibri"/>
          <w:color w:val="auto"/>
          <w:spacing w:val="-2"/>
          <w:w w:val="115"/>
          <w:szCs w:val="22"/>
        </w:rPr>
        <w:t>damages</w:t>
      </w:r>
      <w:r w:rsidRPr="00DD7BD1">
        <w:rPr>
          <w:rFonts w:cs="Calibri"/>
          <w:color w:val="auto"/>
          <w:spacing w:val="-10"/>
          <w:w w:val="115"/>
          <w:szCs w:val="22"/>
        </w:rPr>
        <w:t xml:space="preserve"> </w:t>
      </w:r>
      <w:r w:rsidRPr="00DD7BD1">
        <w:rPr>
          <w:rFonts w:cs="Calibri"/>
          <w:color w:val="auto"/>
          <w:spacing w:val="-2"/>
          <w:w w:val="115"/>
          <w:szCs w:val="22"/>
        </w:rPr>
        <w:t>in</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4"/>
          <w:w w:val="115"/>
          <w:szCs w:val="22"/>
        </w:rPr>
        <w:t xml:space="preserve"> </w:t>
      </w:r>
      <w:r w:rsidRPr="00DD7BD1">
        <w:rPr>
          <w:rFonts w:cs="Calibri"/>
          <w:color w:val="auto"/>
          <w:spacing w:val="-2"/>
          <w:w w:val="115"/>
          <w:szCs w:val="22"/>
        </w:rPr>
        <w:t>event</w:t>
      </w:r>
      <w:r w:rsidRPr="00DD7BD1">
        <w:rPr>
          <w:rFonts w:cs="Calibri"/>
          <w:color w:val="auto"/>
          <w:spacing w:val="-14"/>
          <w:w w:val="115"/>
          <w:szCs w:val="22"/>
        </w:rPr>
        <w:t xml:space="preserve"> </w:t>
      </w:r>
      <w:r w:rsidRPr="00DD7BD1">
        <w:rPr>
          <w:rFonts w:cs="Calibri"/>
          <w:color w:val="auto"/>
          <w:spacing w:val="-2"/>
          <w:w w:val="115"/>
          <w:szCs w:val="22"/>
        </w:rPr>
        <w:t>of</w:t>
      </w:r>
      <w:r w:rsidRPr="00DD7BD1">
        <w:rPr>
          <w:rFonts w:cs="Calibri"/>
          <w:color w:val="auto"/>
          <w:spacing w:val="-14"/>
          <w:w w:val="115"/>
          <w:szCs w:val="22"/>
        </w:rPr>
        <w:t xml:space="preserve"> </w:t>
      </w:r>
      <w:r w:rsidRPr="00DD7BD1">
        <w:rPr>
          <w:rFonts w:cs="Calibri"/>
          <w:color w:val="auto"/>
          <w:spacing w:val="-2"/>
          <w:w w:val="115"/>
          <w:szCs w:val="22"/>
        </w:rPr>
        <w:t xml:space="preserve">an </w:t>
      </w:r>
      <w:r w:rsidRPr="00DD7BD1">
        <w:rPr>
          <w:rFonts w:cs="Calibri"/>
          <w:color w:val="auto"/>
          <w:w w:val="115"/>
          <w:szCs w:val="22"/>
        </w:rPr>
        <w:t>adverse</w:t>
      </w:r>
      <w:r w:rsidRPr="00DD7BD1">
        <w:rPr>
          <w:rFonts w:cs="Calibri"/>
          <w:color w:val="auto"/>
          <w:spacing w:val="-7"/>
          <w:w w:val="115"/>
          <w:szCs w:val="22"/>
        </w:rPr>
        <w:t xml:space="preserve"> </w:t>
      </w:r>
      <w:r w:rsidRPr="00DD7BD1">
        <w:rPr>
          <w:rFonts w:cs="Calibri"/>
          <w:color w:val="auto"/>
          <w:w w:val="115"/>
          <w:szCs w:val="22"/>
        </w:rPr>
        <w:t>verdict.</w:t>
      </w:r>
    </w:p>
    <w:p w14:paraId="3E48F82E" w14:textId="77777777" w:rsidR="00E43496" w:rsidRPr="00DD7BD1" w:rsidRDefault="00E43496" w:rsidP="00E43496">
      <w:pPr>
        <w:pStyle w:val="BodyText"/>
        <w:spacing w:after="0" w:line="240" w:lineRule="auto"/>
        <w:ind w:right="-90"/>
        <w:jc w:val="left"/>
        <w:rPr>
          <w:rFonts w:cs="Calibri"/>
          <w:color w:val="auto"/>
          <w:szCs w:val="22"/>
        </w:rPr>
      </w:pPr>
    </w:p>
    <w:p w14:paraId="1065D295" w14:textId="650FAC98" w:rsidR="00E43496" w:rsidRPr="00DD7BD1" w:rsidRDefault="00E43496" w:rsidP="00E43496">
      <w:pPr>
        <w:pStyle w:val="Heading1"/>
        <w:spacing w:before="0" w:beforeAutospacing="0" w:after="0" w:afterAutospacing="0"/>
        <w:ind w:right="-180"/>
        <w:jc w:val="center"/>
        <w:rPr>
          <w:rFonts w:ascii="Calibri" w:hAnsi="Calibri" w:cs="Calibri"/>
          <w:spacing w:val="-8"/>
          <w:sz w:val="32"/>
          <w:szCs w:val="32"/>
        </w:rPr>
      </w:pPr>
      <w:bookmarkStart w:id="14" w:name="_Hlk212641891"/>
      <w:r w:rsidRPr="00DD7BD1">
        <w:rPr>
          <w:rFonts w:ascii="Calibri" w:hAnsi="Calibri" w:cs="Calibri"/>
          <w:spacing w:val="-8"/>
          <w:sz w:val="32"/>
          <w:szCs w:val="32"/>
        </w:rPr>
        <w:t>FTC Ends Pursuit of Non-Compete Prohibition</w:t>
      </w:r>
    </w:p>
    <w:bookmarkEnd w:id="14"/>
    <w:p w14:paraId="2D4C57C0" w14:textId="77777777" w:rsidR="00E43496" w:rsidRPr="00DD7BD1" w:rsidRDefault="00E43496" w:rsidP="00E43496">
      <w:pPr>
        <w:pStyle w:val="BodyText"/>
        <w:spacing w:after="0" w:line="240" w:lineRule="auto"/>
        <w:ind w:right="-180"/>
        <w:jc w:val="left"/>
        <w:rPr>
          <w:rFonts w:cs="Calibri"/>
          <w:color w:val="auto"/>
          <w:w w:val="110"/>
        </w:rPr>
      </w:pP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Federal</w:t>
      </w:r>
      <w:r w:rsidRPr="00DD7BD1">
        <w:rPr>
          <w:rFonts w:cs="Calibri"/>
          <w:color w:val="auto"/>
          <w:spacing w:val="-4"/>
          <w:w w:val="110"/>
        </w:rPr>
        <w:t xml:space="preserve"> </w:t>
      </w:r>
      <w:r w:rsidRPr="00DD7BD1">
        <w:rPr>
          <w:rFonts w:cs="Calibri"/>
          <w:color w:val="auto"/>
          <w:w w:val="110"/>
        </w:rPr>
        <w:t>Trade</w:t>
      </w:r>
      <w:r w:rsidRPr="00DD7BD1">
        <w:rPr>
          <w:rFonts w:cs="Calibri"/>
          <w:color w:val="auto"/>
          <w:spacing w:val="-4"/>
          <w:w w:val="110"/>
        </w:rPr>
        <w:t xml:space="preserve"> </w:t>
      </w:r>
      <w:r w:rsidRPr="00DD7BD1">
        <w:rPr>
          <w:rFonts w:cs="Calibri"/>
          <w:color w:val="auto"/>
          <w:w w:val="110"/>
        </w:rPr>
        <w:t>Commission</w:t>
      </w:r>
      <w:r w:rsidRPr="00DD7BD1">
        <w:rPr>
          <w:rFonts w:cs="Calibri"/>
          <w:color w:val="auto"/>
          <w:spacing w:val="-5"/>
          <w:w w:val="110"/>
        </w:rPr>
        <w:t xml:space="preserve"> </w:t>
      </w:r>
      <w:r w:rsidRPr="00DD7BD1">
        <w:rPr>
          <w:rFonts w:cs="Calibri"/>
          <w:color w:val="auto"/>
          <w:w w:val="110"/>
        </w:rPr>
        <w:t>(FTC)</w:t>
      </w:r>
      <w:r w:rsidRPr="00DD7BD1">
        <w:rPr>
          <w:rFonts w:cs="Calibri"/>
          <w:color w:val="auto"/>
          <w:spacing w:val="-5"/>
          <w:w w:val="110"/>
        </w:rPr>
        <w:t xml:space="preserve"> </w:t>
      </w:r>
      <w:r w:rsidRPr="00DD7BD1">
        <w:rPr>
          <w:rFonts w:cs="Calibri"/>
          <w:color w:val="auto"/>
          <w:w w:val="110"/>
        </w:rPr>
        <w:t>decided in</w:t>
      </w:r>
      <w:r w:rsidRPr="00DD7BD1">
        <w:rPr>
          <w:rFonts w:cs="Calibri"/>
          <w:color w:val="auto"/>
          <w:spacing w:val="-5"/>
          <w:w w:val="110"/>
        </w:rPr>
        <w:t xml:space="preserve"> </w:t>
      </w:r>
      <w:r w:rsidRPr="00DD7BD1">
        <w:rPr>
          <w:rFonts w:cs="Calibri"/>
          <w:color w:val="auto"/>
          <w:w w:val="110"/>
        </w:rPr>
        <w:t>early</w:t>
      </w:r>
      <w:r w:rsidRPr="00DD7BD1">
        <w:rPr>
          <w:rFonts w:cs="Calibri"/>
          <w:color w:val="auto"/>
          <w:spacing w:val="-4"/>
          <w:w w:val="110"/>
        </w:rPr>
        <w:t xml:space="preserve"> </w:t>
      </w:r>
      <w:r w:rsidRPr="00DD7BD1">
        <w:rPr>
          <w:rFonts w:cs="Calibri"/>
          <w:color w:val="auto"/>
          <w:w w:val="110"/>
        </w:rPr>
        <w:t>September</w:t>
      </w:r>
      <w:r w:rsidRPr="00DD7BD1">
        <w:rPr>
          <w:rFonts w:cs="Calibri"/>
          <w:color w:val="auto"/>
          <w:spacing w:val="-1"/>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cease</w:t>
      </w:r>
      <w:r w:rsidRPr="00DD7BD1">
        <w:rPr>
          <w:rFonts w:cs="Calibri"/>
          <w:color w:val="auto"/>
          <w:spacing w:val="-2"/>
          <w:w w:val="110"/>
        </w:rPr>
        <w:t xml:space="preserve"> </w:t>
      </w:r>
      <w:r w:rsidRPr="00DD7BD1">
        <w:rPr>
          <w:rFonts w:cs="Calibri"/>
          <w:color w:val="auto"/>
          <w:w w:val="110"/>
        </w:rPr>
        <w:t>its</w:t>
      </w:r>
      <w:r w:rsidRPr="00DD7BD1">
        <w:rPr>
          <w:rFonts w:cs="Calibri"/>
          <w:color w:val="auto"/>
          <w:spacing w:val="-4"/>
          <w:w w:val="110"/>
        </w:rPr>
        <w:t xml:space="preserve"> </w:t>
      </w:r>
      <w:r w:rsidRPr="00DD7BD1">
        <w:rPr>
          <w:rFonts w:cs="Calibri"/>
          <w:color w:val="auto"/>
          <w:w w:val="110"/>
        </w:rPr>
        <w:t>efforts</w:t>
      </w:r>
      <w:r w:rsidRPr="00DD7BD1">
        <w:rPr>
          <w:rFonts w:cs="Calibri"/>
          <w:color w:val="auto"/>
          <w:spacing w:val="-5"/>
          <w:w w:val="110"/>
        </w:rPr>
        <w:t xml:space="preserve"> </w:t>
      </w:r>
      <w:r w:rsidRPr="00DD7BD1">
        <w:rPr>
          <w:rFonts w:cs="Calibri"/>
          <w:color w:val="auto"/>
          <w:w w:val="110"/>
        </w:rPr>
        <w:t>to</w:t>
      </w:r>
      <w:r w:rsidRPr="00DD7BD1">
        <w:rPr>
          <w:rFonts w:cs="Calibri"/>
          <w:color w:val="auto"/>
          <w:spacing w:val="-4"/>
          <w:w w:val="110"/>
        </w:rPr>
        <w:t xml:space="preserve"> </w:t>
      </w:r>
      <w:r w:rsidRPr="00DD7BD1">
        <w:rPr>
          <w:rFonts w:cs="Calibri"/>
          <w:color w:val="auto"/>
          <w:w w:val="110"/>
        </w:rPr>
        <w:t>implement</w:t>
      </w:r>
      <w:r w:rsidRPr="00DD7BD1">
        <w:rPr>
          <w:rFonts w:cs="Calibri"/>
          <w:color w:val="auto"/>
          <w:spacing w:val="-3"/>
          <w:w w:val="110"/>
        </w:rPr>
        <w:t xml:space="preserve"> </w:t>
      </w:r>
      <w:r w:rsidRPr="00DD7BD1">
        <w:rPr>
          <w:rFonts w:cs="Calibri"/>
          <w:color w:val="auto"/>
          <w:w w:val="110"/>
        </w:rPr>
        <w:t>a nationwide</w:t>
      </w:r>
      <w:r w:rsidRPr="00DD7BD1">
        <w:rPr>
          <w:rFonts w:cs="Calibri"/>
          <w:color w:val="auto"/>
          <w:spacing w:val="-14"/>
          <w:w w:val="110"/>
        </w:rPr>
        <w:t xml:space="preserve"> </w:t>
      </w:r>
      <w:r w:rsidRPr="00DD7BD1">
        <w:rPr>
          <w:rFonts w:cs="Calibri"/>
          <w:color w:val="auto"/>
          <w:w w:val="110"/>
        </w:rPr>
        <w:t>prohibition</w:t>
      </w:r>
      <w:r w:rsidRPr="00DD7BD1">
        <w:rPr>
          <w:rFonts w:cs="Calibri"/>
          <w:color w:val="auto"/>
          <w:spacing w:val="-12"/>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employer</w:t>
      </w:r>
      <w:r w:rsidRPr="00DD7BD1">
        <w:rPr>
          <w:rFonts w:cs="Calibri"/>
          <w:color w:val="auto"/>
          <w:spacing w:val="-13"/>
          <w:w w:val="110"/>
        </w:rPr>
        <w:t xml:space="preserve"> </w:t>
      </w:r>
      <w:r w:rsidRPr="00DD7BD1">
        <w:rPr>
          <w:rFonts w:cs="Calibri"/>
          <w:color w:val="auto"/>
          <w:w w:val="110"/>
        </w:rPr>
        <w:t>non-compete</w:t>
      </w:r>
      <w:r w:rsidRPr="00DD7BD1">
        <w:rPr>
          <w:rFonts w:cs="Calibri"/>
          <w:color w:val="auto"/>
          <w:spacing w:val="-15"/>
          <w:w w:val="110"/>
        </w:rPr>
        <w:t xml:space="preserve"> </w:t>
      </w:r>
      <w:r w:rsidRPr="00DD7BD1">
        <w:rPr>
          <w:rFonts w:cs="Calibri"/>
          <w:color w:val="auto"/>
          <w:w w:val="110"/>
        </w:rPr>
        <w:t>agreements.</w:t>
      </w:r>
      <w:r w:rsidRPr="00DD7BD1">
        <w:rPr>
          <w:rFonts w:cs="Calibri"/>
          <w:color w:val="auto"/>
          <w:spacing w:val="-13"/>
          <w:w w:val="110"/>
        </w:rPr>
        <w:t xml:space="preserve"> </w:t>
      </w:r>
      <w:r w:rsidRPr="00DD7BD1">
        <w:rPr>
          <w:rFonts w:cs="Calibri"/>
          <w:color w:val="auto"/>
          <w:w w:val="110"/>
        </w:rPr>
        <w:t>This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2"/>
          <w:w w:val="110"/>
        </w:rPr>
        <w:t xml:space="preserve"> </w:t>
      </w:r>
      <w:r w:rsidRPr="00DD7BD1">
        <w:rPr>
          <w:rFonts w:cs="Calibri"/>
          <w:color w:val="auto"/>
          <w:w w:val="110"/>
        </w:rPr>
        <w:t>followed</w:t>
      </w:r>
      <w:r w:rsidRPr="00DD7BD1">
        <w:rPr>
          <w:rFonts w:cs="Calibri"/>
          <w:color w:val="auto"/>
          <w:spacing w:val="-12"/>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agency's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4"/>
          <w:w w:val="110"/>
        </w:rPr>
        <w:t xml:space="preserve"> </w:t>
      </w:r>
      <w:r w:rsidRPr="00DD7BD1">
        <w:rPr>
          <w:rFonts w:cs="Calibri"/>
          <w:color w:val="auto"/>
          <w:w w:val="110"/>
        </w:rPr>
        <w:t>not to appeal against a nationwide injunction that had stalled the Rule's implementation. Initially proposed in January 2023, the Rule was anticipated to significantly impact non-compete agreements across the country.</w:t>
      </w:r>
    </w:p>
    <w:p w14:paraId="64CF2E60" w14:textId="77777777" w:rsidR="00E43496" w:rsidRPr="00DD7BD1" w:rsidRDefault="00E43496" w:rsidP="00E43496">
      <w:pPr>
        <w:pStyle w:val="BodyText"/>
        <w:spacing w:after="0" w:line="240" w:lineRule="auto"/>
        <w:ind w:right="-180"/>
        <w:jc w:val="left"/>
        <w:rPr>
          <w:rFonts w:cs="Calibri"/>
          <w:color w:val="auto"/>
          <w:sz w:val="16"/>
          <w:szCs w:val="16"/>
        </w:rPr>
      </w:pPr>
    </w:p>
    <w:p w14:paraId="7B32F99B"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After</w:t>
      </w:r>
      <w:r w:rsidRPr="00DD7BD1">
        <w:rPr>
          <w:rFonts w:cs="Calibri"/>
          <w:color w:val="auto"/>
          <w:spacing w:val="-11"/>
          <w:w w:val="110"/>
        </w:rPr>
        <w:t xml:space="preserve"> </w:t>
      </w:r>
      <w:r w:rsidRPr="00DD7BD1">
        <w:rPr>
          <w:rFonts w:cs="Calibri"/>
          <w:color w:val="auto"/>
          <w:w w:val="110"/>
        </w:rPr>
        <w:t>facing</w:t>
      </w:r>
      <w:r w:rsidRPr="00DD7BD1">
        <w:rPr>
          <w:rFonts w:cs="Calibri"/>
          <w:color w:val="auto"/>
          <w:spacing w:val="-11"/>
          <w:w w:val="110"/>
        </w:rPr>
        <w:t xml:space="preserve"> </w:t>
      </w:r>
      <w:r w:rsidRPr="00DD7BD1">
        <w:rPr>
          <w:rFonts w:cs="Calibri"/>
          <w:color w:val="auto"/>
          <w:w w:val="110"/>
        </w:rPr>
        <w:t>several</w:t>
      </w:r>
      <w:r w:rsidRPr="00DD7BD1">
        <w:rPr>
          <w:rFonts w:cs="Calibri"/>
          <w:color w:val="auto"/>
          <w:spacing w:val="-11"/>
          <w:w w:val="110"/>
        </w:rPr>
        <w:t xml:space="preserve"> </w:t>
      </w:r>
      <w:r w:rsidRPr="00DD7BD1">
        <w:rPr>
          <w:rFonts w:cs="Calibri"/>
          <w:color w:val="auto"/>
          <w:w w:val="110"/>
        </w:rPr>
        <w:t>court</w:t>
      </w:r>
      <w:r w:rsidRPr="00DD7BD1">
        <w:rPr>
          <w:rFonts w:cs="Calibri"/>
          <w:color w:val="auto"/>
          <w:spacing w:val="-11"/>
          <w:w w:val="110"/>
        </w:rPr>
        <w:t xml:space="preserve"> </w:t>
      </w:r>
      <w:r w:rsidRPr="00DD7BD1">
        <w:rPr>
          <w:rFonts w:cs="Calibri"/>
          <w:color w:val="auto"/>
          <w:w w:val="110"/>
        </w:rPr>
        <w:t>challenges,</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FTC</w:t>
      </w:r>
      <w:r w:rsidRPr="00DD7BD1">
        <w:rPr>
          <w:rFonts w:cs="Calibri"/>
          <w:color w:val="auto"/>
          <w:spacing w:val="-12"/>
          <w:w w:val="110"/>
        </w:rPr>
        <w:t xml:space="preserve"> </w:t>
      </w:r>
      <w:r w:rsidRPr="00DD7BD1">
        <w:rPr>
          <w:rFonts w:cs="Calibri"/>
          <w:color w:val="auto"/>
          <w:w w:val="110"/>
        </w:rPr>
        <w:t>has</w:t>
      </w:r>
      <w:r w:rsidRPr="00DD7BD1">
        <w:rPr>
          <w:rFonts w:cs="Calibri"/>
          <w:color w:val="auto"/>
          <w:spacing w:val="-11"/>
          <w:w w:val="110"/>
        </w:rPr>
        <w:t xml:space="preserve"> </w:t>
      </w:r>
      <w:r w:rsidRPr="00DD7BD1">
        <w:rPr>
          <w:rFonts w:cs="Calibri"/>
          <w:color w:val="auto"/>
          <w:w w:val="110"/>
        </w:rPr>
        <w:t>quietly</w:t>
      </w:r>
      <w:r w:rsidRPr="00DD7BD1">
        <w:rPr>
          <w:rFonts w:cs="Calibri"/>
          <w:color w:val="auto"/>
          <w:spacing w:val="-9"/>
          <w:w w:val="110"/>
        </w:rPr>
        <w:t xml:space="preserve"> </w:t>
      </w:r>
      <w:r w:rsidRPr="00DD7BD1">
        <w:rPr>
          <w:rFonts w:cs="Calibri"/>
          <w:color w:val="auto"/>
          <w:w w:val="110"/>
        </w:rPr>
        <w:t>abandoned</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0"/>
          <w:w w:val="110"/>
        </w:rPr>
        <w:t xml:space="preserve"> </w:t>
      </w:r>
      <w:r w:rsidRPr="00DD7BD1">
        <w:rPr>
          <w:rFonts w:cs="Calibri"/>
          <w:color w:val="auto"/>
          <w:spacing w:val="-2"/>
          <w:w w:val="110"/>
        </w:rPr>
        <w:t>initiative.</w:t>
      </w:r>
    </w:p>
    <w:p w14:paraId="6D9E9C40"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Despite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end</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5"/>
          <w:w w:val="110"/>
        </w:rPr>
        <w:t xml:space="preserve"> </w:t>
      </w:r>
      <w:r w:rsidRPr="00DD7BD1">
        <w:rPr>
          <w:rFonts w:cs="Calibri"/>
          <w:color w:val="auto"/>
          <w:w w:val="110"/>
        </w:rPr>
        <w:t>this</w:t>
      </w:r>
      <w:r w:rsidRPr="00DD7BD1">
        <w:rPr>
          <w:rFonts w:cs="Calibri"/>
          <w:color w:val="auto"/>
          <w:spacing w:val="-15"/>
          <w:w w:val="110"/>
        </w:rPr>
        <w:t xml:space="preserve"> </w:t>
      </w:r>
      <w:r w:rsidRPr="00DD7BD1">
        <w:rPr>
          <w:rFonts w:cs="Calibri"/>
          <w:i/>
          <w:color w:val="auto"/>
          <w:w w:val="110"/>
        </w:rPr>
        <w:t>federal</w:t>
      </w:r>
      <w:r w:rsidRPr="00DD7BD1">
        <w:rPr>
          <w:rFonts w:cs="Calibri"/>
          <w:i/>
          <w:color w:val="auto"/>
          <w:spacing w:val="-15"/>
          <w:w w:val="110"/>
        </w:rPr>
        <w:t xml:space="preserve"> </w:t>
      </w:r>
      <w:r w:rsidRPr="00DD7BD1">
        <w:rPr>
          <w:rFonts w:cs="Calibri"/>
          <w:i/>
          <w:color w:val="auto"/>
          <w:w w:val="110"/>
        </w:rPr>
        <w:t>effort</w:t>
      </w:r>
      <w:r w:rsidRPr="00DD7BD1">
        <w:rPr>
          <w:rFonts w:cs="Calibri"/>
          <w:color w:val="auto"/>
          <w:w w:val="110"/>
        </w:rPr>
        <w:t>,</w:t>
      </w:r>
      <w:r w:rsidRPr="00DD7BD1">
        <w:rPr>
          <w:rFonts w:cs="Calibri"/>
          <w:color w:val="auto"/>
          <w:spacing w:val="-16"/>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FTC</w:t>
      </w:r>
      <w:r w:rsidRPr="00DD7BD1">
        <w:rPr>
          <w:rFonts w:cs="Calibri"/>
          <w:color w:val="auto"/>
          <w:spacing w:val="-17"/>
          <w:w w:val="110"/>
        </w:rPr>
        <w:t xml:space="preserve"> </w:t>
      </w:r>
      <w:r w:rsidRPr="00DD7BD1">
        <w:rPr>
          <w:rFonts w:cs="Calibri"/>
          <w:color w:val="auto"/>
          <w:w w:val="110"/>
        </w:rPr>
        <w:t>has</w:t>
      </w:r>
      <w:r w:rsidRPr="00DD7BD1">
        <w:rPr>
          <w:rFonts w:cs="Calibri"/>
          <w:color w:val="auto"/>
          <w:spacing w:val="-14"/>
          <w:w w:val="110"/>
        </w:rPr>
        <w:t xml:space="preserve"> </w:t>
      </w:r>
      <w:r w:rsidRPr="00DD7BD1">
        <w:rPr>
          <w:rFonts w:cs="Calibri"/>
          <w:color w:val="auto"/>
          <w:w w:val="110"/>
        </w:rPr>
        <w:t>indicated</w:t>
      </w:r>
      <w:r w:rsidRPr="00DD7BD1">
        <w:rPr>
          <w:rFonts w:cs="Calibri"/>
          <w:color w:val="auto"/>
          <w:spacing w:val="-15"/>
          <w:w w:val="110"/>
        </w:rPr>
        <w:t xml:space="preserve"> </w:t>
      </w:r>
      <w:r w:rsidRPr="00DD7BD1">
        <w:rPr>
          <w:rFonts w:cs="Calibri"/>
          <w:color w:val="auto"/>
          <w:w w:val="110"/>
        </w:rPr>
        <w:t>it</w:t>
      </w:r>
      <w:r w:rsidRPr="00DD7BD1">
        <w:rPr>
          <w:rFonts w:cs="Calibri"/>
          <w:color w:val="auto"/>
          <w:spacing w:val="-17"/>
          <w:w w:val="110"/>
        </w:rPr>
        <w:t xml:space="preserve"> </w:t>
      </w:r>
      <w:r w:rsidRPr="00DD7BD1">
        <w:rPr>
          <w:rFonts w:cs="Calibri"/>
          <w:color w:val="auto"/>
          <w:w w:val="110"/>
        </w:rPr>
        <w:t>will</w:t>
      </w:r>
      <w:r w:rsidRPr="00DD7BD1">
        <w:rPr>
          <w:rFonts w:cs="Calibri"/>
          <w:color w:val="auto"/>
          <w:spacing w:val="-16"/>
          <w:w w:val="110"/>
        </w:rPr>
        <w:t xml:space="preserve"> </w:t>
      </w:r>
      <w:r w:rsidRPr="00DD7BD1">
        <w:rPr>
          <w:rFonts w:cs="Calibri"/>
          <w:color w:val="auto"/>
          <w:w w:val="110"/>
        </w:rPr>
        <w:t>prioritize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scrutiny</w:t>
      </w:r>
      <w:r w:rsidRPr="00DD7BD1">
        <w:rPr>
          <w:rFonts w:cs="Calibri"/>
          <w:color w:val="auto"/>
          <w:spacing w:val="-16"/>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restrictive</w:t>
      </w:r>
      <w:r w:rsidRPr="00DD7BD1">
        <w:rPr>
          <w:rFonts w:cs="Calibri"/>
          <w:color w:val="auto"/>
          <w:spacing w:val="-17"/>
          <w:w w:val="110"/>
        </w:rPr>
        <w:t xml:space="preserve"> </w:t>
      </w:r>
      <w:r w:rsidRPr="00DD7BD1">
        <w:rPr>
          <w:rFonts w:cs="Calibri"/>
          <w:color w:val="auto"/>
          <w:w w:val="110"/>
        </w:rPr>
        <w:t>covenant practices,</w:t>
      </w:r>
      <w:r w:rsidRPr="00DD7BD1">
        <w:rPr>
          <w:rFonts w:cs="Calibri"/>
          <w:color w:val="auto"/>
          <w:spacing w:val="-10"/>
          <w:w w:val="110"/>
        </w:rPr>
        <w:t xml:space="preserve"> </w:t>
      </w:r>
      <w:r w:rsidRPr="00DD7BD1">
        <w:rPr>
          <w:rFonts w:cs="Calibri"/>
          <w:color w:val="auto"/>
          <w:w w:val="110"/>
        </w:rPr>
        <w:t>including</w:t>
      </w:r>
      <w:r w:rsidRPr="00DD7BD1">
        <w:rPr>
          <w:rFonts w:cs="Calibri"/>
          <w:color w:val="auto"/>
          <w:spacing w:val="-7"/>
          <w:w w:val="110"/>
        </w:rPr>
        <w:t xml:space="preserve"> </w:t>
      </w:r>
      <w:r w:rsidRPr="00DD7BD1">
        <w:rPr>
          <w:rFonts w:cs="Calibri"/>
          <w:color w:val="auto"/>
          <w:w w:val="110"/>
        </w:rPr>
        <w:t>non-competes,</w:t>
      </w:r>
      <w:r w:rsidRPr="00DD7BD1">
        <w:rPr>
          <w:rFonts w:cs="Calibri"/>
          <w:color w:val="auto"/>
          <w:spacing w:val="-10"/>
          <w:w w:val="110"/>
        </w:rPr>
        <w:t xml:space="preserve"> </w:t>
      </w:r>
      <w:r w:rsidRPr="00DD7BD1">
        <w:rPr>
          <w:rFonts w:cs="Calibri"/>
          <w:color w:val="auto"/>
          <w:w w:val="110"/>
        </w:rPr>
        <w:t>particularly</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healthcare</w:t>
      </w:r>
      <w:r w:rsidRPr="00DD7BD1">
        <w:rPr>
          <w:rFonts w:cs="Calibri"/>
          <w:color w:val="auto"/>
          <w:spacing w:val="-10"/>
          <w:w w:val="110"/>
        </w:rPr>
        <w:t xml:space="preserve"> </w:t>
      </w:r>
      <w:r w:rsidRPr="00DD7BD1">
        <w:rPr>
          <w:rFonts w:cs="Calibri"/>
          <w:color w:val="auto"/>
          <w:w w:val="110"/>
        </w:rPr>
        <w:t>sector,</w:t>
      </w:r>
      <w:r w:rsidRPr="00DD7BD1">
        <w:rPr>
          <w:rFonts w:cs="Calibri"/>
          <w:color w:val="auto"/>
          <w:spacing w:val="-8"/>
          <w:w w:val="110"/>
        </w:rPr>
        <w:t xml:space="preserve"> </w:t>
      </w:r>
      <w:r w:rsidRPr="00DD7BD1">
        <w:rPr>
          <w:rFonts w:cs="Calibri"/>
          <w:color w:val="auto"/>
          <w:w w:val="110"/>
        </w:rPr>
        <w:t>where</w:t>
      </w:r>
      <w:r w:rsidRPr="00DD7BD1">
        <w:rPr>
          <w:rFonts w:cs="Calibri"/>
          <w:color w:val="auto"/>
          <w:spacing w:val="-7"/>
          <w:w w:val="110"/>
        </w:rPr>
        <w:t xml:space="preserve"> </w:t>
      </w:r>
      <w:r w:rsidRPr="00DD7BD1">
        <w:rPr>
          <w:rFonts w:cs="Calibri"/>
          <w:color w:val="auto"/>
          <w:w w:val="110"/>
        </w:rPr>
        <w:t>worker</w:t>
      </w:r>
      <w:r w:rsidRPr="00DD7BD1">
        <w:rPr>
          <w:rFonts w:cs="Calibri"/>
          <w:color w:val="auto"/>
          <w:spacing w:val="-8"/>
          <w:w w:val="110"/>
        </w:rPr>
        <w:t xml:space="preserve"> </w:t>
      </w:r>
      <w:r w:rsidRPr="00DD7BD1">
        <w:rPr>
          <w:rFonts w:cs="Calibri"/>
          <w:color w:val="auto"/>
          <w:w w:val="110"/>
        </w:rPr>
        <w:t>mobility</w:t>
      </w:r>
      <w:r w:rsidRPr="00DD7BD1">
        <w:rPr>
          <w:rFonts w:cs="Calibri"/>
          <w:color w:val="auto"/>
          <w:spacing w:val="-7"/>
          <w:w w:val="110"/>
        </w:rPr>
        <w:t xml:space="preserve"> </w:t>
      </w:r>
      <w:r w:rsidRPr="00DD7BD1">
        <w:rPr>
          <w:rFonts w:cs="Calibri"/>
          <w:color w:val="auto"/>
          <w:w w:val="110"/>
        </w:rPr>
        <w:t>is</w:t>
      </w:r>
      <w:r w:rsidRPr="00DD7BD1">
        <w:rPr>
          <w:rFonts w:cs="Calibri"/>
          <w:color w:val="auto"/>
          <w:spacing w:val="-9"/>
          <w:w w:val="110"/>
        </w:rPr>
        <w:t xml:space="preserve"> </w:t>
      </w:r>
      <w:r w:rsidRPr="00DD7BD1">
        <w:rPr>
          <w:rFonts w:cs="Calibri"/>
          <w:color w:val="auto"/>
          <w:w w:val="110"/>
        </w:rPr>
        <w:t>often restricted. This shift in focus underscores the importance for employers to remain vigilant about state laws governing non-compete agreements.</w:t>
      </w:r>
    </w:p>
    <w:p w14:paraId="78DD47A5" w14:textId="77777777" w:rsidR="00E43496" w:rsidRPr="00DD7BD1" w:rsidRDefault="00E43496" w:rsidP="00E43496">
      <w:pPr>
        <w:pStyle w:val="BodyText"/>
        <w:spacing w:after="0" w:line="240" w:lineRule="auto"/>
        <w:ind w:right="-180"/>
        <w:jc w:val="left"/>
        <w:rPr>
          <w:rFonts w:cs="Calibri"/>
          <w:color w:val="auto"/>
          <w:szCs w:val="22"/>
        </w:rPr>
      </w:pPr>
    </w:p>
    <w:p w14:paraId="5C1283A5" w14:textId="57B20FA9" w:rsidR="00E43496" w:rsidRPr="00DD7BD1" w:rsidRDefault="00E43496" w:rsidP="00E43496">
      <w:pPr>
        <w:pStyle w:val="Heading1"/>
        <w:spacing w:before="0" w:beforeAutospacing="0" w:after="0" w:afterAutospacing="0"/>
        <w:ind w:right="-270"/>
        <w:jc w:val="center"/>
        <w:rPr>
          <w:rFonts w:ascii="Calibri" w:hAnsi="Calibri" w:cs="Calibri"/>
          <w:spacing w:val="-8"/>
          <w:sz w:val="32"/>
          <w:szCs w:val="32"/>
        </w:rPr>
      </w:pPr>
      <w:r w:rsidRPr="00DD7BD1">
        <w:rPr>
          <w:rFonts w:ascii="Calibri" w:hAnsi="Calibri" w:cs="Calibri"/>
          <w:spacing w:val="-8"/>
          <w:sz w:val="32"/>
          <w:szCs w:val="32"/>
        </w:rPr>
        <w:t>Navigating Employee Political Speech: Key Considerations for Employers</w:t>
      </w:r>
    </w:p>
    <w:p w14:paraId="4D5130C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 line that stands between one's personal politics and professional responsibilities has never been thinner.</w:t>
      </w:r>
      <w:r w:rsidRPr="00DD7BD1">
        <w:rPr>
          <w:rFonts w:cs="Calibri"/>
          <w:color w:val="auto"/>
          <w:spacing w:val="80"/>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wish</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remind</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about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potential</w:t>
      </w:r>
      <w:r w:rsidRPr="00DD7BD1">
        <w:rPr>
          <w:rFonts w:cs="Calibri"/>
          <w:color w:val="auto"/>
          <w:spacing w:val="-12"/>
          <w:w w:val="110"/>
          <w:szCs w:val="22"/>
        </w:rPr>
        <w:t xml:space="preserve"> </w:t>
      </w:r>
      <w:r w:rsidRPr="00DD7BD1">
        <w:rPr>
          <w:rFonts w:cs="Calibri"/>
          <w:color w:val="auto"/>
          <w:w w:val="110"/>
          <w:szCs w:val="22"/>
        </w:rPr>
        <w:t>repercussions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making</w:t>
      </w:r>
      <w:r w:rsidRPr="00DD7BD1">
        <w:rPr>
          <w:rFonts w:cs="Calibri"/>
          <w:color w:val="auto"/>
          <w:spacing w:val="-12"/>
          <w:w w:val="110"/>
          <w:szCs w:val="22"/>
        </w:rPr>
        <w:t xml:space="preserve"> </w:t>
      </w:r>
      <w:r w:rsidRPr="00DD7BD1">
        <w:rPr>
          <w:rFonts w:cs="Calibri"/>
          <w:color w:val="auto"/>
          <w:w w:val="110"/>
          <w:szCs w:val="22"/>
        </w:rPr>
        <w:t>public political</w:t>
      </w:r>
      <w:r w:rsidRPr="00DD7BD1">
        <w:rPr>
          <w:rFonts w:cs="Calibri"/>
          <w:color w:val="auto"/>
          <w:spacing w:val="-13"/>
          <w:w w:val="110"/>
          <w:szCs w:val="22"/>
        </w:rPr>
        <w:t xml:space="preserve"> </w:t>
      </w:r>
      <w:r w:rsidRPr="00DD7BD1">
        <w:rPr>
          <w:rFonts w:cs="Calibri"/>
          <w:color w:val="auto"/>
          <w:w w:val="110"/>
          <w:szCs w:val="22"/>
        </w:rPr>
        <w:t>statements</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sharing</w:t>
      </w:r>
      <w:r w:rsidRPr="00DD7BD1">
        <w:rPr>
          <w:rFonts w:cs="Calibri"/>
          <w:color w:val="auto"/>
          <w:spacing w:val="-13"/>
          <w:w w:val="110"/>
          <w:szCs w:val="22"/>
        </w:rPr>
        <w:t xml:space="preserve"> </w:t>
      </w:r>
      <w:r w:rsidRPr="00DD7BD1">
        <w:rPr>
          <w:rFonts w:cs="Calibri"/>
          <w:color w:val="auto"/>
          <w:w w:val="110"/>
          <w:szCs w:val="22"/>
        </w:rPr>
        <w:t>strong</w:t>
      </w:r>
      <w:r w:rsidRPr="00DD7BD1">
        <w:rPr>
          <w:rFonts w:cs="Calibri"/>
          <w:color w:val="auto"/>
          <w:spacing w:val="-13"/>
          <w:w w:val="110"/>
          <w:szCs w:val="22"/>
        </w:rPr>
        <w:t xml:space="preserve"> </w:t>
      </w:r>
      <w:r w:rsidRPr="00DD7BD1">
        <w:rPr>
          <w:rFonts w:cs="Calibri"/>
          <w:color w:val="auto"/>
          <w:w w:val="110"/>
          <w:szCs w:val="22"/>
        </w:rPr>
        <w:t>opinions</w:t>
      </w:r>
      <w:r w:rsidRPr="00DD7BD1">
        <w:rPr>
          <w:rFonts w:cs="Calibri"/>
          <w:color w:val="auto"/>
          <w:spacing w:val="-8"/>
          <w:w w:val="110"/>
          <w:szCs w:val="22"/>
        </w:rPr>
        <w:t xml:space="preserve"> </w:t>
      </w:r>
      <w:r w:rsidRPr="00DD7BD1">
        <w:rPr>
          <w:rFonts w:cs="Calibri"/>
          <w:color w:val="auto"/>
          <w:w w:val="110"/>
          <w:szCs w:val="22"/>
        </w:rPr>
        <w:t>online</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particularly</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1"/>
          <w:w w:val="110"/>
          <w:szCs w:val="22"/>
        </w:rPr>
        <w:t xml:space="preserve"> </w:t>
      </w:r>
      <w:r w:rsidRPr="00DD7BD1">
        <w:rPr>
          <w:rFonts w:cs="Calibri"/>
          <w:color w:val="auto"/>
          <w:w w:val="110"/>
          <w:szCs w:val="22"/>
        </w:rPr>
        <w:t>social</w:t>
      </w:r>
      <w:r w:rsidRPr="00DD7BD1">
        <w:rPr>
          <w:rFonts w:cs="Calibri"/>
          <w:color w:val="auto"/>
          <w:spacing w:val="-16"/>
          <w:w w:val="110"/>
          <w:szCs w:val="22"/>
        </w:rPr>
        <w:t xml:space="preserve"> </w:t>
      </w:r>
      <w:r w:rsidRPr="00DD7BD1">
        <w:rPr>
          <w:rFonts w:cs="Calibri"/>
          <w:color w:val="auto"/>
          <w:w w:val="110"/>
          <w:szCs w:val="22"/>
        </w:rPr>
        <w:t>media.</w:t>
      </w:r>
      <w:r w:rsidRPr="00DD7BD1">
        <w:rPr>
          <w:rFonts w:cs="Calibri"/>
          <w:color w:val="auto"/>
          <w:spacing w:val="40"/>
          <w:w w:val="110"/>
          <w:szCs w:val="22"/>
        </w:rPr>
        <w:t xml:space="preserve"> </w:t>
      </w:r>
      <w:r w:rsidRPr="00DD7BD1">
        <w:rPr>
          <w:rFonts w:cs="Calibri"/>
          <w:color w:val="auto"/>
          <w:w w:val="110"/>
          <w:szCs w:val="22"/>
        </w:rPr>
        <w:t>They should do so cautiously and carefully weigh workplace policies as well as organizational reputation against evolving legal protections.</w:t>
      </w:r>
    </w:p>
    <w:p w14:paraId="3EC901FB" w14:textId="77777777" w:rsidR="00E43496" w:rsidRPr="00DD7BD1" w:rsidRDefault="00E43496" w:rsidP="00E43496">
      <w:pPr>
        <w:pStyle w:val="Heading4"/>
        <w:spacing w:before="0"/>
        <w:ind w:right="-274"/>
        <w:rPr>
          <w:rFonts w:ascii="Calibri" w:hAnsi="Calibri" w:cs="Calibri"/>
          <w:w w:val="90"/>
          <w:sz w:val="16"/>
          <w:szCs w:val="16"/>
        </w:rPr>
      </w:pPr>
    </w:p>
    <w:p w14:paraId="405DE329"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Protected Concerted Activity</w:t>
      </w:r>
    </w:p>
    <w:p w14:paraId="6CE061BA"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While</w:t>
      </w:r>
      <w:r w:rsidRPr="00DD7BD1">
        <w:rPr>
          <w:rFonts w:cs="Calibri"/>
          <w:color w:val="auto"/>
          <w:spacing w:val="-9"/>
          <w:w w:val="110"/>
          <w:szCs w:val="22"/>
        </w:rPr>
        <w:t xml:space="preserve"> </w:t>
      </w:r>
      <w:r w:rsidRPr="00DD7BD1">
        <w:rPr>
          <w:rFonts w:cs="Calibri"/>
          <w:color w:val="auto"/>
          <w:w w:val="110"/>
          <w:szCs w:val="22"/>
        </w:rPr>
        <w:t>maintaining</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respectful</w:t>
      </w:r>
      <w:r w:rsidRPr="00DD7BD1">
        <w:rPr>
          <w:rFonts w:cs="Calibri"/>
          <w:color w:val="auto"/>
          <w:spacing w:val="-8"/>
          <w:w w:val="110"/>
          <w:szCs w:val="22"/>
        </w:rPr>
        <w:t xml:space="preserve"> </w:t>
      </w:r>
      <w:r w:rsidRPr="00DD7BD1">
        <w:rPr>
          <w:rFonts w:cs="Calibri"/>
          <w:color w:val="auto"/>
          <w:w w:val="110"/>
          <w:szCs w:val="22"/>
        </w:rPr>
        <w:t>workplace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legitimate</w:t>
      </w:r>
      <w:r w:rsidRPr="00DD7BD1">
        <w:rPr>
          <w:rFonts w:cs="Calibri"/>
          <w:color w:val="auto"/>
          <w:spacing w:val="-9"/>
          <w:w w:val="110"/>
          <w:szCs w:val="22"/>
        </w:rPr>
        <w:t xml:space="preserve"> </w:t>
      </w:r>
      <w:r w:rsidRPr="00DD7BD1">
        <w:rPr>
          <w:rFonts w:cs="Calibri"/>
          <w:color w:val="auto"/>
          <w:w w:val="110"/>
          <w:szCs w:val="22"/>
        </w:rPr>
        <w:t>goal,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must</w:t>
      </w:r>
      <w:r w:rsidRPr="00DD7BD1">
        <w:rPr>
          <w:rFonts w:cs="Calibri"/>
          <w:color w:val="auto"/>
          <w:spacing w:val="-9"/>
          <w:w w:val="110"/>
          <w:szCs w:val="22"/>
        </w:rPr>
        <w:t xml:space="preserve"> </w:t>
      </w:r>
      <w:r w:rsidRPr="00DD7BD1">
        <w:rPr>
          <w:rFonts w:cs="Calibri"/>
          <w:color w:val="auto"/>
          <w:w w:val="110"/>
          <w:szCs w:val="22"/>
        </w:rPr>
        <w:t>balance</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interest</w:t>
      </w:r>
      <w:r w:rsidRPr="00DD7BD1">
        <w:rPr>
          <w:rFonts w:cs="Calibri"/>
          <w:color w:val="auto"/>
          <w:spacing w:val="-7"/>
          <w:w w:val="110"/>
          <w:szCs w:val="22"/>
        </w:rPr>
        <w:t xml:space="preserve"> </w:t>
      </w:r>
      <w:r w:rsidRPr="00DD7BD1">
        <w:rPr>
          <w:rFonts w:cs="Calibri"/>
          <w:color w:val="auto"/>
          <w:spacing w:val="-2"/>
          <w:w w:val="110"/>
          <w:szCs w:val="22"/>
        </w:rPr>
        <w:t>against</w:t>
      </w:r>
    </w:p>
    <w:p w14:paraId="7712017F" w14:textId="77777777" w:rsidR="00E43496" w:rsidRPr="00DD7BD1" w:rsidRDefault="00E43496" w:rsidP="00E43496">
      <w:pPr>
        <w:pStyle w:val="BodyText"/>
        <w:spacing w:after="0" w:line="240" w:lineRule="auto"/>
        <w:ind w:right="-274"/>
        <w:jc w:val="left"/>
        <w:rPr>
          <w:rFonts w:cs="Calibri"/>
          <w:color w:val="auto"/>
          <w:spacing w:val="-2"/>
          <w:w w:val="110"/>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spacing w:val="-2"/>
          <w:w w:val="110"/>
          <w:szCs w:val="22"/>
        </w:rPr>
        <w:t>rights.</w:t>
      </w:r>
    </w:p>
    <w:p w14:paraId="08D058C1" w14:textId="77777777" w:rsidR="00E43496" w:rsidRPr="00DD7BD1" w:rsidRDefault="00E43496" w:rsidP="00E43496">
      <w:pPr>
        <w:pStyle w:val="BodyText"/>
        <w:spacing w:after="0" w:line="240" w:lineRule="auto"/>
        <w:ind w:right="-274"/>
        <w:jc w:val="left"/>
        <w:rPr>
          <w:rFonts w:cs="Calibri"/>
          <w:color w:val="auto"/>
          <w:sz w:val="16"/>
          <w:szCs w:val="16"/>
        </w:rPr>
      </w:pPr>
    </w:p>
    <w:p w14:paraId="3BE9A214" w14:textId="77777777" w:rsidR="00E43496" w:rsidRPr="00DD7BD1" w:rsidRDefault="00E43496" w:rsidP="00E43496">
      <w:pPr>
        <w:pStyle w:val="BodyText"/>
        <w:spacing w:after="0" w:line="240" w:lineRule="auto"/>
        <w:ind w:right="-274"/>
        <w:jc w:val="left"/>
        <w:rPr>
          <w:rFonts w:cs="Calibri"/>
          <w:color w:val="auto"/>
          <w:w w:val="105"/>
          <w:szCs w:val="22"/>
        </w:rPr>
      </w:pPr>
      <w:r w:rsidRPr="00DD7BD1">
        <w:rPr>
          <w:rFonts w:cs="Calibri"/>
          <w:color w:val="auto"/>
          <w:w w:val="105"/>
          <w:szCs w:val="22"/>
        </w:rPr>
        <w:t>For</w:t>
      </w:r>
      <w:r w:rsidRPr="00DD7BD1">
        <w:rPr>
          <w:rFonts w:cs="Calibri"/>
          <w:color w:val="auto"/>
          <w:spacing w:val="-5"/>
          <w:w w:val="105"/>
          <w:szCs w:val="22"/>
        </w:rPr>
        <w:t xml:space="preserve"> </w:t>
      </w:r>
      <w:r w:rsidRPr="00DD7BD1">
        <w:rPr>
          <w:rFonts w:cs="Calibri"/>
          <w:b/>
          <w:color w:val="auto"/>
          <w:w w:val="105"/>
          <w:szCs w:val="22"/>
        </w:rPr>
        <w:t>private-sector</w:t>
      </w:r>
      <w:r w:rsidRPr="00DD7BD1">
        <w:rPr>
          <w:rFonts w:cs="Calibri"/>
          <w:b/>
          <w:color w:val="auto"/>
          <w:spacing w:val="-3"/>
          <w:w w:val="105"/>
          <w:szCs w:val="22"/>
        </w:rPr>
        <w:t xml:space="preserve"> </w:t>
      </w:r>
      <w:r w:rsidRPr="00DD7BD1">
        <w:rPr>
          <w:rFonts w:cs="Calibri"/>
          <w:b/>
          <w:color w:val="auto"/>
          <w:w w:val="105"/>
          <w:szCs w:val="22"/>
        </w:rPr>
        <w:t>employers,</w:t>
      </w:r>
      <w:r w:rsidRPr="00DD7BD1">
        <w:rPr>
          <w:rFonts w:cs="Calibri"/>
          <w:b/>
          <w:color w:val="auto"/>
          <w:spacing w:val="-1"/>
          <w:w w:val="105"/>
          <w:szCs w:val="22"/>
        </w:rPr>
        <w:t xml:space="preserve"> </w:t>
      </w:r>
      <w:hyperlink r:id="rId254">
        <w:r w:rsidRPr="00DD7BD1">
          <w:rPr>
            <w:rFonts w:cs="Calibri"/>
            <w:color w:val="0000FF"/>
            <w:w w:val="105"/>
            <w:szCs w:val="22"/>
            <w:u w:val="single" w:color="0000FF"/>
          </w:rPr>
          <w:t>Section</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7</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of</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the</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National</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Labor</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Relations</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Act</w:t>
        </w:r>
      </w:hyperlink>
      <w:r w:rsidRPr="00DD7BD1">
        <w:rPr>
          <w:rFonts w:cs="Calibri"/>
          <w:color w:val="0000FF"/>
          <w:w w:val="105"/>
          <w:szCs w:val="22"/>
        </w:rPr>
        <w:t xml:space="preserve"> </w:t>
      </w:r>
      <w:r w:rsidRPr="00DD7BD1">
        <w:rPr>
          <w:rFonts w:cs="Calibri"/>
          <w:color w:val="auto"/>
          <w:w w:val="105"/>
          <w:szCs w:val="22"/>
        </w:rPr>
        <w:t>(NLRA)</w:t>
      </w:r>
      <w:r w:rsidRPr="00DD7BD1">
        <w:rPr>
          <w:rFonts w:cs="Calibri"/>
          <w:color w:val="auto"/>
          <w:spacing w:val="-5"/>
          <w:w w:val="105"/>
          <w:szCs w:val="22"/>
        </w:rPr>
        <w:t xml:space="preserve"> </w:t>
      </w:r>
      <w:r w:rsidRPr="00DD7BD1">
        <w:rPr>
          <w:rFonts w:cs="Calibri"/>
          <w:color w:val="auto"/>
          <w:w w:val="105"/>
          <w:szCs w:val="22"/>
        </w:rPr>
        <w:t>protects</w:t>
      </w:r>
      <w:r w:rsidRPr="00DD7BD1">
        <w:rPr>
          <w:rFonts w:cs="Calibri"/>
          <w:color w:val="auto"/>
          <w:spacing w:val="-3"/>
          <w:w w:val="105"/>
          <w:szCs w:val="22"/>
        </w:rPr>
        <w:t xml:space="preserve"> </w:t>
      </w:r>
      <w:r w:rsidRPr="00DD7BD1">
        <w:rPr>
          <w:rFonts w:cs="Calibri"/>
          <w:color w:val="auto"/>
          <w:w w:val="105"/>
          <w:szCs w:val="22"/>
        </w:rPr>
        <w:t>employees’</w:t>
      </w:r>
      <w:r w:rsidRPr="00DD7BD1">
        <w:rPr>
          <w:rFonts w:cs="Calibri"/>
          <w:color w:val="auto"/>
          <w:spacing w:val="-3"/>
          <w:w w:val="105"/>
          <w:szCs w:val="22"/>
        </w:rPr>
        <w:t xml:space="preserve"> </w:t>
      </w:r>
      <w:r w:rsidRPr="00DD7BD1">
        <w:rPr>
          <w:rFonts w:cs="Calibri"/>
          <w:color w:val="auto"/>
          <w:w w:val="105"/>
          <w:szCs w:val="22"/>
        </w:rPr>
        <w:t>right</w:t>
      </w:r>
      <w:r w:rsidRPr="00DD7BD1">
        <w:rPr>
          <w:rFonts w:cs="Calibri"/>
          <w:color w:val="auto"/>
          <w:spacing w:val="-2"/>
          <w:w w:val="105"/>
          <w:szCs w:val="22"/>
        </w:rPr>
        <w:t xml:space="preserve"> </w:t>
      </w:r>
      <w:r w:rsidRPr="00DD7BD1">
        <w:rPr>
          <w:rFonts w:cs="Calibri"/>
          <w:color w:val="auto"/>
          <w:w w:val="105"/>
          <w:szCs w:val="22"/>
        </w:rPr>
        <w:t>to engage in “</w:t>
      </w:r>
      <w:r w:rsidRPr="00DD7BD1">
        <w:rPr>
          <w:rFonts w:cs="Calibri"/>
          <w:b/>
          <w:i/>
          <w:color w:val="auto"/>
          <w:w w:val="105"/>
          <w:szCs w:val="22"/>
          <w:u w:val="single"/>
        </w:rPr>
        <w:t>protected concerted activity</w:t>
      </w:r>
      <w:r w:rsidRPr="00DD7BD1">
        <w:rPr>
          <w:rFonts w:cs="Calibri"/>
          <w:color w:val="auto"/>
          <w:w w:val="105"/>
          <w:szCs w:val="22"/>
        </w:rPr>
        <w:t xml:space="preserve">,” meaning actions employees take together—or on behalf of their </w:t>
      </w:r>
      <w:r w:rsidRPr="00DD7BD1">
        <w:rPr>
          <w:rFonts w:cs="Calibri"/>
          <w:color w:val="auto"/>
          <w:szCs w:val="22"/>
        </w:rPr>
        <w:t>coworkers—</w:t>
      </w:r>
      <w:r w:rsidRPr="00DD7BD1">
        <w:rPr>
          <w:rFonts w:cs="Calibri"/>
          <w:b/>
          <w:color w:val="auto"/>
          <w:szCs w:val="22"/>
        </w:rPr>
        <w:t>to</w:t>
      </w:r>
      <w:r w:rsidRPr="00DD7BD1">
        <w:rPr>
          <w:rFonts w:cs="Calibri"/>
          <w:b/>
          <w:color w:val="auto"/>
          <w:spacing w:val="-8"/>
          <w:szCs w:val="22"/>
        </w:rPr>
        <w:t xml:space="preserve"> </w:t>
      </w:r>
      <w:r w:rsidRPr="00DD7BD1">
        <w:rPr>
          <w:rFonts w:cs="Calibri"/>
          <w:b/>
          <w:color w:val="auto"/>
          <w:szCs w:val="22"/>
        </w:rPr>
        <w:t>improve</w:t>
      </w:r>
      <w:r w:rsidRPr="00DD7BD1">
        <w:rPr>
          <w:rFonts w:cs="Calibri"/>
          <w:b/>
          <w:color w:val="auto"/>
          <w:spacing w:val="-11"/>
          <w:szCs w:val="22"/>
        </w:rPr>
        <w:t xml:space="preserve"> </w:t>
      </w:r>
      <w:r w:rsidRPr="00DD7BD1">
        <w:rPr>
          <w:rFonts w:cs="Calibri"/>
          <w:b/>
          <w:color w:val="auto"/>
          <w:szCs w:val="22"/>
        </w:rPr>
        <w:t>wages,</w:t>
      </w:r>
      <w:r w:rsidRPr="00DD7BD1">
        <w:rPr>
          <w:rFonts w:cs="Calibri"/>
          <w:b/>
          <w:color w:val="auto"/>
          <w:spacing w:val="-9"/>
          <w:szCs w:val="22"/>
        </w:rPr>
        <w:t xml:space="preserve"> </w:t>
      </w:r>
      <w:r w:rsidRPr="00DD7BD1">
        <w:rPr>
          <w:rFonts w:cs="Calibri"/>
          <w:b/>
          <w:color w:val="auto"/>
          <w:szCs w:val="22"/>
        </w:rPr>
        <w:t>hours,</w:t>
      </w:r>
      <w:r w:rsidRPr="00DD7BD1">
        <w:rPr>
          <w:rFonts w:cs="Calibri"/>
          <w:b/>
          <w:color w:val="auto"/>
          <w:spacing w:val="-7"/>
          <w:szCs w:val="22"/>
        </w:rPr>
        <w:t xml:space="preserve"> </w:t>
      </w:r>
      <w:r w:rsidRPr="00DD7BD1">
        <w:rPr>
          <w:rFonts w:cs="Calibri"/>
          <w:b/>
          <w:color w:val="auto"/>
          <w:szCs w:val="22"/>
        </w:rPr>
        <w:t>or</w:t>
      </w:r>
      <w:r w:rsidRPr="00DD7BD1">
        <w:rPr>
          <w:rFonts w:cs="Calibri"/>
          <w:b/>
          <w:color w:val="auto"/>
          <w:spacing w:val="-7"/>
          <w:szCs w:val="22"/>
        </w:rPr>
        <w:t xml:space="preserve"> </w:t>
      </w:r>
      <w:r w:rsidRPr="00DD7BD1">
        <w:rPr>
          <w:rFonts w:cs="Calibri"/>
          <w:b/>
          <w:color w:val="auto"/>
          <w:szCs w:val="22"/>
        </w:rPr>
        <w:t>other</w:t>
      </w:r>
      <w:r w:rsidRPr="00DD7BD1">
        <w:rPr>
          <w:rFonts w:cs="Calibri"/>
          <w:b/>
          <w:color w:val="auto"/>
          <w:spacing w:val="-7"/>
          <w:szCs w:val="22"/>
        </w:rPr>
        <w:t xml:space="preserve"> </w:t>
      </w:r>
      <w:r w:rsidRPr="00DD7BD1">
        <w:rPr>
          <w:rFonts w:cs="Calibri"/>
          <w:b/>
          <w:color w:val="auto"/>
          <w:szCs w:val="22"/>
        </w:rPr>
        <w:t>terms</w:t>
      </w:r>
      <w:r w:rsidRPr="00DD7BD1">
        <w:rPr>
          <w:rFonts w:cs="Calibri"/>
          <w:b/>
          <w:color w:val="auto"/>
          <w:spacing w:val="-8"/>
          <w:szCs w:val="22"/>
        </w:rPr>
        <w:t xml:space="preserve"> </w:t>
      </w:r>
      <w:r w:rsidRPr="00DD7BD1">
        <w:rPr>
          <w:rFonts w:cs="Calibri"/>
          <w:b/>
          <w:color w:val="auto"/>
          <w:szCs w:val="22"/>
        </w:rPr>
        <w:t>and</w:t>
      </w:r>
      <w:r w:rsidRPr="00DD7BD1">
        <w:rPr>
          <w:rFonts w:cs="Calibri"/>
          <w:b/>
          <w:color w:val="auto"/>
          <w:spacing w:val="-9"/>
          <w:szCs w:val="22"/>
        </w:rPr>
        <w:t xml:space="preserve"> </w:t>
      </w:r>
      <w:r w:rsidRPr="00DD7BD1">
        <w:rPr>
          <w:rFonts w:cs="Calibri"/>
          <w:b/>
          <w:color w:val="auto"/>
          <w:szCs w:val="22"/>
        </w:rPr>
        <w:t>conditions</w:t>
      </w:r>
      <w:r w:rsidRPr="00DD7BD1">
        <w:rPr>
          <w:rFonts w:cs="Calibri"/>
          <w:b/>
          <w:color w:val="auto"/>
          <w:spacing w:val="-8"/>
          <w:szCs w:val="22"/>
        </w:rPr>
        <w:t xml:space="preserve"> </w:t>
      </w:r>
      <w:r w:rsidRPr="00DD7BD1">
        <w:rPr>
          <w:rFonts w:cs="Calibri"/>
          <w:b/>
          <w:color w:val="auto"/>
          <w:szCs w:val="22"/>
        </w:rPr>
        <w:t>of</w:t>
      </w:r>
      <w:r w:rsidRPr="00DD7BD1">
        <w:rPr>
          <w:rFonts w:cs="Calibri"/>
          <w:b/>
          <w:color w:val="auto"/>
          <w:spacing w:val="-8"/>
          <w:szCs w:val="22"/>
        </w:rPr>
        <w:t xml:space="preserve"> </w:t>
      </w:r>
      <w:r w:rsidRPr="00DD7BD1">
        <w:rPr>
          <w:rFonts w:cs="Calibri"/>
          <w:b/>
          <w:color w:val="auto"/>
          <w:szCs w:val="22"/>
        </w:rPr>
        <w:t>employment</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9"/>
          <w:szCs w:val="22"/>
        </w:rPr>
        <w:t xml:space="preserve"> </w:t>
      </w:r>
      <w:r w:rsidRPr="00DD7BD1">
        <w:rPr>
          <w:rFonts w:cs="Calibri"/>
          <w:color w:val="auto"/>
          <w:szCs w:val="22"/>
        </w:rPr>
        <w:t>protection</w:t>
      </w:r>
      <w:r w:rsidRPr="00DD7BD1">
        <w:rPr>
          <w:rFonts w:cs="Calibri"/>
          <w:color w:val="auto"/>
          <w:spacing w:val="-7"/>
          <w:szCs w:val="22"/>
        </w:rPr>
        <w:t xml:space="preserve"> </w:t>
      </w:r>
      <w:r w:rsidRPr="00DD7BD1">
        <w:rPr>
          <w:rFonts w:cs="Calibri"/>
          <w:color w:val="auto"/>
          <w:szCs w:val="22"/>
        </w:rPr>
        <w:t xml:space="preserve">covers </w:t>
      </w:r>
      <w:r w:rsidRPr="00DD7BD1">
        <w:rPr>
          <w:rFonts w:cs="Calibri"/>
          <w:color w:val="auto"/>
          <w:w w:val="105"/>
          <w:szCs w:val="22"/>
        </w:rPr>
        <w:t>employees' discussions about these</w:t>
      </w:r>
      <w:r w:rsidRPr="00DD7BD1">
        <w:rPr>
          <w:rFonts w:cs="Calibri"/>
          <w:color w:val="auto"/>
          <w:spacing w:val="23"/>
          <w:w w:val="105"/>
          <w:szCs w:val="22"/>
        </w:rPr>
        <w:t xml:space="preserve"> </w:t>
      </w:r>
      <w:r w:rsidRPr="00DD7BD1">
        <w:rPr>
          <w:rFonts w:cs="Calibri"/>
          <w:color w:val="auto"/>
          <w:w w:val="105"/>
          <w:szCs w:val="22"/>
        </w:rPr>
        <w:t>topics, whether they occur in person or online.</w:t>
      </w:r>
      <w:r w:rsidRPr="00DD7BD1">
        <w:rPr>
          <w:rFonts w:cs="Calibri"/>
          <w:color w:val="auto"/>
          <w:spacing w:val="80"/>
          <w:w w:val="105"/>
          <w:szCs w:val="22"/>
        </w:rPr>
        <w:t xml:space="preserve"> </w:t>
      </w:r>
      <w:r w:rsidRPr="00DD7BD1">
        <w:rPr>
          <w:rFonts w:cs="Calibri"/>
          <w:color w:val="auto"/>
          <w:w w:val="105"/>
          <w:szCs w:val="22"/>
        </w:rPr>
        <w:t>Tweets, posts, and</w:t>
      </w:r>
      <w:r w:rsidRPr="00DD7BD1">
        <w:rPr>
          <w:rFonts w:cs="Calibri"/>
          <w:color w:val="auto"/>
          <w:spacing w:val="23"/>
          <w:w w:val="105"/>
          <w:szCs w:val="22"/>
        </w:rPr>
        <w:t xml:space="preserve"> </w:t>
      </w:r>
      <w:r w:rsidRPr="00DD7BD1">
        <w:rPr>
          <w:rFonts w:cs="Calibri"/>
          <w:color w:val="auto"/>
          <w:w w:val="105"/>
          <w:szCs w:val="22"/>
        </w:rPr>
        <w:t>workplace</w:t>
      </w:r>
      <w:r w:rsidRPr="00DD7BD1">
        <w:rPr>
          <w:rFonts w:cs="Calibri"/>
          <w:color w:val="auto"/>
          <w:spacing w:val="40"/>
          <w:w w:val="105"/>
          <w:szCs w:val="22"/>
        </w:rPr>
        <w:t xml:space="preserve"> </w:t>
      </w:r>
      <w:r w:rsidRPr="00DD7BD1">
        <w:rPr>
          <w:rFonts w:cs="Calibri"/>
          <w:color w:val="auto"/>
          <w:w w:val="105"/>
          <w:szCs w:val="22"/>
        </w:rPr>
        <w:t>conversations tied</w:t>
      </w:r>
      <w:r w:rsidRPr="00DD7BD1">
        <w:rPr>
          <w:rFonts w:cs="Calibri"/>
          <w:color w:val="auto"/>
          <w:spacing w:val="20"/>
          <w:w w:val="105"/>
          <w:szCs w:val="22"/>
        </w:rPr>
        <w:t xml:space="preserve"> </w:t>
      </w:r>
      <w:r w:rsidRPr="00DD7BD1">
        <w:rPr>
          <w:rFonts w:cs="Calibri"/>
          <w:color w:val="auto"/>
          <w:w w:val="105"/>
          <w:szCs w:val="22"/>
        </w:rPr>
        <w:t>to</w:t>
      </w:r>
      <w:r w:rsidRPr="00DD7BD1">
        <w:rPr>
          <w:rFonts w:cs="Calibri"/>
          <w:color w:val="auto"/>
          <w:spacing w:val="20"/>
          <w:w w:val="105"/>
          <w:szCs w:val="22"/>
        </w:rPr>
        <w:t xml:space="preserve"> </w:t>
      </w:r>
      <w:r w:rsidRPr="00DD7BD1">
        <w:rPr>
          <w:rFonts w:cs="Calibri"/>
          <w:color w:val="auto"/>
          <w:w w:val="105"/>
          <w:szCs w:val="22"/>
        </w:rPr>
        <w:t>these</w:t>
      </w:r>
      <w:r w:rsidRPr="00DD7BD1">
        <w:rPr>
          <w:rFonts w:cs="Calibri"/>
          <w:color w:val="auto"/>
          <w:spacing w:val="20"/>
          <w:w w:val="105"/>
          <w:szCs w:val="22"/>
        </w:rPr>
        <w:t xml:space="preserve"> </w:t>
      </w:r>
      <w:r w:rsidRPr="00DD7BD1">
        <w:rPr>
          <w:rFonts w:cs="Calibri"/>
          <w:color w:val="auto"/>
          <w:w w:val="105"/>
          <w:szCs w:val="22"/>
        </w:rPr>
        <w:t>topics often</w:t>
      </w:r>
      <w:r w:rsidRPr="00DD7BD1">
        <w:rPr>
          <w:rFonts w:cs="Calibri"/>
          <w:color w:val="auto"/>
          <w:spacing w:val="20"/>
          <w:w w:val="105"/>
          <w:szCs w:val="22"/>
        </w:rPr>
        <w:t xml:space="preserve"> </w:t>
      </w:r>
      <w:r w:rsidRPr="00DD7BD1">
        <w:rPr>
          <w:rFonts w:cs="Calibri"/>
          <w:color w:val="auto"/>
          <w:w w:val="105"/>
          <w:szCs w:val="22"/>
        </w:rPr>
        <w:t>qualify</w:t>
      </w:r>
      <w:r w:rsidRPr="00DD7BD1">
        <w:rPr>
          <w:rFonts w:cs="Calibri"/>
          <w:color w:val="auto"/>
          <w:spacing w:val="20"/>
          <w:w w:val="105"/>
          <w:szCs w:val="22"/>
        </w:rPr>
        <w:t xml:space="preserve"> </w:t>
      </w:r>
      <w:r w:rsidRPr="00DD7BD1">
        <w:rPr>
          <w:rFonts w:cs="Calibri"/>
          <w:color w:val="auto"/>
          <w:w w:val="105"/>
          <w:szCs w:val="22"/>
        </w:rPr>
        <w:t>for protection,</w:t>
      </w:r>
      <w:r w:rsidRPr="00DD7BD1">
        <w:rPr>
          <w:rFonts w:cs="Calibri"/>
          <w:color w:val="auto"/>
          <w:spacing w:val="20"/>
          <w:w w:val="105"/>
          <w:szCs w:val="22"/>
        </w:rPr>
        <w:t xml:space="preserve"> </w:t>
      </w:r>
      <w:r w:rsidRPr="00DD7BD1">
        <w:rPr>
          <w:rFonts w:cs="Calibri"/>
          <w:color w:val="auto"/>
          <w:w w:val="105"/>
          <w:szCs w:val="22"/>
        </w:rPr>
        <w:t>even</w:t>
      </w:r>
      <w:r w:rsidRPr="00DD7BD1">
        <w:rPr>
          <w:rFonts w:cs="Calibri"/>
          <w:color w:val="auto"/>
          <w:spacing w:val="20"/>
          <w:w w:val="105"/>
          <w:szCs w:val="22"/>
        </w:rPr>
        <w:t xml:space="preserve"> </w:t>
      </w:r>
      <w:r w:rsidRPr="00DD7BD1">
        <w:rPr>
          <w:rFonts w:cs="Calibri"/>
          <w:color w:val="auto"/>
          <w:w w:val="105"/>
          <w:szCs w:val="22"/>
        </w:rPr>
        <w:t>if they are critical of management</w:t>
      </w:r>
      <w:r w:rsidRPr="00DD7BD1">
        <w:rPr>
          <w:rFonts w:cs="Calibri"/>
          <w:color w:val="auto"/>
          <w:spacing w:val="20"/>
          <w:w w:val="105"/>
          <w:szCs w:val="22"/>
        </w:rPr>
        <w:t xml:space="preserve"> </w:t>
      </w:r>
      <w:r w:rsidRPr="00DD7BD1">
        <w:rPr>
          <w:rFonts w:cs="Calibri"/>
          <w:color w:val="auto"/>
          <w:w w:val="105"/>
          <w:szCs w:val="22"/>
        </w:rPr>
        <w:t>or politically charged.</w:t>
      </w:r>
      <w:r w:rsidRPr="00DD7BD1">
        <w:rPr>
          <w:rFonts w:cs="Calibri"/>
          <w:color w:val="auto"/>
          <w:spacing w:val="80"/>
          <w:w w:val="150"/>
          <w:szCs w:val="22"/>
        </w:rPr>
        <w:t xml:space="preserve"> </w:t>
      </w:r>
      <w:r w:rsidRPr="00DD7BD1">
        <w:rPr>
          <w:rFonts w:cs="Calibri"/>
          <w:color w:val="auto"/>
          <w:w w:val="105"/>
          <w:szCs w:val="22"/>
        </w:rPr>
        <w:t>Overreaching</w:t>
      </w:r>
      <w:r w:rsidRPr="00DD7BD1">
        <w:rPr>
          <w:rFonts w:cs="Calibri"/>
          <w:color w:val="auto"/>
          <w:spacing w:val="36"/>
          <w:w w:val="105"/>
          <w:szCs w:val="22"/>
        </w:rPr>
        <w:t xml:space="preserve"> </w:t>
      </w:r>
      <w:r w:rsidRPr="00DD7BD1">
        <w:rPr>
          <w:rFonts w:cs="Calibri"/>
          <w:color w:val="auto"/>
          <w:w w:val="105"/>
          <w:szCs w:val="22"/>
        </w:rPr>
        <w:t>employer</w:t>
      </w:r>
      <w:r w:rsidRPr="00DD7BD1">
        <w:rPr>
          <w:rFonts w:cs="Calibri"/>
          <w:color w:val="auto"/>
          <w:spacing w:val="35"/>
          <w:w w:val="105"/>
          <w:szCs w:val="22"/>
        </w:rPr>
        <w:t xml:space="preserve"> </w:t>
      </w:r>
      <w:r w:rsidRPr="00DD7BD1">
        <w:rPr>
          <w:rFonts w:cs="Calibri"/>
          <w:color w:val="auto"/>
          <w:w w:val="105"/>
          <w:szCs w:val="22"/>
        </w:rPr>
        <w:t>policies</w:t>
      </w:r>
      <w:r w:rsidRPr="00DD7BD1">
        <w:rPr>
          <w:rFonts w:cs="Calibri"/>
          <w:color w:val="auto"/>
          <w:spacing w:val="38"/>
          <w:w w:val="105"/>
          <w:szCs w:val="22"/>
        </w:rPr>
        <w:t xml:space="preserve"> </w:t>
      </w:r>
      <w:r w:rsidRPr="00DD7BD1">
        <w:rPr>
          <w:rFonts w:cs="Calibri"/>
          <w:color w:val="auto"/>
          <w:w w:val="105"/>
          <w:szCs w:val="22"/>
        </w:rPr>
        <w:t>that</w:t>
      </w:r>
      <w:r w:rsidRPr="00DD7BD1">
        <w:rPr>
          <w:rFonts w:cs="Calibri"/>
          <w:color w:val="auto"/>
          <w:spacing w:val="35"/>
          <w:w w:val="105"/>
          <w:szCs w:val="22"/>
        </w:rPr>
        <w:t xml:space="preserve"> </w:t>
      </w:r>
      <w:r w:rsidRPr="00DD7BD1">
        <w:rPr>
          <w:rFonts w:cs="Calibri"/>
          <w:color w:val="auto"/>
          <w:w w:val="105"/>
          <w:szCs w:val="22"/>
        </w:rPr>
        <w:t>chill</w:t>
      </w:r>
      <w:r w:rsidRPr="00DD7BD1">
        <w:rPr>
          <w:rFonts w:cs="Calibri"/>
          <w:color w:val="auto"/>
          <w:spacing w:val="33"/>
          <w:w w:val="105"/>
          <w:szCs w:val="22"/>
        </w:rPr>
        <w:t xml:space="preserve"> </w:t>
      </w:r>
      <w:r w:rsidRPr="00DD7BD1">
        <w:rPr>
          <w:rFonts w:cs="Calibri"/>
          <w:color w:val="auto"/>
          <w:w w:val="105"/>
          <w:szCs w:val="22"/>
        </w:rPr>
        <w:t>such</w:t>
      </w:r>
      <w:r w:rsidRPr="00DD7BD1">
        <w:rPr>
          <w:rFonts w:cs="Calibri"/>
          <w:color w:val="auto"/>
          <w:spacing w:val="36"/>
          <w:w w:val="105"/>
          <w:szCs w:val="22"/>
        </w:rPr>
        <w:t xml:space="preserve"> </w:t>
      </w:r>
      <w:r w:rsidRPr="00DD7BD1">
        <w:rPr>
          <w:rFonts w:cs="Calibri"/>
          <w:color w:val="auto"/>
          <w:w w:val="105"/>
          <w:szCs w:val="22"/>
        </w:rPr>
        <w:t>activity</w:t>
      </w:r>
      <w:r w:rsidRPr="00DD7BD1">
        <w:rPr>
          <w:rFonts w:cs="Calibri"/>
          <w:color w:val="auto"/>
          <w:spacing w:val="36"/>
          <w:w w:val="105"/>
          <w:szCs w:val="22"/>
        </w:rPr>
        <w:t xml:space="preserve"> </w:t>
      </w:r>
      <w:r w:rsidRPr="00DD7BD1">
        <w:rPr>
          <w:rFonts w:cs="Calibri"/>
          <w:color w:val="auto"/>
          <w:w w:val="105"/>
          <w:szCs w:val="22"/>
        </w:rPr>
        <w:t>can</w:t>
      </w:r>
      <w:r w:rsidRPr="00DD7BD1">
        <w:rPr>
          <w:rFonts w:cs="Calibri"/>
          <w:color w:val="auto"/>
          <w:spacing w:val="31"/>
          <w:w w:val="105"/>
          <w:szCs w:val="22"/>
        </w:rPr>
        <w:t xml:space="preserve"> </w:t>
      </w:r>
      <w:r w:rsidRPr="00DD7BD1">
        <w:rPr>
          <w:rFonts w:cs="Calibri"/>
          <w:color w:val="auto"/>
          <w:w w:val="105"/>
          <w:szCs w:val="22"/>
        </w:rPr>
        <w:t>lead</w:t>
      </w:r>
      <w:r w:rsidRPr="00DD7BD1">
        <w:rPr>
          <w:rFonts w:cs="Calibri"/>
          <w:color w:val="auto"/>
          <w:spacing w:val="31"/>
          <w:w w:val="105"/>
          <w:szCs w:val="22"/>
        </w:rPr>
        <w:t xml:space="preserve"> </w:t>
      </w:r>
      <w:r w:rsidRPr="00DD7BD1">
        <w:rPr>
          <w:rFonts w:cs="Calibri"/>
          <w:color w:val="auto"/>
          <w:w w:val="105"/>
          <w:szCs w:val="22"/>
        </w:rPr>
        <w:t>to</w:t>
      </w:r>
      <w:r w:rsidRPr="00DD7BD1">
        <w:rPr>
          <w:rFonts w:cs="Calibri"/>
          <w:color w:val="auto"/>
          <w:spacing w:val="36"/>
          <w:w w:val="105"/>
          <w:szCs w:val="22"/>
        </w:rPr>
        <w:t xml:space="preserve"> </w:t>
      </w:r>
      <w:r w:rsidRPr="00DD7BD1">
        <w:rPr>
          <w:rFonts w:cs="Calibri"/>
          <w:color w:val="auto"/>
          <w:w w:val="105"/>
          <w:szCs w:val="22"/>
        </w:rPr>
        <w:t>unfair</w:t>
      </w:r>
      <w:r w:rsidRPr="00DD7BD1">
        <w:rPr>
          <w:rFonts w:cs="Calibri"/>
          <w:color w:val="auto"/>
          <w:spacing w:val="35"/>
          <w:w w:val="105"/>
          <w:szCs w:val="22"/>
        </w:rPr>
        <w:t xml:space="preserve"> </w:t>
      </w:r>
      <w:r w:rsidRPr="00DD7BD1">
        <w:rPr>
          <w:rFonts w:cs="Calibri"/>
          <w:color w:val="auto"/>
          <w:w w:val="105"/>
          <w:szCs w:val="22"/>
        </w:rPr>
        <w:t>labor</w:t>
      </w:r>
      <w:r w:rsidRPr="00DD7BD1">
        <w:rPr>
          <w:rFonts w:cs="Calibri"/>
          <w:color w:val="auto"/>
          <w:spacing w:val="31"/>
          <w:w w:val="105"/>
          <w:szCs w:val="22"/>
        </w:rPr>
        <w:t xml:space="preserve"> </w:t>
      </w:r>
      <w:r w:rsidRPr="00DD7BD1">
        <w:rPr>
          <w:rFonts w:cs="Calibri"/>
          <w:color w:val="auto"/>
          <w:w w:val="105"/>
          <w:szCs w:val="22"/>
        </w:rPr>
        <w:t>practice</w:t>
      </w:r>
      <w:r w:rsidRPr="00DD7BD1">
        <w:rPr>
          <w:rFonts w:cs="Calibri"/>
          <w:color w:val="auto"/>
          <w:spacing w:val="36"/>
          <w:w w:val="105"/>
          <w:szCs w:val="22"/>
        </w:rPr>
        <w:t xml:space="preserve"> </w:t>
      </w:r>
      <w:r w:rsidRPr="00DD7BD1">
        <w:rPr>
          <w:rFonts w:cs="Calibri"/>
          <w:color w:val="auto"/>
          <w:w w:val="105"/>
          <w:szCs w:val="22"/>
        </w:rPr>
        <w:t xml:space="preserve">charges. </w:t>
      </w:r>
      <w:r w:rsidRPr="00DD7BD1">
        <w:rPr>
          <w:rFonts w:cs="Calibri"/>
          <w:color w:val="auto"/>
          <w:szCs w:val="22"/>
        </w:rPr>
        <w:t>The</w:t>
      </w:r>
      <w:r w:rsidRPr="00DD7BD1">
        <w:rPr>
          <w:rFonts w:cs="Calibri"/>
          <w:color w:val="auto"/>
          <w:spacing w:val="28"/>
          <w:szCs w:val="22"/>
        </w:rPr>
        <w:t xml:space="preserve"> </w:t>
      </w:r>
      <w:r w:rsidRPr="00DD7BD1">
        <w:rPr>
          <w:rFonts w:cs="Calibri"/>
          <w:color w:val="auto"/>
          <w:szCs w:val="22"/>
        </w:rPr>
        <w:t>NLRA</w:t>
      </w:r>
      <w:r w:rsidRPr="00DD7BD1">
        <w:rPr>
          <w:rFonts w:cs="Calibri"/>
          <w:color w:val="auto"/>
          <w:spacing w:val="26"/>
          <w:szCs w:val="22"/>
        </w:rPr>
        <w:t xml:space="preserve"> </w:t>
      </w:r>
      <w:r w:rsidRPr="00DD7BD1">
        <w:rPr>
          <w:rFonts w:cs="Calibri"/>
          <w:color w:val="auto"/>
          <w:szCs w:val="22"/>
        </w:rPr>
        <w:t>does</w:t>
      </w:r>
      <w:r w:rsidRPr="00DD7BD1">
        <w:rPr>
          <w:rFonts w:cs="Calibri"/>
          <w:color w:val="auto"/>
          <w:spacing w:val="32"/>
          <w:szCs w:val="22"/>
        </w:rPr>
        <w:t xml:space="preserve"> </w:t>
      </w:r>
      <w:r w:rsidRPr="00DD7BD1">
        <w:rPr>
          <w:rFonts w:cs="Calibri"/>
          <w:b/>
          <w:color w:val="auto"/>
          <w:szCs w:val="22"/>
        </w:rPr>
        <w:t>not</w:t>
      </w:r>
      <w:r w:rsidRPr="00DD7BD1">
        <w:rPr>
          <w:rFonts w:cs="Calibri"/>
          <w:b/>
          <w:color w:val="auto"/>
          <w:spacing w:val="27"/>
          <w:szCs w:val="22"/>
        </w:rPr>
        <w:t xml:space="preserve"> </w:t>
      </w:r>
      <w:r w:rsidRPr="00DD7BD1">
        <w:rPr>
          <w:rFonts w:cs="Calibri"/>
          <w:color w:val="auto"/>
          <w:szCs w:val="22"/>
        </w:rPr>
        <w:t>protect</w:t>
      </w:r>
      <w:r w:rsidRPr="00DD7BD1">
        <w:rPr>
          <w:rFonts w:cs="Calibri"/>
          <w:color w:val="auto"/>
          <w:spacing w:val="30"/>
          <w:szCs w:val="22"/>
        </w:rPr>
        <w:t xml:space="preserve"> </w:t>
      </w:r>
      <w:r w:rsidRPr="00DD7BD1">
        <w:rPr>
          <w:rFonts w:cs="Calibri"/>
          <w:color w:val="auto"/>
          <w:szCs w:val="22"/>
        </w:rPr>
        <w:t>federal,</w:t>
      </w:r>
      <w:r w:rsidRPr="00DD7BD1">
        <w:rPr>
          <w:rFonts w:cs="Calibri"/>
          <w:color w:val="auto"/>
          <w:spacing w:val="30"/>
          <w:szCs w:val="22"/>
        </w:rPr>
        <w:t xml:space="preserve"> </w:t>
      </w:r>
      <w:r w:rsidRPr="00DD7BD1">
        <w:rPr>
          <w:rFonts w:cs="Calibri"/>
          <w:color w:val="auto"/>
          <w:szCs w:val="22"/>
        </w:rPr>
        <w:t>state,</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local</w:t>
      </w:r>
      <w:r w:rsidRPr="00DD7BD1">
        <w:rPr>
          <w:rFonts w:cs="Calibri"/>
          <w:color w:val="auto"/>
          <w:spacing w:val="28"/>
          <w:szCs w:val="22"/>
        </w:rPr>
        <w:t xml:space="preserve"> </w:t>
      </w:r>
      <w:r w:rsidRPr="00DD7BD1">
        <w:rPr>
          <w:rFonts w:cs="Calibri"/>
          <w:color w:val="auto"/>
          <w:szCs w:val="22"/>
        </w:rPr>
        <w:t>government</w:t>
      </w:r>
      <w:r w:rsidRPr="00DD7BD1">
        <w:rPr>
          <w:rFonts w:cs="Calibri"/>
          <w:color w:val="auto"/>
          <w:spacing w:val="32"/>
          <w:szCs w:val="22"/>
        </w:rPr>
        <w:t xml:space="preserve"> </w:t>
      </w:r>
      <w:r w:rsidRPr="00DD7BD1">
        <w:rPr>
          <w:rFonts w:cs="Calibri"/>
          <w:color w:val="auto"/>
          <w:spacing w:val="-2"/>
          <w:szCs w:val="22"/>
        </w:rPr>
        <w:t>workers.</w:t>
      </w:r>
    </w:p>
    <w:p w14:paraId="0CFBBB6D" w14:textId="77777777" w:rsidR="00E43496" w:rsidRPr="00DD7BD1" w:rsidRDefault="00E43496" w:rsidP="00E43496">
      <w:pPr>
        <w:pStyle w:val="Heading4"/>
        <w:spacing w:before="0" w:line="240" w:lineRule="auto"/>
        <w:ind w:right="-274"/>
        <w:rPr>
          <w:rFonts w:ascii="Calibri" w:hAnsi="Calibri" w:cs="Calibri"/>
          <w:color w:val="auto"/>
          <w:w w:val="90"/>
          <w:sz w:val="16"/>
          <w:szCs w:val="16"/>
        </w:rPr>
      </w:pPr>
    </w:p>
    <w:p w14:paraId="3051F62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First Amendment Protections</w:t>
      </w:r>
    </w:p>
    <w:p w14:paraId="535C05F0"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Public-sector</w:t>
      </w:r>
      <w:r w:rsidRPr="00DD7BD1">
        <w:rPr>
          <w:rFonts w:cs="Calibri"/>
          <w:b/>
          <w:color w:val="auto"/>
          <w:spacing w:val="40"/>
          <w:szCs w:val="22"/>
        </w:rPr>
        <w:t xml:space="preserve"> </w:t>
      </w:r>
      <w:r w:rsidRPr="00DD7BD1">
        <w:rPr>
          <w:rFonts w:cs="Calibri"/>
          <w:b/>
          <w:color w:val="auto"/>
          <w:szCs w:val="22"/>
        </w:rPr>
        <w:t>employers</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navigate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First</w:t>
      </w:r>
      <w:r w:rsidRPr="00DD7BD1">
        <w:rPr>
          <w:rFonts w:cs="Calibri"/>
          <w:color w:val="auto"/>
          <w:spacing w:val="40"/>
          <w:szCs w:val="22"/>
        </w:rPr>
        <w:t xml:space="preserve"> </w:t>
      </w:r>
      <w:r w:rsidRPr="00DD7BD1">
        <w:rPr>
          <w:rFonts w:cs="Calibri"/>
          <w:color w:val="auto"/>
          <w:szCs w:val="22"/>
        </w:rPr>
        <w:t>Amendment</w:t>
      </w:r>
      <w:r w:rsidRPr="00DD7BD1">
        <w:rPr>
          <w:rFonts w:cs="Calibri"/>
          <w:color w:val="auto"/>
          <w:spacing w:val="40"/>
          <w:szCs w:val="22"/>
        </w:rPr>
        <w:t xml:space="preserve"> </w:t>
      </w:r>
      <w:r w:rsidRPr="00DD7BD1">
        <w:rPr>
          <w:rFonts w:cs="Calibri"/>
          <w:color w:val="auto"/>
          <w:szCs w:val="22"/>
        </w:rPr>
        <w:t>before</w:t>
      </w:r>
      <w:r w:rsidRPr="00DD7BD1">
        <w:rPr>
          <w:rFonts w:cs="Calibri"/>
          <w:color w:val="auto"/>
          <w:spacing w:val="40"/>
          <w:szCs w:val="22"/>
        </w:rPr>
        <w:t xml:space="preserve"> </w:t>
      </w:r>
      <w:r w:rsidRPr="00DD7BD1">
        <w:rPr>
          <w:rFonts w:cs="Calibri"/>
          <w:color w:val="auto"/>
          <w:szCs w:val="22"/>
        </w:rPr>
        <w:t>taking</w:t>
      </w:r>
      <w:r w:rsidRPr="00DD7BD1">
        <w:rPr>
          <w:rFonts w:cs="Calibri"/>
          <w:color w:val="auto"/>
          <w:spacing w:val="40"/>
          <w:szCs w:val="22"/>
        </w:rPr>
        <w:t xml:space="preserve"> </w:t>
      </w:r>
      <w:r w:rsidRPr="00DD7BD1">
        <w:rPr>
          <w:rFonts w:cs="Calibri"/>
          <w:color w:val="auto"/>
          <w:szCs w:val="22"/>
        </w:rPr>
        <w:t>action</w:t>
      </w:r>
      <w:r w:rsidRPr="00DD7BD1">
        <w:rPr>
          <w:rFonts w:cs="Calibri"/>
          <w:color w:val="auto"/>
          <w:spacing w:val="40"/>
          <w:szCs w:val="22"/>
        </w:rPr>
        <w:t xml:space="preserve"> </w:t>
      </w:r>
      <w:r w:rsidRPr="00DD7BD1">
        <w:rPr>
          <w:rFonts w:cs="Calibri"/>
          <w:color w:val="auto"/>
          <w:szCs w:val="22"/>
        </w:rPr>
        <w:t>based</w:t>
      </w:r>
      <w:r w:rsidRPr="00DD7BD1">
        <w:rPr>
          <w:rFonts w:cs="Calibri"/>
          <w:color w:val="auto"/>
          <w:spacing w:val="40"/>
          <w:szCs w:val="22"/>
        </w:rPr>
        <w:t xml:space="preserve"> </w:t>
      </w:r>
      <w:r w:rsidRPr="00DD7BD1">
        <w:rPr>
          <w:rFonts w:cs="Calibri"/>
          <w:color w:val="auto"/>
          <w:szCs w:val="22"/>
        </w:rPr>
        <w:t>on</w:t>
      </w:r>
      <w:r w:rsidRPr="00DD7BD1">
        <w:rPr>
          <w:rFonts w:cs="Calibri"/>
          <w:color w:val="auto"/>
          <w:spacing w:val="40"/>
          <w:szCs w:val="22"/>
        </w:rPr>
        <w:t xml:space="preserve"> </w:t>
      </w:r>
      <w:r w:rsidRPr="00DD7BD1">
        <w:rPr>
          <w:rFonts w:cs="Calibri"/>
          <w:color w:val="auto"/>
          <w:szCs w:val="22"/>
        </w:rPr>
        <w:t xml:space="preserve">their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controversial</w:t>
      </w:r>
      <w:r w:rsidRPr="00DD7BD1">
        <w:rPr>
          <w:rFonts w:cs="Calibri"/>
          <w:color w:val="auto"/>
          <w:spacing w:val="-15"/>
          <w:w w:val="110"/>
          <w:szCs w:val="22"/>
        </w:rPr>
        <w:t xml:space="preserve"> </w:t>
      </w:r>
      <w:r w:rsidRPr="00DD7BD1">
        <w:rPr>
          <w:rFonts w:cs="Calibri"/>
          <w:color w:val="auto"/>
          <w:w w:val="110"/>
          <w:szCs w:val="22"/>
        </w:rPr>
        <w:t>political</w:t>
      </w:r>
      <w:r w:rsidRPr="00DD7BD1">
        <w:rPr>
          <w:rFonts w:cs="Calibri"/>
          <w:color w:val="auto"/>
          <w:spacing w:val="-15"/>
          <w:w w:val="110"/>
          <w:szCs w:val="22"/>
        </w:rPr>
        <w:t xml:space="preserve"> </w:t>
      </w:r>
      <w:r w:rsidRPr="00DD7BD1">
        <w:rPr>
          <w:rFonts w:cs="Calibri"/>
          <w:color w:val="auto"/>
          <w:w w:val="110"/>
          <w:szCs w:val="22"/>
        </w:rPr>
        <w:t>opinions.</w:t>
      </w:r>
      <w:r w:rsidRPr="00DD7BD1">
        <w:rPr>
          <w:rFonts w:cs="Calibri"/>
          <w:color w:val="auto"/>
          <w:spacing w:val="40"/>
          <w:w w:val="110"/>
          <w:szCs w:val="22"/>
        </w:rPr>
        <w:t xml:space="preserve"> </w:t>
      </w:r>
      <w:r w:rsidRPr="00DD7BD1">
        <w:rPr>
          <w:rFonts w:cs="Calibri"/>
          <w:color w:val="auto"/>
          <w:w w:val="110"/>
          <w:szCs w:val="22"/>
        </w:rPr>
        <w:t>Employee</w:t>
      </w:r>
      <w:r w:rsidRPr="00DD7BD1">
        <w:rPr>
          <w:rFonts w:cs="Calibri"/>
          <w:color w:val="auto"/>
          <w:spacing w:val="-15"/>
          <w:w w:val="110"/>
          <w:szCs w:val="22"/>
        </w:rPr>
        <w:t xml:space="preserve"> </w:t>
      </w:r>
      <w:r w:rsidRPr="00DD7BD1">
        <w:rPr>
          <w:rFonts w:cs="Calibri"/>
          <w:color w:val="auto"/>
          <w:w w:val="110"/>
          <w:szCs w:val="22"/>
        </w:rPr>
        <w:t>speech</w:t>
      </w:r>
      <w:r w:rsidRPr="00DD7BD1">
        <w:rPr>
          <w:rFonts w:cs="Calibri"/>
          <w:color w:val="auto"/>
          <w:spacing w:val="-15"/>
          <w:w w:val="110"/>
          <w:szCs w:val="22"/>
        </w:rPr>
        <w:t xml:space="preserve"> </w:t>
      </w:r>
      <w:r w:rsidRPr="00DD7BD1">
        <w:rPr>
          <w:rFonts w:cs="Calibri"/>
          <w:color w:val="auto"/>
          <w:w w:val="110"/>
          <w:szCs w:val="22"/>
        </w:rPr>
        <w:t>may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First</w:t>
      </w:r>
      <w:r w:rsidRPr="00DD7BD1">
        <w:rPr>
          <w:rFonts w:cs="Calibri"/>
          <w:color w:val="auto"/>
          <w:spacing w:val="-14"/>
          <w:w w:val="110"/>
          <w:szCs w:val="22"/>
        </w:rPr>
        <w:t xml:space="preserve"> </w:t>
      </w:r>
      <w:r w:rsidRPr="00DD7BD1">
        <w:rPr>
          <w:rFonts w:cs="Calibri"/>
          <w:color w:val="auto"/>
          <w:w w:val="110"/>
          <w:szCs w:val="22"/>
        </w:rPr>
        <w:t>Amendment</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3"/>
          <w:w w:val="110"/>
          <w:szCs w:val="22"/>
        </w:rPr>
        <w:t xml:space="preserve"> </w:t>
      </w:r>
      <w:r w:rsidRPr="00DD7BD1">
        <w:rPr>
          <w:rFonts w:cs="Calibri"/>
          <w:color w:val="auto"/>
          <w:w w:val="110"/>
          <w:szCs w:val="22"/>
        </w:rPr>
        <w:t>the employee's</w:t>
      </w:r>
      <w:r w:rsidRPr="00DD7BD1">
        <w:rPr>
          <w:rFonts w:cs="Calibri"/>
          <w:color w:val="auto"/>
          <w:spacing w:val="-8"/>
          <w:w w:val="110"/>
          <w:szCs w:val="22"/>
        </w:rPr>
        <w:t xml:space="preserve"> </w:t>
      </w:r>
      <w:r w:rsidRPr="00DD7BD1">
        <w:rPr>
          <w:rFonts w:cs="Calibri"/>
          <w:color w:val="auto"/>
          <w:w w:val="110"/>
          <w:szCs w:val="22"/>
        </w:rPr>
        <w:t>statement</w:t>
      </w:r>
      <w:r w:rsidRPr="00DD7BD1">
        <w:rPr>
          <w:rFonts w:cs="Calibri"/>
          <w:color w:val="auto"/>
          <w:spacing w:val="-6"/>
          <w:w w:val="110"/>
          <w:szCs w:val="22"/>
        </w:rPr>
        <w:t xml:space="preserve"> </w:t>
      </w:r>
      <w:r w:rsidRPr="00DD7BD1">
        <w:rPr>
          <w:rFonts w:cs="Calibri"/>
          <w:color w:val="auto"/>
          <w:w w:val="110"/>
          <w:szCs w:val="22"/>
        </w:rPr>
        <w:t>involves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matter</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9"/>
          <w:w w:val="110"/>
          <w:szCs w:val="22"/>
        </w:rPr>
        <w:t xml:space="preserve"> </w:t>
      </w:r>
      <w:r w:rsidRPr="00DD7BD1">
        <w:rPr>
          <w:rFonts w:cs="Calibri"/>
          <w:color w:val="auto"/>
          <w:w w:val="110"/>
          <w:szCs w:val="22"/>
        </w:rPr>
        <w:t>concern</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made</w:t>
      </w:r>
      <w:r w:rsidRPr="00DD7BD1">
        <w:rPr>
          <w:rFonts w:cs="Calibri"/>
          <w:color w:val="auto"/>
          <w:spacing w:val="-8"/>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citizen,</w:t>
      </w:r>
      <w:r w:rsidRPr="00DD7BD1">
        <w:rPr>
          <w:rFonts w:cs="Calibri"/>
          <w:color w:val="auto"/>
          <w:spacing w:val="-6"/>
          <w:w w:val="110"/>
          <w:szCs w:val="22"/>
        </w:rPr>
        <w:t xml:space="preserve"> </w:t>
      </w:r>
      <w:r w:rsidRPr="00DD7BD1">
        <w:rPr>
          <w:rFonts w:cs="Calibri"/>
          <w:color w:val="auto"/>
          <w:w w:val="110"/>
          <w:szCs w:val="22"/>
        </w:rPr>
        <w:t>provided</w:t>
      </w:r>
      <w:r w:rsidRPr="00DD7BD1">
        <w:rPr>
          <w:rFonts w:cs="Calibri"/>
          <w:color w:val="auto"/>
          <w:spacing w:val="-6"/>
          <w:w w:val="110"/>
          <w:szCs w:val="22"/>
        </w:rPr>
        <w:t xml:space="preserve"> </w:t>
      </w:r>
      <w:r w:rsidRPr="00DD7BD1">
        <w:rPr>
          <w:rFonts w:cs="Calibri"/>
          <w:color w:val="auto"/>
          <w:w w:val="110"/>
          <w:szCs w:val="22"/>
        </w:rPr>
        <w:t>the employee's speech does not unduly disrupt the employer's operations.</w:t>
      </w:r>
    </w:p>
    <w:p w14:paraId="0C5C99A3"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Private employers</w:t>
      </w:r>
      <w:r w:rsidRPr="00DD7BD1">
        <w:rPr>
          <w:rFonts w:cs="Calibri"/>
          <w:color w:val="auto"/>
          <w:szCs w:val="22"/>
        </w:rPr>
        <w:t xml:space="preserve">, by contrast, generally have more leeway to regulate political expression that is </w:t>
      </w:r>
      <w:r w:rsidRPr="00DD7BD1">
        <w:rPr>
          <w:rFonts w:cs="Calibri"/>
          <w:color w:val="auto"/>
          <w:szCs w:val="22"/>
          <w:u w:val="single"/>
        </w:rPr>
        <w:t>unrelated to</w:t>
      </w:r>
      <w:r w:rsidRPr="00DD7BD1">
        <w:rPr>
          <w:rFonts w:cs="Calibri"/>
          <w:color w:val="auto"/>
          <w:szCs w:val="22"/>
        </w:rPr>
        <w:t xml:space="preserve"> </w:t>
      </w:r>
      <w:r w:rsidRPr="00DD7BD1">
        <w:rPr>
          <w:rFonts w:cs="Calibri"/>
          <w:color w:val="auto"/>
          <w:w w:val="110"/>
          <w:szCs w:val="22"/>
          <w:u w:val="single"/>
        </w:rPr>
        <w:t>workplace</w:t>
      </w:r>
      <w:r w:rsidRPr="00DD7BD1">
        <w:rPr>
          <w:rFonts w:cs="Calibri"/>
          <w:color w:val="auto"/>
          <w:spacing w:val="-7"/>
          <w:w w:val="110"/>
          <w:szCs w:val="22"/>
          <w:u w:val="single"/>
        </w:rPr>
        <w:t xml:space="preserve"> </w:t>
      </w:r>
      <w:r w:rsidRPr="00DD7BD1">
        <w:rPr>
          <w:rFonts w:cs="Calibri"/>
          <w:color w:val="auto"/>
          <w:w w:val="110"/>
          <w:szCs w:val="22"/>
          <w:u w:val="single"/>
        </w:rPr>
        <w:t>conditions,</w:t>
      </w:r>
      <w:r w:rsidRPr="00DD7BD1">
        <w:rPr>
          <w:rFonts w:cs="Calibri"/>
          <w:color w:val="auto"/>
          <w:spacing w:val="-7"/>
          <w:w w:val="110"/>
          <w:szCs w:val="22"/>
          <w:u w:val="single"/>
        </w:rPr>
        <w:t xml:space="preserve"> </w:t>
      </w:r>
      <w:r w:rsidRPr="00DD7BD1">
        <w:rPr>
          <w:rFonts w:cs="Calibri"/>
          <w:color w:val="auto"/>
          <w:w w:val="110"/>
          <w:szCs w:val="22"/>
          <w:u w:val="single"/>
        </w:rPr>
        <w:t>subject</w:t>
      </w:r>
      <w:r w:rsidRPr="00DD7BD1">
        <w:rPr>
          <w:rFonts w:cs="Calibri"/>
          <w:color w:val="auto"/>
          <w:spacing w:val="-7"/>
          <w:w w:val="110"/>
          <w:szCs w:val="22"/>
          <w:u w:val="single"/>
        </w:rPr>
        <w:t xml:space="preserve"> </w:t>
      </w:r>
      <w:r w:rsidRPr="00DD7BD1">
        <w:rPr>
          <w:rFonts w:cs="Calibri"/>
          <w:color w:val="auto"/>
          <w:w w:val="110"/>
          <w:szCs w:val="22"/>
          <w:u w:val="single"/>
        </w:rPr>
        <w:t>to</w:t>
      </w:r>
      <w:r w:rsidRPr="00DD7BD1">
        <w:rPr>
          <w:rFonts w:cs="Calibri"/>
          <w:color w:val="auto"/>
          <w:spacing w:val="-8"/>
          <w:w w:val="110"/>
          <w:szCs w:val="22"/>
          <w:u w:val="single"/>
        </w:rPr>
        <w:t xml:space="preserve"> </w:t>
      </w:r>
      <w:r w:rsidRPr="00DD7BD1">
        <w:rPr>
          <w:rFonts w:cs="Calibri"/>
          <w:color w:val="auto"/>
          <w:w w:val="110"/>
          <w:szCs w:val="22"/>
          <w:u w:val="single"/>
        </w:rPr>
        <w:t>state</w:t>
      </w:r>
      <w:r w:rsidRPr="00DD7BD1">
        <w:rPr>
          <w:rFonts w:cs="Calibri"/>
          <w:color w:val="auto"/>
          <w:spacing w:val="-9"/>
          <w:w w:val="110"/>
          <w:szCs w:val="22"/>
          <w:u w:val="single"/>
        </w:rPr>
        <w:t xml:space="preserve"> </w:t>
      </w:r>
      <w:r w:rsidRPr="00DD7BD1">
        <w:rPr>
          <w:rFonts w:cs="Calibri"/>
          <w:color w:val="auto"/>
          <w:w w:val="110"/>
          <w:szCs w:val="22"/>
          <w:u w:val="single"/>
        </w:rPr>
        <w:t>or</w:t>
      </w:r>
      <w:r w:rsidRPr="00DD7BD1">
        <w:rPr>
          <w:rFonts w:cs="Calibri"/>
          <w:color w:val="auto"/>
          <w:spacing w:val="-10"/>
          <w:w w:val="110"/>
          <w:szCs w:val="22"/>
          <w:u w:val="single"/>
        </w:rPr>
        <w:t xml:space="preserve"> </w:t>
      </w:r>
      <w:r w:rsidRPr="00DD7BD1">
        <w:rPr>
          <w:rFonts w:cs="Calibri"/>
          <w:color w:val="auto"/>
          <w:w w:val="110"/>
          <w:szCs w:val="22"/>
          <w:u w:val="single"/>
        </w:rPr>
        <w:t>local</w:t>
      </w:r>
      <w:r w:rsidRPr="00DD7BD1">
        <w:rPr>
          <w:rFonts w:cs="Calibri"/>
          <w:color w:val="auto"/>
          <w:spacing w:val="-8"/>
          <w:w w:val="110"/>
          <w:szCs w:val="22"/>
          <w:u w:val="single"/>
        </w:rPr>
        <w:t xml:space="preserve"> </w:t>
      </w:r>
      <w:r w:rsidRPr="00DD7BD1">
        <w:rPr>
          <w:rFonts w:cs="Calibri"/>
          <w:color w:val="auto"/>
          <w:w w:val="110"/>
          <w:szCs w:val="22"/>
          <w:u w:val="single"/>
        </w:rPr>
        <w:t>laws</w:t>
      </w:r>
      <w:r w:rsidRPr="00DD7BD1">
        <w:rPr>
          <w:rFonts w:cs="Calibri"/>
          <w:color w:val="auto"/>
          <w:spacing w:val="-5"/>
          <w:w w:val="110"/>
          <w:szCs w:val="22"/>
          <w:u w:val="single"/>
        </w:rPr>
        <w:t xml:space="preserve"> </w:t>
      </w:r>
      <w:r w:rsidRPr="00DD7BD1">
        <w:rPr>
          <w:rFonts w:cs="Calibri"/>
          <w:color w:val="auto"/>
          <w:w w:val="110"/>
          <w:szCs w:val="22"/>
          <w:u w:val="single"/>
        </w:rPr>
        <w:t>that</w:t>
      </w:r>
      <w:r w:rsidRPr="00DD7BD1">
        <w:rPr>
          <w:rFonts w:cs="Calibri"/>
          <w:color w:val="auto"/>
          <w:spacing w:val="-7"/>
          <w:w w:val="110"/>
          <w:szCs w:val="22"/>
          <w:u w:val="single"/>
        </w:rPr>
        <w:t xml:space="preserve"> </w:t>
      </w:r>
      <w:r w:rsidRPr="00DD7BD1">
        <w:rPr>
          <w:rFonts w:cs="Calibri"/>
          <w:color w:val="auto"/>
          <w:w w:val="110"/>
          <w:szCs w:val="22"/>
          <w:u w:val="single"/>
        </w:rPr>
        <w:t>prohibit</w:t>
      </w:r>
      <w:r w:rsidRPr="00DD7BD1">
        <w:rPr>
          <w:rFonts w:cs="Calibri"/>
          <w:color w:val="auto"/>
          <w:spacing w:val="-7"/>
          <w:w w:val="110"/>
          <w:szCs w:val="22"/>
          <w:u w:val="single"/>
        </w:rPr>
        <w:t xml:space="preserve"> </w:t>
      </w:r>
      <w:r w:rsidRPr="00DD7BD1">
        <w:rPr>
          <w:rFonts w:cs="Calibri"/>
          <w:color w:val="auto"/>
          <w:w w:val="110"/>
          <w:szCs w:val="22"/>
          <w:u w:val="single"/>
        </w:rPr>
        <w:t>discrimination</w:t>
      </w:r>
      <w:r w:rsidRPr="00DD7BD1">
        <w:rPr>
          <w:rFonts w:cs="Calibri"/>
          <w:color w:val="auto"/>
          <w:spacing w:val="-8"/>
          <w:w w:val="110"/>
          <w:szCs w:val="22"/>
          <w:u w:val="single"/>
        </w:rPr>
        <w:t xml:space="preserve"> </w:t>
      </w:r>
      <w:r w:rsidRPr="00DD7BD1">
        <w:rPr>
          <w:rFonts w:cs="Calibri"/>
          <w:color w:val="auto"/>
          <w:w w:val="110"/>
          <w:szCs w:val="22"/>
          <w:u w:val="single"/>
        </w:rPr>
        <w:t>based</w:t>
      </w:r>
      <w:r w:rsidRPr="00DD7BD1">
        <w:rPr>
          <w:rFonts w:cs="Calibri"/>
          <w:color w:val="auto"/>
          <w:spacing w:val="-8"/>
          <w:w w:val="110"/>
          <w:szCs w:val="22"/>
          <w:u w:val="single"/>
        </w:rPr>
        <w:t xml:space="preserve"> </w:t>
      </w:r>
      <w:r w:rsidRPr="00DD7BD1">
        <w:rPr>
          <w:rFonts w:cs="Calibri"/>
          <w:color w:val="auto"/>
          <w:w w:val="110"/>
          <w:szCs w:val="22"/>
          <w:u w:val="single"/>
        </w:rPr>
        <w:t>on</w:t>
      </w:r>
      <w:r w:rsidRPr="00DD7BD1">
        <w:rPr>
          <w:rFonts w:cs="Calibri"/>
          <w:color w:val="auto"/>
          <w:spacing w:val="-9"/>
          <w:w w:val="110"/>
          <w:szCs w:val="22"/>
          <w:u w:val="single"/>
        </w:rPr>
        <w:t xml:space="preserve"> </w:t>
      </w:r>
      <w:r w:rsidRPr="00DD7BD1">
        <w:rPr>
          <w:rFonts w:cs="Calibri"/>
          <w:color w:val="auto"/>
          <w:w w:val="110"/>
          <w:szCs w:val="22"/>
          <w:u w:val="single"/>
        </w:rPr>
        <w:t>political</w:t>
      </w:r>
      <w:r w:rsidRPr="00DD7BD1">
        <w:rPr>
          <w:rFonts w:cs="Calibri"/>
          <w:color w:val="auto"/>
          <w:spacing w:val="-8"/>
          <w:w w:val="110"/>
          <w:szCs w:val="22"/>
          <w:u w:val="single"/>
        </w:rPr>
        <w:t xml:space="preserve"> </w:t>
      </w:r>
      <w:r w:rsidRPr="00DD7BD1">
        <w:rPr>
          <w:rFonts w:cs="Calibri"/>
          <w:color w:val="auto"/>
          <w:w w:val="110"/>
          <w:szCs w:val="22"/>
          <w:u w:val="single"/>
        </w:rPr>
        <w:t>affiliation</w:t>
      </w:r>
      <w:r w:rsidRPr="00DD7BD1">
        <w:rPr>
          <w:rFonts w:cs="Calibri"/>
          <w:color w:val="auto"/>
          <w:spacing w:val="-5"/>
          <w:w w:val="110"/>
          <w:szCs w:val="22"/>
          <w:u w:val="single"/>
        </w:rPr>
        <w:t xml:space="preserve"> </w:t>
      </w:r>
      <w:r w:rsidRPr="00DD7BD1">
        <w:rPr>
          <w:rFonts w:cs="Calibri"/>
          <w:color w:val="auto"/>
          <w:w w:val="110"/>
          <w:szCs w:val="22"/>
          <w:u w:val="single"/>
        </w:rPr>
        <w:t>or</w:t>
      </w:r>
      <w:r w:rsidRPr="00DD7BD1">
        <w:rPr>
          <w:rFonts w:cs="Calibri"/>
          <w:color w:val="auto"/>
          <w:w w:val="110"/>
          <w:szCs w:val="22"/>
        </w:rPr>
        <w:t xml:space="preserve"> </w:t>
      </w:r>
      <w:r w:rsidRPr="00DD7BD1">
        <w:rPr>
          <w:rFonts w:cs="Calibri"/>
          <w:color w:val="auto"/>
          <w:w w:val="110"/>
          <w:szCs w:val="22"/>
          <w:u w:val="single"/>
        </w:rPr>
        <w:t>lawful off-duty conduct</w:t>
      </w:r>
      <w:r w:rsidRPr="00DD7BD1">
        <w:rPr>
          <w:rFonts w:cs="Calibri"/>
          <w:color w:val="auto"/>
          <w:w w:val="110"/>
          <w:szCs w:val="22"/>
        </w:rPr>
        <w:t>.</w:t>
      </w:r>
    </w:p>
    <w:p w14:paraId="577EC6B3" w14:textId="77777777" w:rsidR="00E43496" w:rsidRPr="00DD7BD1" w:rsidRDefault="00E43496" w:rsidP="00E43496">
      <w:pPr>
        <w:pStyle w:val="BodyText"/>
        <w:spacing w:after="0" w:line="240" w:lineRule="auto"/>
        <w:ind w:right="90"/>
        <w:jc w:val="left"/>
        <w:rPr>
          <w:rFonts w:cs="Calibri"/>
          <w:b/>
          <w:color w:val="000000"/>
          <w:sz w:val="16"/>
          <w:szCs w:val="16"/>
          <w:highlight w:val="lightGray"/>
        </w:rPr>
      </w:pPr>
    </w:p>
    <w:p w14:paraId="35999B9E" w14:textId="77777777" w:rsidR="00E43496" w:rsidRPr="00DD7BD1" w:rsidRDefault="00E43496" w:rsidP="00E43496">
      <w:pPr>
        <w:pStyle w:val="BodyText"/>
        <w:spacing w:after="0" w:line="240" w:lineRule="auto"/>
        <w:ind w:right="-270"/>
        <w:jc w:val="left"/>
        <w:rPr>
          <w:rFonts w:cs="Calibri"/>
          <w:color w:val="000000"/>
          <w:w w:val="110"/>
          <w:szCs w:val="22"/>
        </w:rPr>
      </w:pPr>
      <w:r w:rsidRPr="00DD7BD1">
        <w:rPr>
          <w:rFonts w:cs="Calibri"/>
          <w:b/>
          <w:color w:val="000000"/>
          <w:szCs w:val="22"/>
          <w:highlight w:val="lightGray"/>
        </w:rPr>
        <w:t>Employe</w:t>
      </w:r>
      <w:r w:rsidRPr="00DD7BD1">
        <w:rPr>
          <w:rFonts w:cs="Calibri"/>
          <w:b/>
          <w:color w:val="000000"/>
          <w:spacing w:val="40"/>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Before</w:t>
      </w:r>
      <w:r w:rsidRPr="00DD7BD1">
        <w:rPr>
          <w:rFonts w:cs="Calibri"/>
          <w:color w:val="000000"/>
          <w:spacing w:val="40"/>
          <w:szCs w:val="22"/>
        </w:rPr>
        <w:t xml:space="preserve"> </w:t>
      </w:r>
      <w:r w:rsidRPr="00DD7BD1">
        <w:rPr>
          <w:rFonts w:cs="Calibri"/>
          <w:color w:val="000000"/>
          <w:szCs w:val="22"/>
        </w:rPr>
        <w:t>taking</w:t>
      </w:r>
      <w:r w:rsidRPr="00DD7BD1">
        <w:rPr>
          <w:rFonts w:cs="Calibri"/>
          <w:color w:val="000000"/>
          <w:spacing w:val="40"/>
          <w:szCs w:val="22"/>
        </w:rPr>
        <w:t xml:space="preserve"> </w:t>
      </w:r>
      <w:r w:rsidRPr="00DD7BD1">
        <w:rPr>
          <w:rFonts w:cs="Calibri"/>
          <w:color w:val="000000"/>
          <w:szCs w:val="22"/>
        </w:rPr>
        <w:t>action,</w:t>
      </w:r>
      <w:r w:rsidRPr="00DD7BD1">
        <w:rPr>
          <w:rFonts w:cs="Calibri"/>
          <w:color w:val="000000"/>
          <w:spacing w:val="40"/>
          <w:szCs w:val="22"/>
        </w:rPr>
        <w:t xml:space="preserve"> </w:t>
      </w:r>
      <w:r w:rsidRPr="00DD7BD1">
        <w:rPr>
          <w:rFonts w:cs="Calibri"/>
          <w:color w:val="000000"/>
          <w:szCs w:val="22"/>
        </w:rPr>
        <w:t>employers</w:t>
      </w:r>
      <w:r w:rsidRPr="00DD7BD1">
        <w:rPr>
          <w:rFonts w:cs="Calibri"/>
          <w:color w:val="000000"/>
          <w:spacing w:val="40"/>
          <w:szCs w:val="22"/>
        </w:rPr>
        <w:t xml:space="preserve"> </w:t>
      </w:r>
      <w:r w:rsidRPr="00DD7BD1">
        <w:rPr>
          <w:rFonts w:cs="Calibri"/>
          <w:color w:val="000000"/>
          <w:szCs w:val="22"/>
        </w:rPr>
        <w:t>should</w:t>
      </w:r>
      <w:r w:rsidRPr="00DD7BD1">
        <w:rPr>
          <w:rFonts w:cs="Calibri"/>
          <w:color w:val="000000"/>
          <w:spacing w:val="40"/>
          <w:szCs w:val="22"/>
        </w:rPr>
        <w:t xml:space="preserve"> </w:t>
      </w:r>
      <w:r w:rsidRPr="00DD7BD1">
        <w:rPr>
          <w:rFonts w:cs="Calibri"/>
          <w:color w:val="000000"/>
          <w:szCs w:val="22"/>
        </w:rPr>
        <w:t>carefully</w:t>
      </w:r>
      <w:r w:rsidRPr="00DD7BD1">
        <w:rPr>
          <w:rFonts w:cs="Calibri"/>
          <w:color w:val="000000"/>
          <w:spacing w:val="40"/>
          <w:szCs w:val="22"/>
        </w:rPr>
        <w:t xml:space="preserve"> </w:t>
      </w:r>
      <w:r w:rsidRPr="00DD7BD1">
        <w:rPr>
          <w:rFonts w:cs="Calibri"/>
          <w:color w:val="000000"/>
          <w:szCs w:val="22"/>
        </w:rPr>
        <w:t>assess</w:t>
      </w:r>
      <w:r w:rsidRPr="00DD7BD1">
        <w:rPr>
          <w:rFonts w:cs="Calibri"/>
          <w:color w:val="000000"/>
          <w:spacing w:val="40"/>
          <w:szCs w:val="22"/>
        </w:rPr>
        <w:t xml:space="preserve"> </w:t>
      </w:r>
      <w:r w:rsidRPr="00DD7BD1">
        <w:rPr>
          <w:rFonts w:cs="Calibri"/>
          <w:color w:val="000000"/>
          <w:szCs w:val="22"/>
        </w:rPr>
        <w:t>whether</w:t>
      </w:r>
      <w:r w:rsidRPr="00DD7BD1">
        <w:rPr>
          <w:rFonts w:cs="Calibri"/>
          <w:color w:val="000000"/>
          <w:spacing w:val="40"/>
          <w:szCs w:val="22"/>
        </w:rPr>
        <w:t xml:space="preserve"> </w:t>
      </w:r>
      <w:r w:rsidRPr="00DD7BD1">
        <w:rPr>
          <w:rFonts w:cs="Calibri"/>
          <w:color w:val="000000"/>
          <w:szCs w:val="22"/>
        </w:rPr>
        <w:t>their</w:t>
      </w:r>
      <w:r w:rsidRPr="00DD7BD1">
        <w:rPr>
          <w:rFonts w:cs="Calibri"/>
          <w:color w:val="000000"/>
          <w:spacing w:val="40"/>
          <w:szCs w:val="22"/>
        </w:rPr>
        <w:t xml:space="preserve"> </w:t>
      </w:r>
      <w:r w:rsidRPr="00DD7BD1">
        <w:rPr>
          <w:rFonts w:cs="Calibri"/>
          <w:color w:val="000000"/>
          <w:szCs w:val="22"/>
        </w:rPr>
        <w:t>employees'</w:t>
      </w:r>
      <w:r w:rsidRPr="00DD7BD1">
        <w:rPr>
          <w:rFonts w:cs="Calibri"/>
          <w:color w:val="000000"/>
          <w:spacing w:val="39"/>
          <w:szCs w:val="22"/>
        </w:rPr>
        <w:t xml:space="preserve"> </w:t>
      </w:r>
      <w:r w:rsidRPr="00DD7BD1">
        <w:rPr>
          <w:rFonts w:cs="Calibri"/>
          <w:color w:val="000000"/>
          <w:szCs w:val="22"/>
        </w:rPr>
        <w:t xml:space="preserve">statements </w:t>
      </w:r>
      <w:r w:rsidRPr="00DD7BD1">
        <w:rPr>
          <w:rFonts w:cs="Calibri"/>
          <w:color w:val="000000"/>
          <w:w w:val="110"/>
          <w:szCs w:val="22"/>
        </w:rPr>
        <w:t>relate</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any</w:t>
      </w:r>
      <w:r w:rsidRPr="00DD7BD1">
        <w:rPr>
          <w:rFonts w:cs="Calibri"/>
          <w:color w:val="000000"/>
          <w:spacing w:val="-9"/>
          <w:w w:val="110"/>
          <w:szCs w:val="22"/>
        </w:rPr>
        <w:t xml:space="preserve"> </w:t>
      </w:r>
      <w:r w:rsidRPr="00DD7BD1">
        <w:rPr>
          <w:rFonts w:cs="Calibri"/>
          <w:color w:val="000000"/>
          <w:w w:val="110"/>
          <w:szCs w:val="22"/>
        </w:rPr>
        <w:t>terms</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conditions</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0"/>
          <w:w w:val="110"/>
          <w:szCs w:val="22"/>
        </w:rPr>
        <w:t xml:space="preserve"> </w:t>
      </w:r>
      <w:r w:rsidRPr="00DD7BD1">
        <w:rPr>
          <w:rFonts w:cs="Calibri"/>
          <w:color w:val="000000"/>
          <w:w w:val="110"/>
          <w:szCs w:val="22"/>
        </w:rPr>
        <w:t>employment,</w:t>
      </w:r>
      <w:r w:rsidRPr="00DD7BD1">
        <w:rPr>
          <w:rFonts w:cs="Calibri"/>
          <w:color w:val="000000"/>
          <w:spacing w:val="-10"/>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11"/>
          <w:w w:val="110"/>
          <w:szCs w:val="22"/>
        </w:rPr>
        <w:t xml:space="preserve"> </w:t>
      </w:r>
      <w:r w:rsidRPr="00DD7BD1">
        <w:rPr>
          <w:rFonts w:cs="Calibri"/>
          <w:color w:val="000000"/>
          <w:w w:val="110"/>
          <w:szCs w:val="22"/>
        </w:rPr>
        <w:t>speech</w:t>
      </w:r>
      <w:r w:rsidRPr="00DD7BD1">
        <w:rPr>
          <w:rFonts w:cs="Calibri"/>
          <w:color w:val="000000"/>
          <w:spacing w:val="-11"/>
          <w:w w:val="110"/>
          <w:szCs w:val="22"/>
        </w:rPr>
        <w:t xml:space="preserve"> </w:t>
      </w:r>
      <w:r w:rsidRPr="00DD7BD1">
        <w:rPr>
          <w:rFonts w:cs="Calibri"/>
          <w:color w:val="000000"/>
          <w:w w:val="110"/>
          <w:szCs w:val="22"/>
        </w:rPr>
        <w:t>occurred</w:t>
      </w:r>
      <w:r w:rsidRPr="00DD7BD1">
        <w:rPr>
          <w:rFonts w:cs="Calibri"/>
          <w:color w:val="000000"/>
          <w:spacing w:val="-11"/>
          <w:w w:val="110"/>
          <w:szCs w:val="22"/>
        </w:rPr>
        <w:t xml:space="preserve"> </w:t>
      </w:r>
      <w:r w:rsidRPr="00DD7BD1">
        <w:rPr>
          <w:rFonts w:cs="Calibri"/>
          <w:color w:val="000000"/>
          <w:w w:val="110"/>
          <w:szCs w:val="22"/>
        </w:rPr>
        <w:t>during</w:t>
      </w:r>
      <w:r w:rsidRPr="00DD7BD1">
        <w:rPr>
          <w:rFonts w:cs="Calibri"/>
          <w:color w:val="000000"/>
          <w:spacing w:val="-9"/>
          <w:w w:val="110"/>
          <w:szCs w:val="22"/>
        </w:rPr>
        <w:t xml:space="preserve"> </w:t>
      </w:r>
      <w:r w:rsidRPr="00DD7BD1">
        <w:rPr>
          <w:rFonts w:cs="Calibri"/>
          <w:color w:val="000000"/>
          <w:w w:val="110"/>
          <w:szCs w:val="22"/>
        </w:rPr>
        <w:t>working</w:t>
      </w:r>
      <w:r w:rsidRPr="00DD7BD1">
        <w:rPr>
          <w:rFonts w:cs="Calibri"/>
          <w:color w:val="000000"/>
          <w:spacing w:val="-9"/>
          <w:w w:val="110"/>
          <w:szCs w:val="22"/>
        </w:rPr>
        <w:t xml:space="preserve"> </w:t>
      </w:r>
      <w:r w:rsidRPr="00DD7BD1">
        <w:rPr>
          <w:rFonts w:cs="Calibri"/>
          <w:color w:val="000000"/>
          <w:w w:val="110"/>
          <w:szCs w:val="22"/>
        </w:rPr>
        <w:t>time</w:t>
      </w:r>
      <w:r w:rsidRPr="00DD7BD1">
        <w:rPr>
          <w:rFonts w:cs="Calibri"/>
          <w:color w:val="000000"/>
          <w:spacing w:val="-9"/>
          <w:w w:val="110"/>
          <w:szCs w:val="22"/>
        </w:rPr>
        <w:t xml:space="preserve"> </w:t>
      </w:r>
      <w:r w:rsidRPr="00DD7BD1">
        <w:rPr>
          <w:rFonts w:cs="Calibri"/>
          <w:color w:val="000000"/>
          <w:w w:val="110"/>
          <w:szCs w:val="22"/>
        </w:rPr>
        <w:t>or</w:t>
      </w:r>
      <w:r w:rsidRPr="00DD7BD1">
        <w:rPr>
          <w:rFonts w:cs="Calibri"/>
          <w:color w:val="000000"/>
          <w:spacing w:val="-13"/>
          <w:w w:val="110"/>
          <w:szCs w:val="22"/>
        </w:rPr>
        <w:t xml:space="preserve"> </w:t>
      </w:r>
      <w:r w:rsidRPr="00DD7BD1">
        <w:rPr>
          <w:rFonts w:cs="Calibri"/>
          <w:color w:val="000000"/>
          <w:w w:val="110"/>
          <w:szCs w:val="22"/>
        </w:rPr>
        <w:t>used company</w:t>
      </w:r>
      <w:r w:rsidRPr="00DD7BD1">
        <w:rPr>
          <w:rFonts w:cs="Calibri"/>
          <w:color w:val="000000"/>
          <w:spacing w:val="-3"/>
          <w:w w:val="110"/>
          <w:szCs w:val="22"/>
        </w:rPr>
        <w:t xml:space="preserve"> </w:t>
      </w:r>
      <w:r w:rsidRPr="00DD7BD1">
        <w:rPr>
          <w:rFonts w:cs="Calibri"/>
          <w:color w:val="000000"/>
          <w:w w:val="110"/>
          <w:szCs w:val="22"/>
        </w:rPr>
        <w:t>resources,</w:t>
      </w:r>
      <w:r w:rsidRPr="00DD7BD1">
        <w:rPr>
          <w:rFonts w:cs="Calibri"/>
          <w:color w:val="000000"/>
          <w:spacing w:val="-7"/>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4"/>
          <w:w w:val="110"/>
          <w:szCs w:val="22"/>
        </w:rPr>
        <w:t xml:space="preserve"> </w:t>
      </w:r>
      <w:r w:rsidRPr="00DD7BD1">
        <w:rPr>
          <w:rFonts w:cs="Calibri"/>
          <w:color w:val="000000"/>
          <w:w w:val="110"/>
          <w:szCs w:val="22"/>
        </w:rPr>
        <w:t>applicable</w:t>
      </w:r>
      <w:r w:rsidRPr="00DD7BD1">
        <w:rPr>
          <w:rFonts w:cs="Calibri"/>
          <w:color w:val="000000"/>
          <w:spacing w:val="-7"/>
          <w:w w:val="110"/>
          <w:szCs w:val="22"/>
        </w:rPr>
        <w:t xml:space="preserve"> </w:t>
      </w:r>
      <w:r w:rsidRPr="00DD7BD1">
        <w:rPr>
          <w:rFonts w:cs="Calibri"/>
          <w:color w:val="000000"/>
          <w:w w:val="110"/>
          <w:szCs w:val="22"/>
        </w:rPr>
        <w:t>state</w:t>
      </w:r>
      <w:r w:rsidRPr="00DD7BD1">
        <w:rPr>
          <w:rFonts w:cs="Calibri"/>
          <w:color w:val="000000"/>
          <w:spacing w:val="-7"/>
          <w:w w:val="110"/>
          <w:szCs w:val="22"/>
        </w:rPr>
        <w:t xml:space="preserve"> </w:t>
      </w:r>
      <w:r w:rsidRPr="00DD7BD1">
        <w:rPr>
          <w:rFonts w:cs="Calibri"/>
          <w:color w:val="000000"/>
          <w:w w:val="110"/>
          <w:szCs w:val="22"/>
        </w:rPr>
        <w:t>or</w:t>
      </w:r>
      <w:r w:rsidRPr="00DD7BD1">
        <w:rPr>
          <w:rFonts w:cs="Calibri"/>
          <w:color w:val="000000"/>
          <w:spacing w:val="-4"/>
          <w:w w:val="110"/>
          <w:szCs w:val="22"/>
        </w:rPr>
        <w:t xml:space="preserve"> </w:t>
      </w:r>
      <w:r w:rsidRPr="00DD7BD1">
        <w:rPr>
          <w:rFonts w:cs="Calibri"/>
          <w:color w:val="000000"/>
          <w:w w:val="110"/>
          <w:szCs w:val="22"/>
        </w:rPr>
        <w:t>local</w:t>
      </w:r>
      <w:r w:rsidRPr="00DD7BD1">
        <w:rPr>
          <w:rFonts w:cs="Calibri"/>
          <w:color w:val="000000"/>
          <w:spacing w:val="-8"/>
          <w:w w:val="110"/>
          <w:szCs w:val="22"/>
        </w:rPr>
        <w:t xml:space="preserve"> </w:t>
      </w:r>
      <w:r w:rsidRPr="00DD7BD1">
        <w:rPr>
          <w:rFonts w:cs="Calibri"/>
          <w:color w:val="000000"/>
          <w:w w:val="110"/>
          <w:szCs w:val="22"/>
        </w:rPr>
        <w:t>protections</w:t>
      </w:r>
      <w:r w:rsidRPr="00DD7BD1">
        <w:rPr>
          <w:rFonts w:cs="Calibri"/>
          <w:color w:val="000000"/>
          <w:spacing w:val="-3"/>
          <w:w w:val="110"/>
          <w:szCs w:val="22"/>
        </w:rPr>
        <w:t xml:space="preserve"> </w:t>
      </w:r>
      <w:r w:rsidRPr="00DD7BD1">
        <w:rPr>
          <w:rFonts w:cs="Calibri"/>
          <w:color w:val="000000"/>
          <w:w w:val="110"/>
          <w:szCs w:val="22"/>
        </w:rPr>
        <w:t>apply.</w:t>
      </w:r>
      <w:r w:rsidRPr="00DD7BD1">
        <w:rPr>
          <w:rFonts w:cs="Calibri"/>
          <w:color w:val="000000"/>
          <w:spacing w:val="40"/>
          <w:w w:val="110"/>
          <w:szCs w:val="22"/>
        </w:rPr>
        <w:t xml:space="preserve"> </w:t>
      </w:r>
      <w:r w:rsidRPr="00DD7BD1">
        <w:rPr>
          <w:rFonts w:cs="Calibri"/>
          <w:color w:val="000000"/>
          <w:w w:val="110"/>
          <w:szCs w:val="22"/>
        </w:rPr>
        <w:t>A</w:t>
      </w:r>
      <w:r w:rsidRPr="00DD7BD1">
        <w:rPr>
          <w:rFonts w:cs="Calibri"/>
          <w:color w:val="000000"/>
          <w:spacing w:val="-7"/>
          <w:w w:val="110"/>
          <w:szCs w:val="22"/>
        </w:rPr>
        <w:t xml:space="preserve"> </w:t>
      </w:r>
      <w:r w:rsidRPr="00DD7BD1">
        <w:rPr>
          <w:rFonts w:cs="Calibri"/>
          <w:color w:val="000000"/>
          <w:w w:val="110"/>
          <w:szCs w:val="22"/>
        </w:rPr>
        <w:t>measured</w:t>
      </w:r>
      <w:r w:rsidRPr="00DD7BD1">
        <w:rPr>
          <w:rFonts w:cs="Calibri"/>
          <w:color w:val="000000"/>
          <w:spacing w:val="-7"/>
          <w:w w:val="110"/>
          <w:szCs w:val="22"/>
        </w:rPr>
        <w:t xml:space="preserve"> </w:t>
      </w:r>
      <w:r w:rsidRPr="00DD7BD1">
        <w:rPr>
          <w:rFonts w:cs="Calibri"/>
          <w:color w:val="000000"/>
          <w:w w:val="110"/>
          <w:szCs w:val="22"/>
        </w:rPr>
        <w:t>approach—paired</w:t>
      </w:r>
      <w:r w:rsidRPr="00DD7BD1">
        <w:rPr>
          <w:rFonts w:cs="Calibri"/>
          <w:color w:val="000000"/>
          <w:spacing w:val="-7"/>
          <w:w w:val="110"/>
          <w:szCs w:val="22"/>
        </w:rPr>
        <w:t xml:space="preserve"> </w:t>
      </w:r>
      <w:r w:rsidRPr="00DD7BD1">
        <w:rPr>
          <w:rFonts w:cs="Calibri"/>
          <w:color w:val="000000"/>
          <w:w w:val="110"/>
          <w:szCs w:val="22"/>
        </w:rPr>
        <w:t>with clear, narrowly tailored social media and conduct</w:t>
      </w:r>
      <w:r w:rsidRPr="00DD7BD1">
        <w:rPr>
          <w:rFonts w:cs="Calibri"/>
          <w:color w:val="000000"/>
          <w:spacing w:val="-1"/>
          <w:w w:val="110"/>
          <w:szCs w:val="22"/>
        </w:rPr>
        <w:t xml:space="preserve"> </w:t>
      </w:r>
      <w:r w:rsidRPr="00DD7BD1">
        <w:rPr>
          <w:rFonts w:cs="Calibri"/>
          <w:color w:val="000000"/>
          <w:w w:val="110"/>
          <w:szCs w:val="22"/>
        </w:rPr>
        <w:t>policies—can</w:t>
      </w:r>
      <w:r w:rsidRPr="00DD7BD1">
        <w:rPr>
          <w:rFonts w:cs="Calibri"/>
          <w:color w:val="000000"/>
          <w:spacing w:val="-1"/>
          <w:w w:val="110"/>
          <w:szCs w:val="22"/>
        </w:rPr>
        <w:t xml:space="preserve"> </w:t>
      </w:r>
      <w:r w:rsidRPr="00DD7BD1">
        <w:rPr>
          <w:rFonts w:cs="Calibri"/>
          <w:color w:val="000000"/>
          <w:w w:val="110"/>
          <w:szCs w:val="22"/>
        </w:rPr>
        <w:t>help reduce legal risk while maintaining a professional and respectful workplace.</w:t>
      </w:r>
    </w:p>
    <w:p w14:paraId="60F3C706" w14:textId="77777777" w:rsidR="00E43496" w:rsidRPr="00DD7BD1" w:rsidRDefault="00E43496" w:rsidP="00E43496">
      <w:pPr>
        <w:pStyle w:val="BodyText"/>
        <w:spacing w:after="0" w:line="240" w:lineRule="auto"/>
        <w:ind w:right="-270"/>
        <w:jc w:val="left"/>
        <w:rPr>
          <w:rFonts w:cs="Calibri"/>
          <w:sz w:val="16"/>
          <w:szCs w:val="16"/>
        </w:rPr>
      </w:pPr>
    </w:p>
    <w:p w14:paraId="5C39AB1B" w14:textId="745C774B" w:rsidR="00E43496" w:rsidRPr="00DD7BD1" w:rsidRDefault="00E43496" w:rsidP="00E43496">
      <w:pPr>
        <w:pStyle w:val="Heading4"/>
        <w:spacing w:before="0" w:line="240" w:lineRule="auto"/>
        <w:ind w:right="-270"/>
        <w:rPr>
          <w:rFonts w:ascii="Calibri" w:hAnsi="Calibri" w:cs="Calibri"/>
        </w:rPr>
      </w:pPr>
      <w:r w:rsidRPr="00DD7BD1">
        <w:rPr>
          <w:rFonts w:ascii="Calibri" w:hAnsi="Calibri" w:cs="Calibri"/>
          <w:spacing w:val="-4"/>
        </w:rPr>
        <w:t>--</w:t>
      </w:r>
      <w:r w:rsidRPr="00DD7BD1">
        <w:rPr>
          <w:rFonts w:ascii="Calibri" w:hAnsi="Calibri" w:cs="Calibri"/>
          <w:i w:val="0"/>
          <w:iCs w:val="0"/>
          <w:color w:val="auto"/>
          <w:spacing w:val="-4"/>
        </w:rPr>
        <w:t>Article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published</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Sept</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16,</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2025</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by</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Ward</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&amp;</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Smith,</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PA</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can</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be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accessed</w:t>
      </w:r>
      <w:r w:rsidRPr="00DD7BD1">
        <w:rPr>
          <w:rFonts w:ascii="Calibri" w:hAnsi="Calibri" w:cs="Calibri"/>
          <w:i w:val="0"/>
          <w:iCs w:val="0"/>
          <w:color w:val="auto"/>
          <w:spacing w:val="-2"/>
        </w:rPr>
        <w:t xml:space="preserve"> </w:t>
      </w:r>
      <w:hyperlink r:id="rId255">
        <w:r w:rsidRPr="00DD7BD1">
          <w:rPr>
            <w:rFonts w:ascii="Calibri" w:hAnsi="Calibri" w:cs="Calibri"/>
            <w:i w:val="0"/>
            <w:iCs w:val="0"/>
            <w:color w:val="0000FF"/>
            <w:spacing w:val="-4"/>
            <w:u w:val="single" w:color="0000FF"/>
          </w:rPr>
          <w:t>HERE</w:t>
        </w:r>
      </w:hyperlink>
    </w:p>
    <w:p w14:paraId="08A12E5F"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09CDBA09" w14:textId="77777777" w:rsidR="00E43496" w:rsidRPr="00DD7BD1" w:rsidRDefault="00E43496" w:rsidP="001558B8">
      <w:pPr>
        <w:pStyle w:val="BodyText"/>
        <w:spacing w:after="0" w:line="240" w:lineRule="auto"/>
        <w:ind w:right="274"/>
        <w:rPr>
          <w:rFonts w:eastAsiaTheme="minorHAnsi" w:cs="Calibri"/>
          <w:b/>
          <w:bCs/>
          <w:color w:val="C00000"/>
          <w:kern w:val="36"/>
          <w:szCs w:val="22"/>
        </w:rPr>
      </w:pPr>
    </w:p>
    <w:p w14:paraId="1AAB635F" w14:textId="2A7C9E32" w:rsidR="001D3D04" w:rsidRPr="00DD7BD1" w:rsidRDefault="001D3D04"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July Article</w:t>
      </w:r>
      <w:r w:rsidR="00E43496" w:rsidRPr="00DD7BD1">
        <w:rPr>
          <w:rFonts w:eastAsiaTheme="minorHAnsi" w:cs="Calibri"/>
          <w:b/>
          <w:bCs/>
          <w:color w:val="C00000"/>
          <w:kern w:val="36"/>
          <w:szCs w:val="22"/>
        </w:rPr>
        <w:t>s/Reminders</w:t>
      </w:r>
    </w:p>
    <w:p w14:paraId="434E00F6" w14:textId="3625C4E9"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5" w:name="_Hlk205275572"/>
      <w:r w:rsidRPr="00DD7BD1">
        <w:rPr>
          <w:rFonts w:ascii="Calibri" w:eastAsiaTheme="minorHAnsi" w:hAnsi="Calibri" w:cs="Calibri"/>
          <w:kern w:val="0"/>
          <w:sz w:val="28"/>
          <w:szCs w:val="28"/>
        </w:rPr>
        <w:t>One Big Beautiful Bill Act: Overtime and Tips Taxes</w:t>
      </w:r>
    </w:p>
    <w:bookmarkEnd w:id="15"/>
    <w:p w14:paraId="2287BAC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Key Provisions:</w:t>
      </w:r>
    </w:p>
    <w:p w14:paraId="4C1637B8"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Law allows workers (employees and independent contractors) to </w:t>
      </w:r>
      <w:r w:rsidRPr="00DD7BD1">
        <w:rPr>
          <w:rFonts w:ascii="Calibri" w:eastAsiaTheme="minorHAnsi" w:hAnsi="Calibri" w:cs="Calibri"/>
          <w:b w:val="0"/>
          <w:bCs w:val="0"/>
          <w:sz w:val="22"/>
          <w:szCs w:val="22"/>
          <w:u w:val="single"/>
        </w:rPr>
        <w:t>deduct up to $25,000 in tips (for those who regularly receive tips</w:t>
      </w:r>
      <w:r w:rsidRPr="00DD7BD1">
        <w:rPr>
          <w:rFonts w:ascii="Calibri" w:eastAsiaTheme="minorHAnsi" w:hAnsi="Calibri" w:cs="Calibri"/>
          <w:b w:val="0"/>
          <w:bCs w:val="0"/>
          <w:sz w:val="22"/>
          <w:szCs w:val="22"/>
        </w:rPr>
        <w:t>) &amp; $</w:t>
      </w:r>
      <w:r w:rsidRPr="00DD7BD1">
        <w:rPr>
          <w:rFonts w:ascii="Calibri" w:eastAsiaTheme="minorHAnsi" w:hAnsi="Calibri" w:cs="Calibri"/>
          <w:b w:val="0"/>
          <w:bCs w:val="0"/>
          <w:sz w:val="22"/>
          <w:szCs w:val="22"/>
          <w:u w:val="single"/>
        </w:rPr>
        <w:t>12,500 ($25,000 if filing a joint return) in overtime pay from their federal adjusted gross income</w:t>
      </w:r>
      <w:r w:rsidRPr="00DD7BD1">
        <w:rPr>
          <w:rFonts w:ascii="Calibri" w:eastAsiaTheme="minorHAnsi" w:hAnsi="Calibri" w:cs="Calibri"/>
          <w:b w:val="0"/>
          <w:bCs w:val="0"/>
          <w:sz w:val="22"/>
          <w:szCs w:val="22"/>
        </w:rPr>
        <w:t>.</w:t>
      </w:r>
    </w:p>
    <w:p w14:paraId="0B64613E"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u w:val="single"/>
        </w:rPr>
        <w:t xml:space="preserve">Income tax withholding requirements are </w:t>
      </w:r>
      <w:r w:rsidRPr="00DD7BD1">
        <w:rPr>
          <w:rFonts w:ascii="Calibri" w:eastAsiaTheme="minorHAnsi" w:hAnsi="Calibri" w:cs="Calibri"/>
          <w:sz w:val="22"/>
          <w:szCs w:val="22"/>
          <w:u w:val="single"/>
        </w:rPr>
        <w:t xml:space="preserve">not </w:t>
      </w:r>
      <w:r w:rsidRPr="00DD7BD1">
        <w:rPr>
          <w:rFonts w:ascii="Calibri" w:eastAsiaTheme="minorHAnsi" w:hAnsi="Calibri" w:cs="Calibri"/>
          <w:b w:val="0"/>
          <w:bCs w:val="0"/>
          <w:sz w:val="22"/>
          <w:szCs w:val="22"/>
          <w:u w:val="single"/>
        </w:rPr>
        <w:t>immediately affected</w:t>
      </w:r>
      <w:r w:rsidRPr="00DD7BD1">
        <w:rPr>
          <w:rFonts w:ascii="Calibri" w:eastAsiaTheme="minorHAnsi" w:hAnsi="Calibri" w:cs="Calibr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DD7BD1" w:rsidRDefault="001D3D04" w:rsidP="001D3D04">
      <w:pPr>
        <w:pStyle w:val="Heading1"/>
        <w:spacing w:before="0" w:beforeAutospacing="0" w:after="0" w:afterAutospacing="0" w:line="264" w:lineRule="atLeast"/>
        <w:ind w:left="720"/>
        <w:rPr>
          <w:rFonts w:ascii="Calibri" w:eastAsiaTheme="minorHAnsi" w:hAnsi="Calibri" w:cs="Calibri"/>
          <w:b w:val="0"/>
          <w:bCs w:val="0"/>
          <w:sz w:val="22"/>
          <w:szCs w:val="22"/>
        </w:rPr>
      </w:pPr>
    </w:p>
    <w:p w14:paraId="231F95A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recently enacted One Big Beautiful Bill Act (Act), signed into law on July 4, contains incentives to alleviate the federal income tax burden on overtime earnings and tips for qualifying workers. Although the legislation more directly affects workers, employers with highly compensated, nonexempt workers should be aware of the potential implications for both compliance and staffing practices.</w:t>
      </w:r>
    </w:p>
    <w:p w14:paraId="0DBE089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4E5C03D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Impact on Employees:</w:t>
      </w:r>
    </w:p>
    <w:p w14:paraId="3B0BFC1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take into account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 of such qualified overtime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6C67985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Impact on Employers:</w:t>
      </w:r>
    </w:p>
    <w:p w14:paraId="5D4D6ED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54E7E7F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color w:val="C00000"/>
          <w:kern w:val="0"/>
          <w:sz w:val="22"/>
          <w:szCs w:val="22"/>
        </w:rPr>
      </w:pPr>
      <w:r w:rsidRPr="00DD7BD1">
        <w:rPr>
          <w:rFonts w:ascii="Calibri" w:eastAsiaTheme="minorHAnsi" w:hAnsi="Calibri" w:cs="Calibri"/>
          <w:kern w:val="0"/>
          <w:sz w:val="22"/>
          <w:szCs w:val="22"/>
          <w:u w:val="single"/>
        </w:rPr>
        <w:t>NOTE:</w:t>
      </w:r>
      <w:r w:rsidRPr="00DD7BD1">
        <w:rPr>
          <w:rFonts w:ascii="Calibri" w:eastAsiaTheme="minorHAnsi" w:hAnsi="Calibri" w:cs="Calibri"/>
          <w:b w:val="0"/>
          <w:bCs w:val="0"/>
          <w:kern w:val="0"/>
          <w:sz w:val="22"/>
          <w:szCs w:val="22"/>
        </w:rPr>
        <w:t xml:space="preserve"> While the qualified overtime and qualified tips deductions bring opportunities for workers across multiple industries, these provisions are temporary and will sunset on </w:t>
      </w:r>
      <w:r w:rsidRPr="00DD7BD1">
        <w:rPr>
          <w:rFonts w:ascii="Calibri" w:eastAsiaTheme="minorHAnsi" w:hAnsi="Calibri" w:cs="Calibri"/>
          <w:b w:val="0"/>
          <w:bCs w:val="0"/>
          <w:color w:val="C00000"/>
          <w:kern w:val="0"/>
          <w:sz w:val="22"/>
          <w:szCs w:val="22"/>
        </w:rPr>
        <w:t>December 31, 2028.</w:t>
      </w:r>
    </w:p>
    <w:p w14:paraId="5FBA753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F30EA8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To learn more access a recent article by VedderPrice law firm </w:t>
      </w:r>
      <w:hyperlink r:id="rId256" w:history="1">
        <w:r w:rsidRPr="00DD7BD1">
          <w:rPr>
            <w:rStyle w:val="Hyperlink"/>
            <w:rFonts w:ascii="Calibri" w:eastAsiaTheme="minorHAnsi" w:hAnsi="Calibri" w:cs="Calibri"/>
            <w:b w:val="0"/>
            <w:bCs w:val="0"/>
            <w:kern w:val="0"/>
            <w:sz w:val="22"/>
            <w:szCs w:val="22"/>
          </w:rPr>
          <w:t>HERE</w:t>
        </w:r>
      </w:hyperlink>
      <w:r w:rsidRPr="00DD7BD1">
        <w:rPr>
          <w:rFonts w:ascii="Calibri" w:eastAsiaTheme="minorHAnsi" w:hAnsi="Calibri" w:cs="Calibri"/>
          <w:b w:val="0"/>
          <w:bCs w:val="0"/>
          <w:kern w:val="0"/>
          <w:sz w:val="22"/>
          <w:szCs w:val="22"/>
        </w:rPr>
        <w:t xml:space="preserve">; HucschBlackwell law firm </w:t>
      </w:r>
      <w:hyperlink r:id="rId257" w:history="1">
        <w:r w:rsidRPr="00DD7BD1">
          <w:rPr>
            <w:rStyle w:val="Hyperlink"/>
            <w:rFonts w:ascii="Calibri" w:eastAsiaTheme="minorHAnsi" w:hAnsi="Calibri" w:cs="Calibri"/>
            <w:b w:val="0"/>
            <w:bCs w:val="0"/>
            <w:kern w:val="0"/>
            <w:sz w:val="22"/>
            <w:szCs w:val="22"/>
          </w:rPr>
          <w:t>HERE</w:t>
        </w:r>
      </w:hyperlink>
    </w:p>
    <w:p w14:paraId="62A1DB16"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5ED4F9" w14:textId="6EAA889C"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bookmarkStart w:id="16" w:name="_Hlk205275564"/>
      <w:r w:rsidRPr="00DD7BD1">
        <w:rPr>
          <w:rFonts w:ascii="Calibri" w:eastAsiaTheme="minorHAnsi" w:hAnsi="Calibri" w:cs="Calibri"/>
          <w:kern w:val="0"/>
          <w:sz w:val="28"/>
          <w:szCs w:val="28"/>
        </w:rPr>
        <w:t>One Big Beautiful Bill Act: Expanded Telehealth Relief and Student Loan Repayment Benefits</w:t>
      </w:r>
    </w:p>
    <w:bookmarkEnd w:id="16"/>
    <w:p w14:paraId="2F1D4992"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4, the budget reconciliation bill (aka One Big Beautiful Bill Act) was signed into law, indefinitely extending two key pre-pandemic benefits, described below.</w:t>
      </w:r>
    </w:p>
    <w:p w14:paraId="119C3C49"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31C1729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sz w:val="22"/>
          <w:szCs w:val="22"/>
        </w:rPr>
        <w:t>High Deductible Health Plans and Telehealth</w:t>
      </w:r>
      <w:r w:rsidRPr="00DD7BD1">
        <w:rPr>
          <w:rFonts w:ascii="Calibri" w:eastAsiaTheme="minorHAnsi" w:hAnsi="Calibri" w:cs="Calibri"/>
          <w:b w:val="0"/>
          <w:bCs w:val="0"/>
          <w:sz w:val="22"/>
          <w:szCs w:val="22"/>
        </w:rPr>
        <w:br/>
        <w:t>For high deductible health plans (HDHPs) that began after December 31, 2024, telehealth (virtual) or remote care can be covered </w:t>
      </w:r>
      <w:r w:rsidRPr="00DD7BD1">
        <w:rPr>
          <w:rFonts w:ascii="Calibri" w:eastAsiaTheme="minorHAnsi" w:hAnsi="Calibri" w:cs="Calibri"/>
          <w:b w:val="0"/>
          <w:bCs w:val="0"/>
          <w:i/>
          <w:iCs/>
          <w:sz w:val="22"/>
          <w:szCs w:val="22"/>
        </w:rPr>
        <w:t>before</w:t>
      </w:r>
      <w:r w:rsidRPr="00DD7BD1">
        <w:rPr>
          <w:rFonts w:ascii="Calibri" w:eastAsiaTheme="minorHAnsi" w:hAnsi="Calibri" w:cs="Calibri"/>
          <w:b w:val="0"/>
          <w:bCs w:val="0"/>
          <w:sz w:val="22"/>
          <w:szCs w:val="22"/>
        </w:rPr>
        <w:t xml:space="preserve"> your employees meet their deductible without impacting their eligibility to contribute to a health savings account (HSA).  </w:t>
      </w:r>
    </w:p>
    <w:p w14:paraId="6556F6C8"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54463943"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2ADC8CB"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sz w:val="22"/>
          <w:szCs w:val="22"/>
        </w:rPr>
        <w:t>Student Loan Reimbursement</w:t>
      </w:r>
      <w:r w:rsidRPr="00DD7BD1">
        <w:rPr>
          <w:rFonts w:ascii="Calibri" w:eastAsiaTheme="minorHAnsi" w:hAnsi="Calibri" w:cs="Calibr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A076D8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42D538B7" w14:textId="72AE61FA" w:rsidR="00D62A5D" w:rsidRPr="00DD7BD1" w:rsidRDefault="001D3D04" w:rsidP="00E43496">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To read more, access a recent article from the Bradley law firm </w:t>
      </w:r>
      <w:hyperlink r:id="rId258" w:history="1">
        <w:r w:rsidRPr="00DD7BD1">
          <w:rPr>
            <w:rStyle w:val="Hyperlink"/>
            <w:rFonts w:ascii="Calibri" w:eastAsiaTheme="minorHAnsi" w:hAnsi="Calibri" w:cs="Calibri"/>
            <w:b w:val="0"/>
            <w:bCs w:val="0"/>
            <w:sz w:val="22"/>
            <w:szCs w:val="22"/>
          </w:rPr>
          <w:t>HERE</w:t>
        </w:r>
      </w:hyperlink>
    </w:p>
    <w:p w14:paraId="1E894558" w14:textId="77777777" w:rsidR="00D62A5D" w:rsidRPr="00DD7BD1" w:rsidRDefault="00D62A5D"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06B672A5" w14:textId="08ED9C13"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17" w:name="_Hlk205275557"/>
      <w:r w:rsidRPr="00DD7BD1">
        <w:rPr>
          <w:rFonts w:ascii="Calibri" w:eastAsiaTheme="minorHAnsi" w:hAnsi="Calibri" w:cs="Calibri"/>
          <w:kern w:val="0"/>
          <w:sz w:val="28"/>
          <w:szCs w:val="28"/>
        </w:rPr>
        <w:t>One Big Beautiful Bill Act: Workplace Immigration Enforcement</w:t>
      </w:r>
    </w:p>
    <w:bookmarkEnd w:id="17"/>
    <w:p w14:paraId="2058DE50"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kern w:val="0"/>
          <w:sz w:val="22"/>
          <w:szCs w:val="22"/>
        </w:rPr>
      </w:pPr>
    </w:p>
    <w:p w14:paraId="0C5569A6"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i/>
          <w:iCs/>
          <w:kern w:val="0"/>
          <w:sz w:val="22"/>
          <w:szCs w:val="22"/>
        </w:rPr>
      </w:pPr>
      <w:r w:rsidRPr="00DD7BD1">
        <w:rPr>
          <w:rFonts w:ascii="Calibri" w:eastAsiaTheme="minorHAnsi" w:hAnsi="Calibri" w:cs="Calibri"/>
          <w:i/>
          <w:iCs/>
          <w:kern w:val="0"/>
          <w:sz w:val="22"/>
          <w:szCs w:val="22"/>
        </w:rPr>
        <w:t xml:space="preserve">A July 23, 2025, Foley &amp; Lardner, LLP article below and accessible </w:t>
      </w:r>
      <w:hyperlink r:id="rId259" w:history="1">
        <w:r w:rsidRPr="00DD7BD1">
          <w:rPr>
            <w:rStyle w:val="Hyperlink"/>
            <w:rFonts w:ascii="Calibri" w:eastAsiaTheme="minorHAnsi" w:hAnsi="Calibri" w:cs="Calibri"/>
            <w:i/>
            <w:iCs/>
            <w:kern w:val="0"/>
            <w:sz w:val="22"/>
            <w:szCs w:val="22"/>
          </w:rPr>
          <w:t>HERE</w:t>
        </w:r>
      </w:hyperlink>
    </w:p>
    <w:p w14:paraId="43C2BCD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20D2DB5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w:t>
      </w:r>
      <w:hyperlink r:id="rId260" w:tgtFrame="_blank" w:history="1">
        <w:r w:rsidRPr="00DD7BD1">
          <w:rPr>
            <w:rStyle w:val="Hyperlink"/>
            <w:rFonts w:ascii="Calibri" w:eastAsiaTheme="minorHAnsi" w:hAnsi="Calibri" w:cs="Calibri"/>
            <w:b w:val="0"/>
            <w:bCs w:val="0"/>
            <w:sz w:val="22"/>
            <w:szCs w:val="22"/>
          </w:rPr>
          <w:t>One Big Beautiful Bill Act</w:t>
        </w:r>
      </w:hyperlink>
      <w:r w:rsidRPr="00DD7BD1">
        <w:rPr>
          <w:rFonts w:ascii="Calibri" w:eastAsiaTheme="minorHAnsi" w:hAnsi="Calibri" w:cs="Calibr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Immigration-Related Spending Allocations</w:t>
      </w:r>
    </w:p>
    <w:p w14:paraId="28480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D930FE7"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legislation’s spending allocations are directly in line with the Trump Administration’s priority on immigration enforcement. In a May 19, 2025 </w:t>
      </w:r>
      <w:hyperlink r:id="rId261" w:tgtFrame="_blank" w:history="1">
        <w:r w:rsidRPr="00DD7BD1">
          <w:rPr>
            <w:rStyle w:val="Hyperlink"/>
            <w:rFonts w:ascii="Calibri" w:eastAsiaTheme="minorHAnsi" w:hAnsi="Calibri" w:cs="Calibri"/>
            <w:b w:val="0"/>
            <w:bCs w:val="0"/>
            <w:sz w:val="22"/>
            <w:szCs w:val="22"/>
          </w:rPr>
          <w:t>press release</w:t>
        </w:r>
      </w:hyperlink>
      <w:r w:rsidRPr="00DD7BD1">
        <w:rPr>
          <w:rFonts w:ascii="Calibri" w:eastAsiaTheme="minorHAnsi" w:hAnsi="Calibri" w:cs="Calibr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262" w:tgtFrame="_blank" w:history="1">
        <w:r w:rsidRPr="00DD7BD1">
          <w:rPr>
            <w:rStyle w:val="Hyperlink"/>
            <w:rFonts w:ascii="Calibri" w:eastAsiaTheme="minorHAnsi" w:hAnsi="Calibri" w:cs="Calibri"/>
            <w:b w:val="0"/>
            <w:bCs w:val="0"/>
            <w:sz w:val="22"/>
            <w:szCs w:val="22"/>
          </w:rPr>
          <w:t>assisted with arrests</w:t>
        </w:r>
      </w:hyperlink>
      <w:r w:rsidRPr="00DD7BD1">
        <w:rPr>
          <w:rFonts w:ascii="Calibri" w:eastAsiaTheme="minorHAnsi" w:hAnsi="Calibri" w:cs="Calibri"/>
          <w:b w:val="0"/>
          <w:bCs w:val="0"/>
          <w:sz w:val="22"/>
          <w:szCs w:val="22"/>
        </w:rPr>
        <w:t> of unauthorized workers. </w:t>
      </w:r>
    </w:p>
    <w:p w14:paraId="3DD6031C"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6421C1E"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Impact on Large Companies</w:t>
      </w:r>
    </w:p>
    <w:p w14:paraId="413D87A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increased immigration-related spending allocations will likely have a direct impact on certain companies and their legal liability. Just last month, Border Czar Tom Homan </w:t>
      </w:r>
      <w:hyperlink r:id="rId263" w:tgtFrame="_blank" w:history="1">
        <w:r w:rsidRPr="00DD7BD1">
          <w:rPr>
            <w:rStyle w:val="Hyperlink"/>
            <w:rFonts w:ascii="Calibri" w:eastAsiaTheme="minorHAnsi" w:hAnsi="Calibri" w:cs="Calibri"/>
            <w:b w:val="0"/>
            <w:bCs w:val="0"/>
            <w:sz w:val="22"/>
            <w:szCs w:val="22"/>
          </w:rPr>
          <w:t>stated</w:t>
        </w:r>
      </w:hyperlink>
      <w:r w:rsidRPr="00DD7BD1">
        <w:rPr>
          <w:rFonts w:ascii="Calibri" w:eastAsiaTheme="minorHAnsi" w:hAnsi="Calibri" w:cs="Calibri"/>
          <w:b w:val="0"/>
          <w:bCs w:val="0"/>
          <w:sz w:val="22"/>
          <w:szCs w:val="22"/>
        </w:rPr>
        <w:t> that “[w]orksite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00DE700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Companies should expect more frequent and aggressive notice of inspections and audits of Form I-9s due to increased staffing and audit infrastructure. As a result of these audits, companies can be investigated and criminally prosecuted for use of 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temp agencies. </w:t>
      </w:r>
    </w:p>
    <w:p w14:paraId="707BB33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496876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264" w:tgtFrame="_blank" w:history="1">
        <w:r w:rsidRPr="00DD7BD1">
          <w:rPr>
            <w:rStyle w:val="Hyperlink"/>
            <w:rFonts w:ascii="Calibri" w:eastAsiaTheme="minorHAnsi" w:hAnsi="Calibri" w:cs="Calibri"/>
            <w:b w:val="0"/>
            <w:bCs w:val="0"/>
            <w:sz w:val="22"/>
            <w:szCs w:val="22"/>
          </w:rPr>
          <w:t>E-Verify system has certain vulnerabilities</w:t>
        </w:r>
      </w:hyperlink>
      <w:r w:rsidRPr="00DD7BD1">
        <w:rPr>
          <w:rFonts w:ascii="Calibri" w:eastAsiaTheme="minorHAnsi" w:hAnsi="Calibri" w:cs="Calibr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AC380CF"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87EF8A2"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Addressing the Risks</w:t>
      </w:r>
    </w:p>
    <w:p w14:paraId="5A15125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p>
    <w:p w14:paraId="6F93F4D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A6AF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Most importantly, companies should implement a clear policy and procedure to respond to immigration enforcement raids similar to the recent raids </w:t>
      </w:r>
      <w:hyperlink r:id="rId265" w:tgtFrame="_blank" w:history="1">
        <w:r w:rsidRPr="00DD7BD1">
          <w:rPr>
            <w:rStyle w:val="Hyperlink"/>
            <w:rFonts w:ascii="Calibri" w:eastAsiaTheme="minorHAnsi" w:hAnsi="Calibri" w:cs="Calibri"/>
            <w:b w:val="0"/>
            <w:bCs w:val="0"/>
            <w:sz w:val="22"/>
            <w:szCs w:val="22"/>
          </w:rPr>
          <w:t>in Tallahassee, Florida</w:t>
        </w:r>
      </w:hyperlink>
      <w:r w:rsidRPr="00DD7BD1">
        <w:rPr>
          <w:rFonts w:ascii="Calibri" w:eastAsiaTheme="minorHAnsi" w:hAnsi="Calibri" w:cs="Calibri"/>
          <w:b w:val="0"/>
          <w:bCs w:val="0"/>
          <w:sz w:val="22"/>
          <w:szCs w:val="22"/>
        </w:rPr>
        <w:t> and </w:t>
      </w:r>
      <w:hyperlink r:id="rId266" w:tgtFrame="_blank" w:history="1">
        <w:r w:rsidRPr="00DD7BD1">
          <w:rPr>
            <w:rStyle w:val="Hyperlink"/>
            <w:rFonts w:ascii="Calibri" w:eastAsiaTheme="minorHAnsi" w:hAnsi="Calibri" w:cs="Calibri"/>
            <w:b w:val="0"/>
            <w:bCs w:val="0"/>
            <w:sz w:val="22"/>
            <w:szCs w:val="22"/>
          </w:rPr>
          <w:t>near Camarillo, California</w:t>
        </w:r>
      </w:hyperlink>
      <w:r w:rsidRPr="00DD7BD1">
        <w:rPr>
          <w:rFonts w:ascii="Calibri" w:eastAsiaTheme="minorHAnsi" w:hAnsi="Calibri" w:cs="Calibr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7DFCCC8A" w14:textId="08AFAC39"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bookmarkStart w:id="18" w:name="_Hlk205275534"/>
      <w:r w:rsidRPr="00DD7BD1">
        <w:rPr>
          <w:rFonts w:ascii="Calibri" w:eastAsiaTheme="minorHAnsi" w:hAnsi="Calibri" w:cs="Calibri"/>
          <w:kern w:val="0"/>
          <w:sz w:val="28"/>
          <w:szCs w:val="28"/>
        </w:rPr>
        <w:t>OSHA Issues Updated Penalty &amp; Debt Collection Guidelines to Support Small Businesses – Eff July 14, 2025</w:t>
      </w:r>
    </w:p>
    <w:bookmarkEnd w:id="18"/>
    <w:p w14:paraId="663FC1F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BAA748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Notably, under the new guidelines, the threshold for small employer penalty reductions has been raised—businesses with up to 25 employees (previously 10) can now qualify for a 70% penalty reduction.</w:t>
      </w:r>
    </w:p>
    <w:p w14:paraId="7544B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77F2FC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employers that promptly correct hazards may receive a new 15% reduction under OSHA’s “Quick-Fix” credit. To qualify, the hazard must be corrected within five days of discovery and employee exposure to the hazard must be prevented during that time. If more than five days is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273DC4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Been inspected by federal OSHA or a State Plan within the past five years and were found in compliance or cited only for other-than-serious violations; or</w:t>
      </w:r>
    </w:p>
    <w:p w14:paraId="7332B813"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Never been inspected by OSHA or a State Plan.</w:t>
      </w:r>
    </w:p>
    <w:p w14:paraId="7BCCA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451DCE6"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changes aim to reward good-faith compliance efforts while maintaining accountability for workplace safety.</w:t>
      </w:r>
    </w:p>
    <w:p w14:paraId="039451A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70B5735" w14:textId="38C63A5B" w:rsidR="001D3D04" w:rsidRPr="00DD7BD1" w:rsidRDefault="001D3D04" w:rsidP="00636C21">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Employers with open OSHA investigations should consult experienced workplace safety counsel to determine how these changes</w:t>
      </w:r>
      <w:r w:rsidRPr="00DD7BD1">
        <w:rPr>
          <w:rFonts w:ascii="Calibri" w:eastAsiaTheme="minorHAnsi" w:hAnsi="Calibri" w:cs="Calibri"/>
          <w:sz w:val="22"/>
          <w:szCs w:val="22"/>
        </w:rPr>
        <w:t xml:space="preserve"> may impact their case and to ensure they are taking full advantage of the updated policies.</w:t>
      </w:r>
    </w:p>
    <w:p w14:paraId="091D86F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4CD05FC4" w14:textId="77777777" w:rsidR="001D3D04" w:rsidRPr="00DD7BD1" w:rsidRDefault="001D3D04" w:rsidP="001D3D04">
      <w:pPr>
        <w:pStyle w:val="Heading1"/>
        <w:shd w:val="clear" w:color="auto" w:fill="FFFFFF"/>
        <w:spacing w:before="0" w:beforeAutospacing="0" w:after="0" w:afterAutospacing="0"/>
        <w:jc w:val="center"/>
        <w:rPr>
          <w:rFonts w:ascii="Calibri" w:hAnsi="Calibri" w:cs="Calibri"/>
          <w:b w:val="0"/>
          <w:bCs w:val="0"/>
          <w:color w:val="C0000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 </w:t>
      </w:r>
      <w:bookmarkStart w:id="19" w:name="_Hlk202781170"/>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bookmarkEnd w:id="19"/>
    <w:p w14:paraId="70F6C37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p>
    <w:p w14:paraId="45B556DD"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20" w:name="_Hlk202781193"/>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bookmarkEnd w:id="20"/>
    <w:p w14:paraId="68FBE404" w14:textId="77777777" w:rsidR="001D3D04" w:rsidRPr="00DD7BD1" w:rsidRDefault="001D3D04" w:rsidP="001558B8">
      <w:pPr>
        <w:pStyle w:val="BodyText"/>
        <w:spacing w:after="0" w:line="240" w:lineRule="auto"/>
        <w:ind w:right="274"/>
        <w:rPr>
          <w:rFonts w:eastAsiaTheme="minorHAnsi" w:cs="Calibri"/>
          <w:b/>
          <w:bCs/>
          <w:color w:val="auto"/>
          <w:kern w:val="36"/>
          <w:szCs w:val="22"/>
        </w:rPr>
      </w:pPr>
    </w:p>
    <w:p w14:paraId="4C40BD00"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777C1608" w14:textId="4C9005F1" w:rsidR="00D62A5D" w:rsidRPr="00DD7BD1" w:rsidRDefault="00D62A5D"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June Articles</w:t>
      </w:r>
    </w:p>
    <w:p w14:paraId="7828ECEF" w14:textId="686A2EBD" w:rsidR="00D62A5D" w:rsidRPr="00DD7BD1" w:rsidRDefault="00D62A5D" w:rsidP="00D62A5D">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5516899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5CA8DD3D" w14:textId="77777777" w:rsidR="00D62A5D" w:rsidRPr="00DD7BD1" w:rsidRDefault="00D62A5D" w:rsidP="00D62A5D">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3C4B45"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0520754E"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267" w:tgtFrame="_blank" w:history="1">
        <w:r w:rsidRPr="00DD7BD1">
          <w:rPr>
            <w:rStyle w:val="Hyperlink"/>
            <w:rFonts w:ascii="Calibri" w:eastAsiaTheme="minorHAnsi" w:hAnsi="Calibri" w:cs="Calibri"/>
            <w:b w:val="0"/>
            <w:bCs w:val="0"/>
            <w:sz w:val="22"/>
            <w:szCs w:val="22"/>
          </w:rPr>
          <w:t>June 23, 2025 guidance issued on the E-Verify website</w:t>
        </w:r>
      </w:hyperlink>
      <w:r w:rsidRPr="00DD7BD1">
        <w:rPr>
          <w:rFonts w:ascii="Calibri" w:eastAsiaTheme="minorHAnsi" w:hAnsi="Calibri" w:cs="Calibr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4940DFA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58D07A28"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50EB39BB"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color w:val="C00000"/>
          <w:kern w:val="0"/>
          <w:sz w:val="16"/>
          <w:szCs w:val="16"/>
        </w:rPr>
      </w:pPr>
    </w:p>
    <w:p w14:paraId="6B1295AB" w14:textId="77777777"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4304C00D" w14:textId="77777777" w:rsidR="00D62A5D" w:rsidRPr="00DD7BD1" w:rsidRDefault="00D62A5D" w:rsidP="00D62A5D">
      <w:pPr>
        <w:spacing w:after="0" w:line="240" w:lineRule="auto"/>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DD7BD1" w:rsidRDefault="00D62A5D" w:rsidP="00D62A5D">
      <w:pPr>
        <w:spacing w:after="0" w:line="240" w:lineRule="auto"/>
        <w:rPr>
          <w:rFonts w:ascii="Calibri" w:hAnsi="Calibri" w:cs="Calibri"/>
        </w:rPr>
      </w:pPr>
    </w:p>
    <w:p w14:paraId="009055A5" w14:textId="77777777" w:rsidR="00D62A5D" w:rsidRPr="00DD7BD1" w:rsidRDefault="00D62A5D" w:rsidP="00D62A5D">
      <w:pPr>
        <w:spacing w:after="0" w:line="240" w:lineRule="auto"/>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268" w:tgtFrame="_blank" w:history="1">
        <w:r w:rsidRPr="00DD7BD1">
          <w:rPr>
            <w:rStyle w:val="Hyperlink"/>
            <w:rFonts w:ascii="Calibri" w:hAnsi="Calibri" w:cs="Calibri"/>
            <w:bCs/>
          </w:rPr>
          <w:t>here.</w:t>
        </w:r>
      </w:hyperlink>
    </w:p>
    <w:p w14:paraId="3C325A8E" w14:textId="77777777" w:rsidR="00D62A5D" w:rsidRPr="00DD7BD1" w:rsidRDefault="00D62A5D" w:rsidP="00D62A5D">
      <w:pPr>
        <w:spacing w:after="0" w:line="240" w:lineRule="auto"/>
        <w:rPr>
          <w:rFonts w:ascii="Calibri" w:hAnsi="Calibri" w:cs="Calibri"/>
        </w:rPr>
      </w:pPr>
    </w:p>
    <w:p w14:paraId="72C8DB97"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 xml:space="preserve">Payment is due by July 31 of the year following the last day of the plan year. </w:t>
      </w:r>
    </w:p>
    <w:p w14:paraId="1E9D2BA4"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For plan years ending in 2024, the PCORI fees are due by July 31, 2025.</w:t>
      </w:r>
    </w:p>
    <w:p w14:paraId="0E9FE8C1" w14:textId="77777777" w:rsidR="00D62A5D" w:rsidRPr="00DD7BD1" w:rsidRDefault="00D62A5D" w:rsidP="00D62A5D">
      <w:pPr>
        <w:spacing w:after="0" w:line="240" w:lineRule="auto"/>
        <w:rPr>
          <w:rFonts w:ascii="Calibri" w:hAnsi="Calibri" w:cs="Calibri"/>
        </w:rPr>
      </w:pPr>
    </w:p>
    <w:p w14:paraId="27B0F41B" w14:textId="77777777" w:rsidR="00D62A5D" w:rsidRPr="00DD7BD1" w:rsidRDefault="00D62A5D" w:rsidP="00D62A5D">
      <w:pPr>
        <w:spacing w:after="0" w:line="240" w:lineRule="auto"/>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DD7BD1" w:rsidRDefault="00D62A5D" w:rsidP="00D62A5D">
      <w:pPr>
        <w:spacing w:after="0" w:line="240" w:lineRule="auto"/>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DD7BD1" w:rsidRDefault="00D62A5D" w:rsidP="00D62A5D">
      <w:pPr>
        <w:spacing w:after="0" w:line="240" w:lineRule="auto"/>
        <w:rPr>
          <w:rFonts w:ascii="Calibri" w:hAnsi="Calibri" w:cs="Calibri"/>
        </w:rPr>
      </w:pPr>
      <w:r w:rsidRPr="00DD7BD1">
        <w:rPr>
          <w:rFonts w:ascii="Calibri" w:hAnsi="Calibri" w:cs="Calibri"/>
        </w:rPr>
        <w:t> </w:t>
      </w:r>
    </w:p>
    <w:p w14:paraId="6DCD0B69" w14:textId="77777777" w:rsidR="00D62A5D" w:rsidRPr="00DD7BD1" w:rsidRDefault="00D62A5D" w:rsidP="00D62A5D">
      <w:pPr>
        <w:spacing w:after="0" w:line="240" w:lineRule="auto"/>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6E3BA098"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008CE554" w14:textId="24F81CC5"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0134479C" w14:textId="77777777" w:rsidR="00D62A5D" w:rsidRPr="00DD7BD1" w:rsidRDefault="00D62A5D" w:rsidP="00D62A5D">
      <w:pPr>
        <w:pStyle w:val="NormalWeb"/>
        <w:shd w:val="clear" w:color="auto" w:fill="FFFFFF"/>
        <w:spacing w:before="0" w:beforeAutospacing="0" w:after="0" w:afterAutospacing="0"/>
        <w:rPr>
          <w:rFonts w:ascii="Calibri" w:hAnsi="Calibri" w:cs="Calibri"/>
          <w:color w:val="292929"/>
          <w:spacing w:val="3"/>
          <w:sz w:val="22"/>
          <w:szCs w:val="22"/>
        </w:rPr>
      </w:pPr>
    </w:p>
    <w:p w14:paraId="4DABD063" w14:textId="77777777" w:rsidR="00D62A5D" w:rsidRPr="00DD7BD1" w:rsidRDefault="00D62A5D" w:rsidP="00D62A5D">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2025 </w:t>
      </w:r>
      <w:r w:rsidRPr="00DD7BD1">
        <w:rPr>
          <w:rFonts w:ascii="Calibri" w:eastAsiaTheme="minorHAnsi" w:hAnsi="Calibri" w:cs="Calibri"/>
          <w:kern w:val="0"/>
          <w:sz w:val="28"/>
          <w:szCs w:val="28"/>
        </w:rPr>
        <w:t>Filing Deadline</w:t>
      </w:r>
    </w:p>
    <w:p w14:paraId="53663FF4"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w:t>
      </w:r>
      <w:r w:rsidRPr="00DD7BD1">
        <w:rPr>
          <w:rFonts w:eastAsiaTheme="minorHAnsi" w:cs="Calibri"/>
          <w:b/>
          <w:bCs/>
          <w:color w:val="auto"/>
          <w:kern w:val="36"/>
          <w:szCs w:val="22"/>
          <w:u w:val="single"/>
        </w:rPr>
        <w:t xml:space="preserve">data for </w:t>
      </w:r>
      <w:r w:rsidRPr="00DD7BD1">
        <w:rPr>
          <w:rFonts w:eastAsiaTheme="minorHAnsi" w:cs="Calibri"/>
          <w:b/>
          <w:bCs/>
          <w:color w:val="C00000"/>
          <w:kern w:val="36"/>
          <w:szCs w:val="22"/>
          <w:u w:val="single"/>
        </w:rPr>
        <w:t>2024</w:t>
      </w:r>
      <w:r w:rsidRPr="00DD7BD1">
        <w:rPr>
          <w:rFonts w:eastAsiaTheme="minorHAnsi" w:cs="Calibri"/>
          <w:b/>
          <w:bCs/>
          <w:color w:val="auto"/>
          <w:kern w:val="36"/>
          <w:szCs w:val="22"/>
          <w:u w:val="single"/>
        </w:rPr>
        <w:t>.</w:t>
      </w:r>
    </w:p>
    <w:p w14:paraId="14B05EB7" w14:textId="77777777" w:rsidR="00D62A5D" w:rsidRPr="00DD7BD1" w:rsidRDefault="00D62A5D" w:rsidP="00D62A5D">
      <w:pPr>
        <w:pStyle w:val="BodyText"/>
        <w:spacing w:after="0" w:line="240" w:lineRule="auto"/>
        <w:ind w:right="274"/>
        <w:rPr>
          <w:rFonts w:eastAsiaTheme="minorHAnsi" w:cs="Calibri"/>
          <w:color w:val="auto"/>
          <w:kern w:val="36"/>
          <w:sz w:val="16"/>
          <w:szCs w:val="16"/>
        </w:rPr>
      </w:pPr>
    </w:p>
    <w:p w14:paraId="4D2E5B9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067D544E"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1117E5A4" w14:textId="15D4EF96" w:rsidR="00D62A5D" w:rsidRPr="00DD7BD1" w:rsidRDefault="00D62A5D" w:rsidP="00D62A5D">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5CD18BF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6DF4205B"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498A2CC8"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54E4D9E2"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6A879C2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6F7E50F8"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Employee Benefits Security Administration will release advisory opinions and information letters.</w:t>
      </w:r>
    </w:p>
    <w:p w14:paraId="5BF51AE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35D9940A" w14:textId="60E394EB"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61AA8E97"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09F53C81" w14:textId="6E663274" w:rsidR="001558B8" w:rsidRPr="00DD7BD1" w:rsidRDefault="001558B8"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May Articles:</w:t>
      </w:r>
    </w:p>
    <w:p w14:paraId="07CE21D9" w14:textId="77777777" w:rsidR="001558B8" w:rsidRPr="00DD7BD1" w:rsidRDefault="001558B8"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p>
    <w:p w14:paraId="17F719C7" w14:textId="77777777" w:rsidR="008631FB" w:rsidRPr="00DD7BD1" w:rsidRDefault="008631FB" w:rsidP="008631FB">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7DA4B0F2"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322522F5" w14:textId="77777777" w:rsidR="008631FB" w:rsidRPr="00DD7BD1" w:rsidRDefault="008631FB" w:rsidP="008631FB">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BAF256"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7FEFA534"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269" w:tgtFrame="_blank" w:history="1">
        <w:r w:rsidRPr="00DD7BD1">
          <w:rPr>
            <w:rStyle w:val="Hyperlink"/>
            <w:rFonts w:ascii="Calibri" w:eastAsiaTheme="minorHAnsi" w:hAnsi="Calibri" w:cs="Calibri"/>
            <w:b w:val="0"/>
            <w:bCs w:val="0"/>
            <w:sz w:val="22"/>
            <w:szCs w:val="22"/>
          </w:rPr>
          <w:t>June 23, 2025 guidance issued on the E-Verify website</w:t>
        </w:r>
      </w:hyperlink>
      <w:r w:rsidRPr="00DD7BD1">
        <w:rPr>
          <w:rFonts w:ascii="Calibri" w:eastAsiaTheme="minorHAnsi" w:hAnsi="Calibri" w:cs="Calibr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27A1C589"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0423E62D"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p>
    <w:p w14:paraId="00CB28D5" w14:textId="598CAE69"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0D2699A4" w14:textId="27B97CEB" w:rsidR="008631FB" w:rsidRPr="00DD7BD1" w:rsidRDefault="008631FB" w:rsidP="008631FB">
      <w:pPr>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7AF4F4D8" w14:textId="050BD727" w:rsidR="008631FB" w:rsidRPr="00DD7BD1" w:rsidRDefault="008631FB" w:rsidP="008631FB">
      <w:pPr>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270" w:tgtFrame="_blank" w:history="1">
        <w:r w:rsidRPr="00DD7BD1">
          <w:rPr>
            <w:rStyle w:val="Hyperlink"/>
            <w:rFonts w:ascii="Calibri" w:hAnsi="Calibri" w:cs="Calibri"/>
            <w:bCs/>
          </w:rPr>
          <w:t>here.</w:t>
        </w:r>
      </w:hyperlink>
    </w:p>
    <w:p w14:paraId="2261F3BA" w14:textId="77777777" w:rsidR="008631FB" w:rsidRPr="00DD7BD1" w:rsidRDefault="008631FB" w:rsidP="008631FB">
      <w:pPr>
        <w:rPr>
          <w:rFonts w:ascii="Calibri" w:hAnsi="Calibri" w:cs="Calibri"/>
          <w:b/>
          <w:bCs/>
        </w:rPr>
      </w:pPr>
      <w:r w:rsidRPr="00DD7BD1">
        <w:rPr>
          <w:rFonts w:ascii="Calibri" w:hAnsi="Calibri" w:cs="Calibri"/>
          <w:b/>
          <w:bCs/>
        </w:rPr>
        <w:t xml:space="preserve">Payment is due by July 31 of the year following the last day of the plan year. </w:t>
      </w:r>
    </w:p>
    <w:p w14:paraId="1B378CAC" w14:textId="3249A0F3" w:rsidR="008631FB" w:rsidRPr="00DD7BD1" w:rsidRDefault="008631FB" w:rsidP="008631FB">
      <w:pPr>
        <w:rPr>
          <w:rFonts w:ascii="Calibri" w:hAnsi="Calibri" w:cs="Calibri"/>
          <w:b/>
          <w:bCs/>
        </w:rPr>
      </w:pPr>
      <w:r w:rsidRPr="00DD7BD1">
        <w:rPr>
          <w:rFonts w:ascii="Calibri" w:hAnsi="Calibri" w:cs="Calibri"/>
          <w:b/>
          <w:bCs/>
        </w:rPr>
        <w:t>For plan years ending in 2024, the PCORI fees are due by July 31, 2025.</w:t>
      </w:r>
    </w:p>
    <w:p w14:paraId="3D1C5D74" w14:textId="77777777" w:rsidR="008631FB" w:rsidRPr="00DD7BD1" w:rsidRDefault="008631FB" w:rsidP="008631FB">
      <w:pPr>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DD7BD1" w:rsidRDefault="008631FB" w:rsidP="008631FB">
      <w:pPr>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DD7BD1" w:rsidRDefault="008631FB" w:rsidP="008631FB">
      <w:pPr>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0E34A464" w14:textId="77E1CE5C"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719FBBDE" w14:textId="77777777"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p>
    <w:p w14:paraId="40822F3B" w14:textId="14934A8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2024 EEO-1 Reporting - Expected May 20-June 24</w:t>
      </w:r>
    </w:p>
    <w:p w14:paraId="5D5ACF36"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 xml:space="preserve">Private employers </w:t>
      </w:r>
    </w:p>
    <w:p w14:paraId="5762B9DF"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With </w:t>
      </w:r>
      <w:r w:rsidRPr="00DD7BD1">
        <w:rPr>
          <w:rFonts w:ascii="Calibri" w:eastAsiaTheme="minorHAnsi" w:hAnsi="Calibri" w:cs="Calibri"/>
          <w:b w:val="0"/>
          <w:bCs w:val="0"/>
          <w:kern w:val="0"/>
          <w:sz w:val="22"/>
          <w:szCs w:val="22"/>
          <w:u w:val="single"/>
        </w:rPr>
        <w:t>at least 100 employees and federal contractors with at least 50 employees</w:t>
      </w:r>
      <w:r w:rsidRPr="00DD7BD1">
        <w:rPr>
          <w:rFonts w:ascii="Calibri" w:eastAsiaTheme="minorHAnsi" w:hAnsi="Calibri" w:cs="Calibri"/>
          <w:b w:val="0"/>
          <w:bCs w:val="0"/>
          <w:kern w:val="0"/>
          <w:sz w:val="22"/>
          <w:szCs w:val="22"/>
        </w:rPr>
        <w:t xml:space="preserve"> should prepare to sort company data by employee </w:t>
      </w:r>
      <w:r w:rsidRPr="00DD7BD1">
        <w:rPr>
          <w:rFonts w:ascii="Calibri" w:eastAsiaTheme="minorHAnsi" w:hAnsi="Calibri" w:cs="Calibri"/>
          <w:kern w:val="0"/>
          <w:sz w:val="22"/>
          <w:szCs w:val="22"/>
        </w:rPr>
        <w:t>job category, as well as by sex and race/ethnicity</w:t>
      </w:r>
      <w:r w:rsidRPr="00DD7BD1">
        <w:rPr>
          <w:rFonts w:ascii="Calibri" w:eastAsiaTheme="minorHAnsi" w:hAnsi="Calibri" w:cs="Calibri"/>
          <w:b w:val="0"/>
          <w:bCs w:val="0"/>
          <w:kern w:val="0"/>
          <w:sz w:val="22"/>
          <w:szCs w:val="22"/>
        </w:rPr>
        <w:t xml:space="preserve">, to turn over to the EEOC between </w:t>
      </w:r>
      <w:r w:rsidRPr="00DD7BD1">
        <w:rPr>
          <w:rFonts w:ascii="Calibri" w:eastAsiaTheme="minorHAnsi" w:hAnsi="Calibri" w:cs="Calibri"/>
          <w:b w:val="0"/>
          <w:bCs w:val="0"/>
          <w:color w:val="C00000"/>
          <w:kern w:val="0"/>
          <w:sz w:val="22"/>
          <w:szCs w:val="22"/>
        </w:rPr>
        <w:t>May 20 and June 24</w:t>
      </w:r>
      <w:r w:rsidRPr="00DD7BD1">
        <w:rPr>
          <w:rFonts w:ascii="Calibri" w:eastAsiaTheme="minorHAnsi" w:hAnsi="Calibri" w:cs="Calibri"/>
          <w:b w:val="0"/>
          <w:bCs w:val="0"/>
          <w:kern w:val="0"/>
          <w:sz w:val="22"/>
          <w:szCs w:val="22"/>
        </w:rPr>
        <w:t xml:space="preserve">. </w:t>
      </w:r>
    </w:p>
    <w:p w14:paraId="01817EA6"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While these dates may change, the final opening and deadline dates will be posted on the </w:t>
      </w:r>
      <w:hyperlink r:id="rId271" w:history="1">
        <w:r w:rsidRPr="00DD7BD1">
          <w:rPr>
            <w:rStyle w:val="Hyperlink"/>
            <w:rFonts w:ascii="Calibri" w:eastAsiaTheme="minorHAnsi" w:hAnsi="Calibri" w:cs="Calibri"/>
            <w:b w:val="0"/>
            <w:bCs w:val="0"/>
            <w:kern w:val="0"/>
            <w:sz w:val="22"/>
            <w:szCs w:val="22"/>
          </w:rPr>
          <w:t>EEOC’s dedicated website for its EEO-1 Component 1 data collection</w:t>
        </w:r>
      </w:hyperlink>
      <w:r w:rsidRPr="00DD7BD1">
        <w:rPr>
          <w:rFonts w:ascii="Calibri" w:eastAsiaTheme="minorHAnsi" w:hAnsi="Calibri" w:cs="Calibri"/>
          <w:b w:val="0"/>
          <w:bCs w:val="0"/>
          <w:kern w:val="0"/>
          <w:sz w:val="22"/>
          <w:szCs w:val="22"/>
        </w:rPr>
        <w:t>.</w:t>
      </w:r>
    </w:p>
    <w:p w14:paraId="5FE4699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Federal contractors</w:t>
      </w:r>
      <w:r w:rsidRPr="00DD7BD1">
        <w:rPr>
          <w:rFonts w:ascii="Calibri" w:eastAsiaTheme="minorHAnsi" w:hAnsi="Calibri" w:cs="Calibri"/>
          <w:b w:val="0"/>
          <w:bCs w:val="0"/>
          <w:kern w:val="0"/>
          <w:sz w:val="22"/>
          <w:szCs w:val="22"/>
        </w:rPr>
        <w:t xml:space="preserve"> </w:t>
      </w:r>
    </w:p>
    <w:p w14:paraId="58B3A40A"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With 50-100 employees are still uncertain whether they will be required to file an EEO-1 this year. Until we have further guidance from the EEOC or OFCCP, we cannot be sure whether federal contractors falling in this window will have an EEO-1 filing obligation this year.</w:t>
      </w:r>
    </w:p>
    <w:p w14:paraId="7EA9054C"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No Pay Data Collection &amp; Reporting Obligations</w:t>
      </w:r>
    </w:p>
    <w:p w14:paraId="353D238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As predicted, the new Trump EEOC has shelved any plans to collect employee pay data with 2024 EEO reporting obligations.</w:t>
      </w:r>
    </w:p>
    <w:p w14:paraId="0587DF1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EEO-1 Next Steps</w:t>
      </w:r>
    </w:p>
    <w:p w14:paraId="4887077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in order to avoid EEO-1 reporting. If you reached 100 or more employees during </w:t>
      </w:r>
      <w:r w:rsidRPr="00DD7BD1">
        <w:rPr>
          <w:rFonts w:ascii="Calibri" w:eastAsiaTheme="minorHAnsi" w:hAnsi="Calibri" w:cs="Calibri"/>
          <w:b w:val="0"/>
          <w:bCs w:val="0"/>
          <w:kern w:val="0"/>
          <w:sz w:val="22"/>
          <w:szCs w:val="22"/>
          <w:u w:val="single"/>
        </w:rPr>
        <w:t>any</w:t>
      </w:r>
      <w:r w:rsidRPr="00DD7BD1">
        <w:rPr>
          <w:rFonts w:ascii="Calibri" w:eastAsiaTheme="minorHAnsi" w:hAnsi="Calibri" w:cs="Calibri"/>
          <w:b w:val="0"/>
          <w:bCs w:val="0"/>
          <w:kern w:val="0"/>
          <w:sz w:val="22"/>
          <w:szCs w:val="22"/>
        </w:rPr>
        <w:t> </w:t>
      </w:r>
      <w:r w:rsidRPr="00DD7BD1">
        <w:rPr>
          <w:rFonts w:ascii="Calibri" w:eastAsiaTheme="minorHAnsi" w:hAnsi="Calibri" w:cs="Calibri"/>
          <w:b w:val="0"/>
          <w:bCs w:val="0"/>
          <w:kern w:val="0"/>
          <w:sz w:val="22"/>
          <w:szCs w:val="22"/>
          <w:u w:val="single"/>
        </w:rPr>
        <w:t>point of the fourth quarter of 2024</w:t>
      </w:r>
      <w:r w:rsidRPr="00DD7BD1">
        <w:rPr>
          <w:rFonts w:ascii="Calibri" w:eastAsiaTheme="minorHAnsi" w:hAnsi="Calibri" w:cs="Calibri"/>
          <w:b w:val="0"/>
          <w:bCs w:val="0"/>
          <w:kern w:val="0"/>
          <w:sz w:val="22"/>
          <w:szCs w:val="22"/>
        </w:rPr>
        <w:t>, EEO-1 reporting is required.</w:t>
      </w:r>
    </w:p>
    <w:p w14:paraId="7F3564D2" w14:textId="77777777" w:rsidR="007D0B93" w:rsidRPr="00DD7BD1" w:rsidRDefault="007D0B93">
      <w:pPr>
        <w:pStyle w:val="NormalWeb"/>
        <w:numPr>
          <w:ilvl w:val="0"/>
          <w:numId w:val="160"/>
        </w:numPr>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Ensure that your job titles are categorized correctly and consistently. </w:t>
      </w:r>
    </w:p>
    <w:p w14:paraId="3E69C646" w14:textId="77777777" w:rsidR="007D0B93" w:rsidRPr="00DD7BD1" w:rsidRDefault="007D0B93" w:rsidP="007D0B93">
      <w:pPr>
        <w:pStyle w:val="NormalWeb"/>
        <w:shd w:val="clear" w:color="auto" w:fill="FFFFFF"/>
        <w:spacing w:before="0" w:beforeAutospacing="0" w:after="0" w:afterAutospacing="0"/>
        <w:ind w:left="720"/>
        <w:rPr>
          <w:rFonts w:ascii="Calibri" w:hAnsi="Calibri" w:cs="Calibri"/>
          <w:spacing w:val="3"/>
          <w:sz w:val="22"/>
          <w:szCs w:val="22"/>
        </w:rPr>
      </w:pPr>
      <w:r w:rsidRPr="00DD7BD1">
        <w:rPr>
          <w:rFonts w:ascii="Calibri" w:hAnsi="Calibri" w:cs="Calibri"/>
          <w:spacing w:val="3"/>
          <w:sz w:val="22"/>
          <w:szCs w:val="22"/>
        </w:rPr>
        <w:t>The EEO job categories are:</w:t>
      </w:r>
    </w:p>
    <w:p w14:paraId="7AE83A2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(1.1) Executive/Senior-level officials and managers</w:t>
      </w:r>
    </w:p>
    <w:p w14:paraId="3A0CCCE1"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(1.2) First/Mid-level officials and managers</w:t>
      </w:r>
    </w:p>
    <w:p w14:paraId="181CA96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(2) Professionals</w:t>
      </w:r>
    </w:p>
    <w:p w14:paraId="1E9ADFAF"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(3) Technicians</w:t>
      </w:r>
    </w:p>
    <w:p w14:paraId="3683F033"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(4) Sales workers</w:t>
      </w:r>
    </w:p>
    <w:p w14:paraId="7EA2B42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(5) Administrative support workers</w:t>
      </w:r>
    </w:p>
    <w:p w14:paraId="42E573D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(6) Craft workers</w:t>
      </w:r>
    </w:p>
    <w:p w14:paraId="779AB45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(7) Operatives</w:t>
      </w:r>
    </w:p>
    <w:p w14:paraId="050512EC"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(8) Laborers and helpers</w:t>
      </w:r>
    </w:p>
    <w:p w14:paraId="2EB3ACE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(9) Service workers</w:t>
      </w:r>
    </w:p>
    <w:p w14:paraId="3DFC99C5"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Ensure data reflects race/ethnicity categories</w:t>
      </w:r>
    </w:p>
    <w:p w14:paraId="1EA3E679"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Hispanic or Latino:</w:t>
      </w:r>
      <w:r w:rsidRPr="00DD7BD1">
        <w:rPr>
          <w:rFonts w:ascii="Calibri" w:eastAsia="Times New Roman" w:hAnsi="Calibri" w:cs="Calibri"/>
          <w:color w:val="292929"/>
          <w:spacing w:val="3"/>
        </w:rPr>
        <w:t> A person of Cuban, Mexican, Puerto Rican, South or Central American, or other Spanish culture or origin regardless of race.</w:t>
      </w:r>
    </w:p>
    <w:p w14:paraId="10CD6383"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White (Not Hispanic or Latino): </w:t>
      </w:r>
      <w:r w:rsidRPr="00DD7BD1">
        <w:rPr>
          <w:rFonts w:ascii="Calibri" w:eastAsia="Times New Roman" w:hAnsi="Calibri" w:cs="Calibri"/>
          <w:color w:val="292929"/>
          <w:spacing w:val="3"/>
        </w:rPr>
        <w:t>A person having origins in any of the original peoples of Europe, the Middle East, or North Africa.</w:t>
      </w:r>
    </w:p>
    <w:p w14:paraId="326F4ADE"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Black or African American (Not Hispanic or Latino): </w:t>
      </w:r>
      <w:r w:rsidRPr="00DD7BD1">
        <w:rPr>
          <w:rFonts w:ascii="Calibri" w:eastAsia="Times New Roman" w:hAnsi="Calibri" w:cs="Calibri"/>
          <w:color w:val="292929"/>
          <w:spacing w:val="3"/>
        </w:rPr>
        <w:t>A person having origins in any of the black racial groups of Africa.</w:t>
      </w:r>
    </w:p>
    <w:p w14:paraId="7297FBEA"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Native Hawaiian or Other Pacific Islander (Not Hispanic or Latino): </w:t>
      </w:r>
      <w:r w:rsidRPr="00DD7BD1">
        <w:rPr>
          <w:rFonts w:ascii="Calibri" w:eastAsia="Times New Roman" w:hAnsi="Calibri" w:cs="Calibri"/>
          <w:color w:val="292929"/>
          <w:spacing w:val="3"/>
        </w:rPr>
        <w:t>A person having origins in any of the peoples of Hawaii, Guam, Samoa, or other Pacific Islands.</w:t>
      </w:r>
    </w:p>
    <w:p w14:paraId="4BA834F8"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Asian (Not Hispanic or Latino): </w:t>
      </w:r>
      <w:r w:rsidRPr="00DD7BD1">
        <w:rPr>
          <w:rFonts w:ascii="Calibri" w:eastAsia="Times New Roman" w:hAnsi="Calibri" w:cs="Calibri"/>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American Indian or Alaska Native (Not Hispanic or Latino): </w:t>
      </w:r>
      <w:r w:rsidRPr="00DD7BD1">
        <w:rPr>
          <w:rFonts w:ascii="Calibri" w:eastAsia="Times New Roman" w:hAnsi="Calibri" w:cs="Calibri"/>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Two or More Races (Not Hispanic or Latino): </w:t>
      </w:r>
      <w:r w:rsidRPr="00DD7BD1">
        <w:rPr>
          <w:rFonts w:ascii="Calibri" w:eastAsia="Times New Roman" w:hAnsi="Calibri" w:cs="Calibri"/>
          <w:color w:val="292929"/>
          <w:spacing w:val="3"/>
        </w:rPr>
        <w:t>All persons who identify with more than one of the above five races.</w:t>
      </w:r>
    </w:p>
    <w:p w14:paraId="351E434F" w14:textId="44E8340A"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rPr>
        <w:t xml:space="preserve"> Employers subject to EEO-1 requirements should begin preparing now to ensure compliance by the anticipated June deadline as it appears employers will have until June 24 to file. In the past, the EEO-1 reporting system has slowed down significantly as the deadline approached, which makes filing more challenging. Allow sufficient time before the deadline to avoid last minute scrambling should there be technical challenges.</w:t>
      </w:r>
    </w:p>
    <w:p w14:paraId="23AD0AC0" w14:textId="77777777"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16"/>
          <w:szCs w:val="16"/>
        </w:rPr>
      </w:pPr>
    </w:p>
    <w:p w14:paraId="29116AE3" w14:textId="77777777" w:rsidR="007D0B93" w:rsidRPr="00DD7BD1" w:rsidRDefault="007D0B93"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2025 </w:t>
      </w:r>
      <w:r w:rsidRPr="00DD7BD1">
        <w:rPr>
          <w:rFonts w:ascii="Calibri" w:eastAsiaTheme="minorHAnsi" w:hAnsi="Calibri" w:cs="Calibri"/>
          <w:kern w:val="0"/>
          <w:sz w:val="28"/>
          <w:szCs w:val="28"/>
        </w:rPr>
        <w:t>Filing Deadline</w:t>
      </w:r>
    </w:p>
    <w:p w14:paraId="1C3E43FC"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data for </w:t>
      </w:r>
      <w:r w:rsidRPr="00DD7BD1">
        <w:rPr>
          <w:rFonts w:eastAsiaTheme="minorHAnsi" w:cs="Calibri"/>
          <w:color w:val="C00000"/>
          <w:kern w:val="36"/>
          <w:szCs w:val="22"/>
        </w:rPr>
        <w:t>2024</w:t>
      </w:r>
      <w:r w:rsidRPr="00DD7BD1">
        <w:rPr>
          <w:rFonts w:eastAsiaTheme="minorHAnsi" w:cs="Calibri"/>
          <w:color w:val="auto"/>
          <w:kern w:val="36"/>
          <w:szCs w:val="22"/>
        </w:rPr>
        <w:t>.</w:t>
      </w:r>
    </w:p>
    <w:p w14:paraId="1BC2D2E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C216573"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7F424EE5"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00C157B" w14:textId="77777777" w:rsidR="007D0B93" w:rsidRPr="00DD7BD1" w:rsidRDefault="007D0B93" w:rsidP="007D0B93">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Resources:</w:t>
      </w:r>
    </w:p>
    <w:p w14:paraId="3AA0D0DF" w14:textId="77777777" w:rsidR="007D0B93" w:rsidRPr="00DD7BD1" w:rsidRDefault="007D0B93" w:rsidP="007D0B93">
      <w:pPr>
        <w:pStyle w:val="BulletListText"/>
        <w:spacing w:after="0"/>
        <w:ind w:left="273" w:hanging="187"/>
        <w:jc w:val="left"/>
        <w:rPr>
          <w:rFonts w:cs="Calibri"/>
        </w:rPr>
      </w:pPr>
      <w:r w:rsidRPr="00DD7BD1">
        <w:rPr>
          <w:rFonts w:cs="Calibri"/>
          <w:color w:val="auto"/>
        </w:rPr>
        <w:t xml:space="preserve">RxDC reporting </w:t>
      </w:r>
      <w:hyperlink r:id="rId272" w:history="1">
        <w:r w:rsidRPr="00DD7BD1">
          <w:rPr>
            <w:rStyle w:val="Hyperlink"/>
            <w:rFonts w:eastAsiaTheme="majorEastAsia" w:cs="Calibri"/>
          </w:rPr>
          <w:t>webpage</w:t>
        </w:r>
      </w:hyperlink>
      <w:r w:rsidRPr="00DD7BD1">
        <w:rPr>
          <w:rFonts w:cs="Calibri"/>
        </w:rPr>
        <w:t xml:space="preserve"> </w:t>
      </w:r>
      <w:r w:rsidRPr="00DD7BD1">
        <w:rPr>
          <w:rFonts w:cs="Calibri"/>
          <w:color w:val="auto"/>
        </w:rPr>
        <w:t>(with links to reporting resources)</w:t>
      </w:r>
    </w:p>
    <w:p w14:paraId="4679D5E6" w14:textId="77777777" w:rsidR="007D0B93" w:rsidRPr="00DD7BD1" w:rsidRDefault="007D0B93" w:rsidP="007D0B93">
      <w:pPr>
        <w:pStyle w:val="BulletListText"/>
        <w:spacing w:after="0"/>
        <w:ind w:left="273" w:hanging="187"/>
        <w:jc w:val="left"/>
        <w:rPr>
          <w:rFonts w:cs="Calibri"/>
        </w:rPr>
      </w:pPr>
      <w:hyperlink r:id="rId273" w:history="1">
        <w:r w:rsidRPr="00DD7BD1">
          <w:rPr>
            <w:rStyle w:val="Hyperlink"/>
            <w:rFonts w:eastAsiaTheme="majorEastAsia" w:cs="Calibri"/>
          </w:rPr>
          <w:t>Frequently Asked Questions</w:t>
        </w:r>
      </w:hyperlink>
    </w:p>
    <w:p w14:paraId="4B0FBF0E" w14:textId="77777777" w:rsidR="007D0B93" w:rsidRPr="00DD7BD1" w:rsidRDefault="007D0B93" w:rsidP="007D0B93">
      <w:pPr>
        <w:pStyle w:val="BulletListText"/>
        <w:spacing w:after="0"/>
        <w:ind w:left="273" w:hanging="187"/>
        <w:jc w:val="left"/>
        <w:rPr>
          <w:rFonts w:cs="Calibri"/>
        </w:rPr>
      </w:pPr>
      <w:hyperlink r:id="rId274" w:history="1">
        <w:r w:rsidRPr="00DD7BD1">
          <w:rPr>
            <w:rStyle w:val="Hyperlink"/>
            <w:rFonts w:eastAsiaTheme="majorEastAsia" w:cs="Calibri"/>
          </w:rPr>
          <w:t>Reporting instructions</w:t>
        </w:r>
      </w:hyperlink>
      <w:r w:rsidRPr="00DD7BD1">
        <w:rPr>
          <w:rFonts w:cs="Calibri"/>
        </w:rPr>
        <w:t xml:space="preserve"> </w:t>
      </w:r>
      <w:r w:rsidRPr="00DD7BD1">
        <w:rPr>
          <w:rFonts w:cs="Calibri"/>
          <w:color w:val="auto"/>
        </w:rPr>
        <w:t>(updated January 2025, no changes from last year)</w:t>
      </w:r>
    </w:p>
    <w:p w14:paraId="36216882" w14:textId="77777777" w:rsidR="007D0B93" w:rsidRPr="00DD7BD1" w:rsidRDefault="007D0B93" w:rsidP="007D0B93">
      <w:pPr>
        <w:pStyle w:val="BulletListText"/>
        <w:spacing w:after="0"/>
        <w:ind w:left="273" w:hanging="187"/>
        <w:jc w:val="left"/>
        <w:rPr>
          <w:rFonts w:cs="Calibri"/>
        </w:rPr>
      </w:pPr>
      <w:hyperlink r:id="rId275" w:history="1">
        <w:r w:rsidRPr="00DD7BD1">
          <w:rPr>
            <w:rStyle w:val="Hyperlink"/>
            <w:rFonts w:eastAsiaTheme="majorEastAsia" w:cs="Calibri"/>
          </w:rPr>
          <w:t>User Manual</w:t>
        </w:r>
      </w:hyperlink>
      <w:r w:rsidRPr="00DD7BD1">
        <w:rPr>
          <w:rFonts w:cs="Calibri"/>
        </w:rPr>
        <w:t xml:space="preserve"> </w:t>
      </w:r>
      <w:r w:rsidRPr="00DD7BD1">
        <w:rPr>
          <w:rFonts w:cs="Calibri"/>
          <w:color w:val="auto"/>
        </w:rPr>
        <w:t xml:space="preserve">for submitting RxDC reports </w:t>
      </w:r>
    </w:p>
    <w:p w14:paraId="3AB316B3"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037A91D8"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6C6FEEAD" w14:textId="77777777" w:rsidR="008631FB" w:rsidRPr="00DD7BD1" w:rsidRDefault="008631FB" w:rsidP="007D0B93">
      <w:pPr>
        <w:pStyle w:val="BodyText"/>
        <w:spacing w:after="0" w:line="240" w:lineRule="auto"/>
        <w:ind w:right="274"/>
        <w:rPr>
          <w:rFonts w:eastAsiaTheme="minorHAnsi" w:cs="Calibri"/>
          <w:color w:val="auto"/>
          <w:kern w:val="36"/>
          <w:szCs w:val="22"/>
        </w:rPr>
      </w:pPr>
    </w:p>
    <w:p w14:paraId="4860D1FA" w14:textId="77777777" w:rsidR="008631FB" w:rsidRPr="00DD7BD1" w:rsidRDefault="008631FB" w:rsidP="008631FB">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45643977"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30FD554F" w14:textId="77777777" w:rsidR="008631FB" w:rsidRPr="00DD7BD1" w:rsidRDefault="008631FB" w:rsidP="008631FB">
      <w:pPr>
        <w:pStyle w:val="BodyText"/>
        <w:spacing w:after="0" w:line="240" w:lineRule="auto"/>
        <w:ind w:right="274"/>
        <w:rPr>
          <w:rFonts w:eastAsiaTheme="minorHAnsi" w:cs="Calibri"/>
          <w:color w:val="auto"/>
          <w:kern w:val="36"/>
          <w:szCs w:val="22"/>
        </w:rPr>
      </w:pPr>
    </w:p>
    <w:p w14:paraId="01BE91B1"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06E7EC8D"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0A6A8803"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33F09AB2"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Employee Benefits Security Administration will release advisory opinions and information letters.</w:t>
      </w:r>
    </w:p>
    <w:p w14:paraId="306B716A"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160491FA" w14:textId="25BF3489"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082D56F1" w14:textId="77777777" w:rsidR="001558B8" w:rsidRPr="00DD7BD1" w:rsidRDefault="001558B8" w:rsidP="007D0B93">
      <w:pPr>
        <w:pStyle w:val="BodyText"/>
        <w:spacing w:after="0" w:line="240" w:lineRule="auto"/>
        <w:ind w:right="274"/>
        <w:rPr>
          <w:rFonts w:eastAsiaTheme="minorHAnsi" w:cs="Calibri"/>
          <w:color w:val="auto"/>
          <w:kern w:val="36"/>
          <w:szCs w:val="22"/>
        </w:rPr>
      </w:pPr>
    </w:p>
    <w:p w14:paraId="1DF500C6" w14:textId="77777777" w:rsidR="001558B8" w:rsidRPr="00DD7BD1" w:rsidRDefault="001558B8" w:rsidP="001558B8">
      <w:pPr>
        <w:pStyle w:val="BodyText"/>
        <w:spacing w:after="0" w:line="240" w:lineRule="auto"/>
        <w:ind w:right="274"/>
        <w:jc w:val="center"/>
        <w:rPr>
          <w:rFonts w:eastAsiaTheme="minorHAnsi" w:cs="Calibri"/>
          <w:b/>
          <w:bCs/>
          <w:color w:val="auto"/>
          <w:kern w:val="36"/>
          <w:sz w:val="28"/>
          <w:szCs w:val="28"/>
        </w:rPr>
      </w:pPr>
      <w:r w:rsidRPr="00DD7BD1">
        <w:rPr>
          <w:rFonts w:eastAsiaTheme="minorHAnsi" w:cs="Calibri"/>
          <w:b/>
          <w:bCs/>
          <w:color w:val="auto"/>
          <w:kern w:val="36"/>
          <w:sz w:val="28"/>
          <w:szCs w:val="28"/>
        </w:rPr>
        <w:t>Executive Order: Aim to Reduce Drug Costs</w:t>
      </w:r>
    </w:p>
    <w:p w14:paraId="5B2B658C" w14:textId="77777777" w:rsidR="001558B8" w:rsidRPr="00DD7BD1" w:rsidRDefault="001558B8" w:rsidP="001558B8">
      <w:pPr>
        <w:pStyle w:val="ParagraphBasic"/>
        <w:spacing w:after="120"/>
        <w:rPr>
          <w:rFonts w:ascii="Calibri" w:hAnsi="Calibri" w:cs="Calibri"/>
        </w:rPr>
      </w:pPr>
      <w:r w:rsidRPr="00DD7BD1">
        <w:rPr>
          <w:rFonts w:ascii="Calibri" w:hAnsi="Calibri" w:cs="Calibri"/>
        </w:rPr>
        <w:t xml:space="preserve">On May 12, 2025, President Donald Trump issued an </w:t>
      </w:r>
      <w:hyperlink r:id="rId276" w:history="1">
        <w:r w:rsidRPr="00DD7BD1">
          <w:rPr>
            <w:rStyle w:val="Hyperlink"/>
            <w:rFonts w:ascii="Calibri" w:hAnsi="Calibri" w:cs="Calibri"/>
          </w:rPr>
          <w:t>executive order</w:t>
        </w:r>
      </w:hyperlink>
      <w:r w:rsidRPr="00DD7BD1">
        <w:rPr>
          <w:rFonts w:ascii="Calibri" w:hAnsi="Calibri" w:cs="Calibri"/>
        </w:rPr>
        <w:t xml:space="preserve"> (EO) that aims to bring the prices Americans pay for prescription drugs in line with those paid by similar nations. According to a White House </w:t>
      </w:r>
      <w:hyperlink r:id="rId277" w:history="1">
        <w:r w:rsidRPr="00DD7BD1">
          <w:rPr>
            <w:rStyle w:val="Hyperlink"/>
            <w:rFonts w:ascii="Calibri" w:hAnsi="Calibri" w:cs="Calibri"/>
          </w:rPr>
          <w:t>fact sheet</w:t>
        </w:r>
      </w:hyperlink>
      <w:r w:rsidRPr="00DD7BD1">
        <w:rPr>
          <w:rFonts w:ascii="Calibri" w:hAnsi="Calibri" w:cs="Calibri"/>
        </w:rPr>
        <w:t>, the prices Americans pay for brand-name drugs are more than three times the price other nations pay.</w:t>
      </w:r>
    </w:p>
    <w:p w14:paraId="2AE39FDA"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directs HHS to communicate most-favored-nation price targets to pharmaceutical manufacturers within 30 days.</w:t>
      </w:r>
    </w:p>
    <w:p w14:paraId="79782890" w14:textId="77777777" w:rsidR="001558B8" w:rsidRPr="00DD7BD1" w:rsidRDefault="001558B8" w:rsidP="001558B8">
      <w:pPr>
        <w:pStyle w:val="BList1"/>
        <w:numPr>
          <w:ilvl w:val="0"/>
          <w:numId w:val="0"/>
        </w:numPr>
        <w:ind w:left="720"/>
        <w:rPr>
          <w:rFonts w:ascii="Calibri" w:hAnsi="Calibri" w:cs="Calibri"/>
        </w:rPr>
      </w:pPr>
    </w:p>
    <w:p w14:paraId="11B90943"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is expected to face legal challenges, so the immediate impact on drug costs remains to be seen.</w:t>
      </w:r>
    </w:p>
    <w:p w14:paraId="02A50704" w14:textId="77777777" w:rsidR="001558B8" w:rsidRPr="00DD7BD1" w:rsidRDefault="001558B8" w:rsidP="001558B8">
      <w:pPr>
        <w:pStyle w:val="BList1"/>
        <w:numPr>
          <w:ilvl w:val="0"/>
          <w:numId w:val="0"/>
        </w:numPr>
        <w:ind w:left="360"/>
        <w:rPr>
          <w:rFonts w:ascii="Calibri" w:hAnsi="Calibri" w:cs="Calibri"/>
          <w:b/>
          <w:bCs/>
          <w:sz w:val="16"/>
          <w:szCs w:val="16"/>
        </w:rPr>
      </w:pPr>
    </w:p>
    <w:p w14:paraId="100AD65C" w14:textId="77777777" w:rsidR="001558B8" w:rsidRPr="00DD7BD1" w:rsidRDefault="001558B8" w:rsidP="001558B8">
      <w:pPr>
        <w:pStyle w:val="BList1"/>
        <w:numPr>
          <w:ilvl w:val="0"/>
          <w:numId w:val="0"/>
        </w:numPr>
        <w:rPr>
          <w:rFonts w:ascii="Calibri" w:hAnsi="Calibri" w:cs="Calibri"/>
          <w:b/>
          <w:bCs/>
        </w:rPr>
      </w:pPr>
      <w:r w:rsidRPr="00DD7BD1">
        <w:rPr>
          <w:rFonts w:ascii="Calibri" w:hAnsi="Calibri" w:cs="Calibri"/>
          <w:b/>
          <w:bCs/>
        </w:rPr>
        <w:t>Potential Legal Hurdles</w:t>
      </w:r>
    </w:p>
    <w:p w14:paraId="0ACE39DB" w14:textId="77777777" w:rsidR="001558B8" w:rsidRPr="00DD7BD1" w:rsidRDefault="001558B8" w:rsidP="001558B8">
      <w:pPr>
        <w:pStyle w:val="BList1"/>
        <w:numPr>
          <w:ilvl w:val="0"/>
          <w:numId w:val="0"/>
        </w:numPr>
        <w:rPr>
          <w:rFonts w:ascii="Calibri" w:hAnsi="Calibri" w:cs="Calibri"/>
        </w:rPr>
      </w:pPr>
      <w:r w:rsidRPr="00DD7BD1">
        <w:rPr>
          <w:rFonts w:ascii="Calibri" w:hAnsi="Calibri" w:cs="Calibri"/>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DD7BD1" w:rsidRDefault="001558B8" w:rsidP="001558B8">
      <w:pPr>
        <w:pStyle w:val="BList1"/>
        <w:numPr>
          <w:ilvl w:val="0"/>
          <w:numId w:val="0"/>
        </w:numPr>
        <w:spacing w:line="259" w:lineRule="auto"/>
        <w:rPr>
          <w:rFonts w:ascii="Calibri" w:hAnsi="Calibri" w:cs="Calibri"/>
          <w:sz w:val="16"/>
          <w:szCs w:val="16"/>
        </w:rPr>
      </w:pPr>
    </w:p>
    <w:p w14:paraId="7E6F4749" w14:textId="21A8C7C9" w:rsidR="001558B8" w:rsidRPr="00DD7BD1" w:rsidRDefault="001558B8" w:rsidP="001558B8">
      <w:pPr>
        <w:pStyle w:val="BList1"/>
        <w:numPr>
          <w:ilvl w:val="0"/>
          <w:numId w:val="0"/>
        </w:numPr>
        <w:spacing w:before="0" w:after="0" w:line="240" w:lineRule="auto"/>
        <w:jc w:val="center"/>
        <w:rPr>
          <w:rFonts w:ascii="Calibri" w:hAnsi="Calibri" w:cs="Calibri"/>
          <w:b/>
          <w:bCs/>
          <w:sz w:val="28"/>
          <w:szCs w:val="28"/>
        </w:rPr>
      </w:pPr>
      <w:r w:rsidRPr="00DD7BD1">
        <w:rPr>
          <w:rFonts w:ascii="Calibri" w:hAnsi="Calibri" w:cs="Calibri"/>
          <w:b/>
          <w:bCs/>
          <w:sz w:val="28"/>
          <w:szCs w:val="28"/>
        </w:rPr>
        <w:t>Trump Administration Will Not Enforce Final Rule on Mental Health Parity</w:t>
      </w:r>
    </w:p>
    <w:p w14:paraId="0E0EABB1" w14:textId="77777777" w:rsidR="001558B8" w:rsidRPr="00DD7BD1" w:rsidRDefault="001558B8" w:rsidP="001558B8">
      <w:pPr>
        <w:pStyle w:val="ParagraphBasic"/>
        <w:spacing w:after="0" w:line="240" w:lineRule="auto"/>
        <w:rPr>
          <w:rFonts w:ascii="Calibri" w:hAnsi="Calibri" w:cs="Calibri"/>
        </w:rPr>
      </w:pPr>
      <w:r w:rsidRPr="00DD7BD1">
        <w:rPr>
          <w:rFonts w:ascii="Calibri" w:hAnsi="Calibri" w:cs="Calibri"/>
        </w:rPr>
        <w:t xml:space="preserve">On May 15, 2025, the U.S. Departments of Labor, Health and Human Services, and the Treasury (Departments) released a </w:t>
      </w:r>
      <w:hyperlink r:id="rId278" w:history="1">
        <w:r w:rsidRPr="00DD7BD1">
          <w:rPr>
            <w:rStyle w:val="Hyperlink"/>
            <w:rFonts w:ascii="Calibri" w:hAnsi="Calibri" w:cs="Calibri"/>
          </w:rPr>
          <w:t>statement</w:t>
        </w:r>
      </w:hyperlink>
      <w:r w:rsidRPr="00DD7BD1">
        <w:rPr>
          <w:rFonts w:ascii="Calibri" w:hAnsi="Calibri" w:cs="Calibri"/>
        </w:rPr>
        <w:t xml:space="preserve"> regarding nonenforcement of the </w:t>
      </w:r>
      <w:hyperlink r:id="rId279" w:history="1">
        <w:r w:rsidRPr="00DD7BD1">
          <w:rPr>
            <w:rStyle w:val="Hyperlink"/>
            <w:rFonts w:ascii="Calibri" w:hAnsi="Calibri" w:cs="Calibri"/>
          </w:rPr>
          <w:t>2024 final rule</w:t>
        </w:r>
      </w:hyperlink>
      <w:r w:rsidRPr="00DD7BD1">
        <w:rPr>
          <w:rFonts w:ascii="Calibri" w:hAnsi="Calibri" w:cs="Calibri"/>
        </w:rPr>
        <w:t xml:space="preserve"> under the Mental Health Parity and Addiction Equity Act (MHPAEA).</w:t>
      </w:r>
    </w:p>
    <w:p w14:paraId="63DD55A1"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Federal agencies are reconsidering a final rule on mental health parity that was issued in 2024.</w:t>
      </w:r>
    </w:p>
    <w:p w14:paraId="3D2AE166"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Critics of the final rule have argued its </w:t>
      </w:r>
      <w:r w:rsidRPr="00DD7BD1">
        <w:rPr>
          <w:rFonts w:cs="Calibri"/>
          <w:color w:val="auto"/>
          <w:kern w:val="36"/>
          <w:szCs w:val="22"/>
          <w:u w:val="single"/>
        </w:rPr>
        <w:t>requirements are “unworkable” and could cause employers to drop MH/SUD coverage entirely</w:t>
      </w:r>
      <w:r w:rsidRPr="00DD7BD1">
        <w:rPr>
          <w:rFonts w:cs="Calibri"/>
          <w:color w:val="auto"/>
          <w:kern w:val="36"/>
          <w:szCs w:val="22"/>
        </w:rPr>
        <w:t>.</w:t>
      </w:r>
    </w:p>
    <w:p w14:paraId="3115CCB7"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The federal government has adopted a </w:t>
      </w:r>
      <w:r w:rsidRPr="00DD7BD1">
        <w:rPr>
          <w:rFonts w:cs="Calibri"/>
          <w:color w:val="auto"/>
          <w:kern w:val="36"/>
          <w:szCs w:val="22"/>
          <w:u w:val="single"/>
        </w:rPr>
        <w:t>temporary nonenforcement policy</w:t>
      </w:r>
      <w:r w:rsidRPr="00DD7BD1">
        <w:rPr>
          <w:rFonts w:cs="Calibri"/>
          <w:color w:val="auto"/>
          <w:kern w:val="36"/>
          <w:szCs w:val="22"/>
        </w:rPr>
        <w:t xml:space="preserve"> for the 2024 final rule. </w:t>
      </w:r>
    </w:p>
    <w:p w14:paraId="2C5B46F9"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u w:val="single"/>
        </w:rPr>
        <w:t>Health plans should continue to comply with MPHAEA’s statutory requirements</w:t>
      </w:r>
      <w:r w:rsidRPr="00DD7BD1">
        <w:rPr>
          <w:rFonts w:cs="Calibri"/>
          <w:color w:val="auto"/>
          <w:kern w:val="36"/>
          <w:szCs w:val="22"/>
        </w:rPr>
        <w:t xml:space="preserve"> and refer to the prior final rule from 2013.</w:t>
      </w:r>
    </w:p>
    <w:p w14:paraId="44BE84AA"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highlight w:val="lightGray"/>
        </w:rPr>
        <w:t>Employer Takeaway</w:t>
      </w:r>
      <w:r w:rsidRPr="00DD7BD1">
        <w:rPr>
          <w:rFonts w:cs="Calibri"/>
          <w:color w:val="auto"/>
          <w:kern w:val="36"/>
          <w:szCs w:val="22"/>
        </w:rPr>
        <w:t>: Employer-sponsored health plans should c</w:t>
      </w:r>
      <w:r w:rsidRPr="00DD7BD1">
        <w:rPr>
          <w:rFonts w:cs="Calibri"/>
          <w:color w:val="auto"/>
          <w:kern w:val="36"/>
          <w:szCs w:val="22"/>
          <w:u w:val="single"/>
        </w:rPr>
        <w:t>ontinue to comply with MHPAEA’s statutory requirements</w:t>
      </w:r>
      <w:r w:rsidRPr="00DD7BD1">
        <w:rPr>
          <w:rFonts w:cs="Calibri"/>
          <w:color w:val="auto"/>
          <w:kern w:val="36"/>
          <w:szCs w:val="22"/>
        </w:rPr>
        <w:t xml:space="preserve"> and refer to the </w:t>
      </w:r>
      <w:hyperlink r:id="rId280" w:history="1">
        <w:r w:rsidRPr="00DD7BD1">
          <w:rPr>
            <w:rStyle w:val="Hyperlink"/>
            <w:rFonts w:cs="Calibri"/>
            <w:kern w:val="36"/>
            <w:szCs w:val="22"/>
          </w:rPr>
          <w:t>2013 final rule</w:t>
        </w:r>
      </w:hyperlink>
      <w:r w:rsidRPr="00DD7BD1">
        <w:rPr>
          <w:rFonts w:cs="Calibri"/>
          <w:kern w:val="36"/>
          <w:szCs w:val="22"/>
        </w:rPr>
        <w:t xml:space="preserve"> </w:t>
      </w:r>
      <w:r w:rsidRPr="00DD7BD1">
        <w:rPr>
          <w:rFonts w:cs="Calibri"/>
          <w:color w:val="auto"/>
          <w:kern w:val="36"/>
          <w:szCs w:val="22"/>
        </w:rPr>
        <w:t>for guidance. Employers should also monitor updates regarding any modifications to the 2024 final rule</w:t>
      </w:r>
    </w:p>
    <w:p w14:paraId="5BF44F2A" w14:textId="77777777" w:rsidR="001558B8" w:rsidRPr="00DD7BD1" w:rsidRDefault="001558B8" w:rsidP="001558B8">
      <w:pPr>
        <w:pStyle w:val="BodyText"/>
        <w:spacing w:after="0" w:line="240" w:lineRule="auto"/>
        <w:ind w:right="274"/>
        <w:rPr>
          <w:rFonts w:cs="Calibri"/>
          <w:color w:val="auto"/>
          <w:kern w:val="36"/>
        </w:rPr>
      </w:pPr>
    </w:p>
    <w:p w14:paraId="468DDD31" w14:textId="35FC0DC3" w:rsidR="001558B8" w:rsidRPr="00DD7BD1" w:rsidRDefault="001558B8" w:rsidP="001558B8">
      <w:pPr>
        <w:pStyle w:val="BodyText"/>
        <w:spacing w:after="0"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Retracts Biden-Era Independent Contractor Classification Rule</w:t>
      </w:r>
    </w:p>
    <w:p w14:paraId="4B6B7FF6"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On May 1, 2025, the United States Department of Labor’s (“DOL”) </w:t>
      </w:r>
      <w:hyperlink r:id="rId281" w:tgtFrame="_blank" w:history="1">
        <w:r w:rsidRPr="00DD7BD1">
          <w:rPr>
            <w:rStyle w:val="Hyperlink"/>
            <w:rFonts w:eastAsiaTheme="minorHAnsi" w:cs="Calibri"/>
            <w:kern w:val="36"/>
            <w:szCs w:val="22"/>
          </w:rPr>
          <w:t>Wage and Hour Division announced</w:t>
        </w:r>
      </w:hyperlink>
      <w:r w:rsidRPr="00DD7BD1">
        <w:rPr>
          <w:rFonts w:eastAsiaTheme="minorHAnsi" w:cs="Calibri"/>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DD7BD1" w:rsidRDefault="001558B8" w:rsidP="001558B8">
      <w:pPr>
        <w:pStyle w:val="BodyText"/>
        <w:spacing w:after="0" w:line="240" w:lineRule="auto"/>
        <w:ind w:right="274"/>
        <w:rPr>
          <w:rFonts w:eastAsiaTheme="minorHAnsi" w:cs="Calibri"/>
          <w:color w:val="auto"/>
          <w:kern w:val="36"/>
          <w:szCs w:val="22"/>
        </w:rPr>
      </w:pPr>
    </w:p>
    <w:p w14:paraId="30A649E1"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takeaways:</w:t>
      </w:r>
      <w:r w:rsidRPr="00DD7BD1">
        <w:rPr>
          <w:rFonts w:eastAsiaTheme="minorHAnsi" w:cs="Calibri"/>
          <w:color w:val="auto"/>
          <w:kern w:val="36"/>
          <w:szCs w:val="22"/>
        </w:rPr>
        <w:t xml:space="preserve"> </w:t>
      </w:r>
    </w:p>
    <w:p w14:paraId="766CFF32"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DOL’s announcement will y make it easier for employers to classify workers as independent contractors at the federal level. </w:t>
      </w:r>
    </w:p>
    <w:p w14:paraId="4E8725C9"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While the 2024 Rule does remain in effect for private litigation and certain state-specific tests still impose higher worker classification standards than the current federal guidelines. For example, certain states’ classification standards far outpace federal guidelines and are more employee friendly. California, New Jersey, and Massachusetts use the much stricter “ABC test” to determine whether a worker is an independent contractor. </w:t>
      </w:r>
    </w:p>
    <w:p w14:paraId="66F24CF8" w14:textId="6D46362C"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DD7BD1" w:rsidRDefault="001558B8" w:rsidP="001558B8">
      <w:pPr>
        <w:pStyle w:val="BodyText"/>
        <w:spacing w:after="0" w:line="240" w:lineRule="auto"/>
        <w:ind w:left="720" w:right="274"/>
        <w:rPr>
          <w:rFonts w:eastAsiaTheme="minorHAnsi" w:cs="Calibri"/>
          <w:color w:val="auto"/>
          <w:kern w:val="36"/>
          <w:szCs w:val="22"/>
        </w:rPr>
      </w:pPr>
    </w:p>
    <w:p w14:paraId="787FA22D" w14:textId="50D5E742" w:rsidR="001558B8" w:rsidRPr="00DD7BD1" w:rsidRDefault="001558B8" w:rsidP="001558B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Court Scraps EEOC Guidance on Pronouns, Restrooms &amp; Dress</w:t>
      </w:r>
    </w:p>
    <w:p w14:paraId="15ADFB40" w14:textId="4D7306BA" w:rsidR="001558B8" w:rsidRPr="00DD7BD1" w:rsidRDefault="001558B8" w:rsidP="001558B8">
      <w:pPr>
        <w:rPr>
          <w:rFonts w:ascii="Calibri" w:hAnsi="Calibri" w:cs="Calibri"/>
          <w:shd w:val="clear" w:color="auto" w:fill="FFFFFF"/>
        </w:rPr>
      </w:pPr>
      <w:r w:rsidRPr="00DD7BD1">
        <w:rPr>
          <w:rFonts w:ascii="Calibri" w:hAnsi="Calibri" w:cs="Calibri"/>
          <w:shd w:val="clear" w:color="auto" w:fill="FFFFFF"/>
        </w:rPr>
        <w:t xml:space="preserve">In April 2024, the U.S. Equal Employment Opportunity Commission </w:t>
      </w:r>
      <w:r w:rsidRPr="00DD7BD1">
        <w:rPr>
          <w:rFonts w:ascii="Calibri" w:hAnsi="Calibri" w:cs="Calibri"/>
          <w:color w:val="C00000"/>
          <w:shd w:val="clear" w:color="auto" w:fill="FFFFFF"/>
        </w:rPr>
        <w:t>issued </w:t>
      </w:r>
      <w:hyperlink r:id="rId282" w:tgtFrame="_blank" w:history="1">
        <w:r w:rsidRPr="00DD7BD1">
          <w:rPr>
            <w:rStyle w:val="Hyperlink"/>
            <w:rFonts w:ascii="Calibri" w:hAnsi="Calibri" w:cs="Calibri"/>
            <w:i/>
            <w:iCs/>
            <w:shd w:val="clear" w:color="auto" w:fill="FFFFFF"/>
          </w:rPr>
          <w:t>Enforcement Guidance on Harassment in the Workplace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DD7BD1" w:rsidRDefault="001558B8" w:rsidP="001558B8">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sz w:val="22"/>
          <w:szCs w:val="22"/>
        </w:rPr>
        <w:t>You may be wondering what you, as an employer, should be doing now. The answer, in all likelihood, is “stay the course but relax a bit":</w:t>
      </w:r>
    </w:p>
    <w:p w14:paraId="7E1846E3"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If your harassment policy prohibits discrimination or harassment based on sexual orientation or gender identity, keep it in place.</w:t>
      </w:r>
      <w:r w:rsidRPr="00DD7BD1">
        <w:rPr>
          <w:rFonts w:ascii="Calibri" w:hAnsi="Calibri" w:cs="Calibri"/>
        </w:rPr>
        <w:t> It’s still fine (and recommended) to prohibit bias or harassment based on these characteristics. And, depending on your location, you may still be required to do it under state or local law.</w:t>
      </w:r>
    </w:p>
    <w:p w14:paraId="04646077"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Fonts w:ascii="Calibri" w:hAnsi="Calibri" w:cs="Calibri"/>
        </w:rPr>
        <w:t>Despite the fact that the EEOC’s guidance on pronouns has been vacated, </w:t>
      </w:r>
      <w:r w:rsidRPr="00DD7BD1">
        <w:rPr>
          <w:rStyle w:val="Strong"/>
          <w:rFonts w:ascii="Calibri" w:hAnsi="Calibri" w:cs="Calibri"/>
        </w:rPr>
        <w:t>continue being considerate and respectful of the pronoun preferences of transgender and nonbinary employees,</w:t>
      </w:r>
      <w:r w:rsidRPr="00DD7BD1">
        <w:rPr>
          <w:rFonts w:ascii="Calibri" w:hAnsi="Calibri" w:cs="Calibri"/>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If you have, say, a transgender female employee who dresses like a woman, you can continue to allow that. But if you </w:t>
      </w:r>
      <w:r w:rsidRPr="00DD7BD1">
        <w:rPr>
          <w:rStyle w:val="Emphasis"/>
          <w:rFonts w:ascii="Calibri" w:hAnsi="Calibri" w:cs="Calibri"/>
          <w:b/>
          <w:bCs/>
        </w:rPr>
        <w:t>don’t</w:t>
      </w:r>
      <w:r w:rsidRPr="00DD7BD1">
        <w:rPr>
          <w:rStyle w:val="Strong"/>
          <w:rFonts w:ascii="Calibri" w:hAnsi="Calibri" w:cs="Calibri"/>
        </w:rPr>
        <w:t> want to allow it, confer with your employment counsel first.</w:t>
      </w:r>
      <w:r w:rsidRPr="00DD7BD1">
        <w:rPr>
          <w:rFonts w:ascii="Calibri" w:hAnsi="Calibri" w:cs="Calibri"/>
        </w:rPr>
        <w:t> The companion case to </w:t>
      </w:r>
      <w:r w:rsidRPr="00DD7BD1">
        <w:rPr>
          <w:rStyle w:val="Emphasis"/>
          <w:rFonts w:ascii="Calibri" w:hAnsi="Calibri" w:cs="Calibri"/>
        </w:rPr>
        <w:t>Bostock</w:t>
      </w:r>
      <w:r w:rsidRPr="00DD7BD1">
        <w:rPr>
          <w:rFonts w:ascii="Calibri" w:hAnsi="Calibri" w:cs="Calibri"/>
        </w:rPr>
        <w:t>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definitely before you discipline or discharge a transgender employee for this reason.</w:t>
      </w:r>
    </w:p>
    <w:p w14:paraId="291950B5"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Fonts w:ascii="Calibri" w:hAnsi="Calibri" w:cs="Calibri"/>
        </w:rPr>
        <w:t>As I’ve been recommending for some time now, </w:t>
      </w:r>
      <w:r w:rsidRPr="00DD7BD1">
        <w:rPr>
          <w:rStyle w:val="Strong"/>
          <w:rFonts w:ascii="Calibri" w:hAnsi="Calibri" w:cs="Calibri"/>
        </w:rPr>
        <w:t>be sure to consider making accommodations for employees</w:t>
      </w:r>
      <w:r w:rsidRPr="00DD7BD1">
        <w:rPr>
          <w:rFonts w:ascii="Calibri" w:hAnsi="Calibri" w:cs="Calibri"/>
        </w:rPr>
        <w:t> who say that it violates their religious beliefs to address an XY person as a “she” or an XX person as a “he.” And, if you get such a request for accommodation, consult with your attorney before making any decisions that may come back to bite you.</w:t>
      </w:r>
    </w:p>
    <w:p w14:paraId="4B39EFAB" w14:textId="77777777" w:rsidR="001558B8" w:rsidRPr="00DD7BD1" w:rsidRDefault="001558B8" w:rsidP="001558B8">
      <w:pPr>
        <w:shd w:val="clear" w:color="auto" w:fill="FFFFFF"/>
        <w:spacing w:before="100" w:beforeAutospacing="1" w:after="100" w:afterAutospacing="1"/>
        <w:ind w:left="360"/>
        <w:rPr>
          <w:rFonts w:ascii="Calibri" w:hAnsi="Calibri" w:cs="Calibri"/>
          <w:color w:val="333333"/>
        </w:rPr>
      </w:pPr>
      <w:r w:rsidRPr="00DD7BD1">
        <w:rPr>
          <w:rFonts w:ascii="Calibri" w:hAnsi="Calibri" w:cs="Calibri"/>
        </w:rPr>
        <w:t>Extracted from the May 23</w:t>
      </w:r>
      <w:r w:rsidRPr="00DD7BD1">
        <w:rPr>
          <w:rFonts w:ascii="Calibri" w:hAnsi="Calibri" w:cs="Calibri"/>
          <w:vertAlign w:val="superscript"/>
        </w:rPr>
        <w:t>rd</w:t>
      </w:r>
      <w:r w:rsidRPr="00DD7BD1">
        <w:rPr>
          <w:rFonts w:ascii="Calibri" w:hAnsi="Calibri" w:cs="Calibri"/>
        </w:rPr>
        <w:t xml:space="preserve"> online article released by Constancy, Brooks, Smith &amp; Prophete, LLP which can be access </w:t>
      </w:r>
      <w:hyperlink r:id="rId283" w:history="1">
        <w:r w:rsidRPr="00DD7BD1">
          <w:rPr>
            <w:rStyle w:val="Hyperlink"/>
            <w:rFonts w:ascii="Calibri" w:hAnsi="Calibri" w:cs="Calibri"/>
          </w:rPr>
          <w:t>HERE</w:t>
        </w:r>
      </w:hyperlink>
    </w:p>
    <w:p w14:paraId="08AC4AA4" w14:textId="2F93A022" w:rsidR="001558B8" w:rsidRPr="00DD7BD1" w:rsidRDefault="001558B8" w:rsidP="001558B8">
      <w:pPr>
        <w:pStyle w:val="ListParagraph"/>
        <w:ind w:left="27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State Court Ruling with Multistate Employer Considerations –</w:t>
      </w:r>
    </w:p>
    <w:p w14:paraId="54B82F0C" w14:textId="77777777" w:rsidR="001558B8" w:rsidRPr="00DD7BD1" w:rsidRDefault="001558B8" w:rsidP="001558B8">
      <w:pPr>
        <w:pStyle w:val="ListParagraph"/>
        <w:ind w:left="270"/>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shd w:val="clear" w:color="auto" w:fill="FFFFFF"/>
          <w:lang w:val="en"/>
        </w:rPr>
        <w:t>Remote Employee Sues Massachusetts Employer for Violating MA Employment Laws</w:t>
      </w:r>
    </w:p>
    <w:p w14:paraId="38F1C56A" w14:textId="77777777" w:rsidR="001558B8" w:rsidRPr="00DD7BD1" w:rsidRDefault="001558B8" w:rsidP="001558B8">
      <w:pPr>
        <w:pStyle w:val="ListParagraph"/>
        <w:ind w:left="270"/>
        <w:rPr>
          <w:rFonts w:ascii="Calibri" w:hAnsi="Calibri" w:cs="Calibri"/>
        </w:rPr>
      </w:pPr>
      <w:r w:rsidRPr="00DD7BD1">
        <w:rPr>
          <w:rFonts w:ascii="Calibri" w:hAnsi="Calibri" w:cs="Calibri"/>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DD7BD1" w:rsidRDefault="001558B8" w:rsidP="001558B8">
      <w:pPr>
        <w:pStyle w:val="ListParagraph"/>
        <w:ind w:left="270"/>
        <w:rPr>
          <w:rFonts w:ascii="Calibri" w:hAnsi="Calibri" w:cs="Calibri"/>
          <w:sz w:val="16"/>
          <w:szCs w:val="16"/>
        </w:rPr>
      </w:pPr>
    </w:p>
    <w:p w14:paraId="643C0918" w14:textId="77777777" w:rsidR="001558B8" w:rsidRPr="00DD7BD1" w:rsidRDefault="001558B8" w:rsidP="001558B8">
      <w:pPr>
        <w:pStyle w:val="ListParagraph"/>
        <w:ind w:left="270"/>
        <w:rPr>
          <w:rFonts w:ascii="Calibri" w:hAnsi="Calibri" w:cs="Calibri"/>
          <w:b/>
          <w:bCs/>
        </w:rPr>
      </w:pPr>
      <w:r w:rsidRPr="00DD7BD1">
        <w:rPr>
          <w:rFonts w:ascii="Calibri" w:hAnsi="Calibri" w:cs="Calibri"/>
          <w:b/>
          <w:bCs/>
        </w:rPr>
        <w:t>The Background</w:t>
      </w:r>
    </w:p>
    <w:p w14:paraId="6E35C2A5" w14:textId="77777777" w:rsidR="001558B8" w:rsidRPr="00DD7BD1" w:rsidRDefault="001558B8" w:rsidP="001558B8">
      <w:pPr>
        <w:pStyle w:val="ListParagraph"/>
        <w:ind w:left="270"/>
        <w:rPr>
          <w:rFonts w:ascii="Calibri" w:hAnsi="Calibri" w:cs="Calibri"/>
        </w:rPr>
      </w:pPr>
      <w:r w:rsidRPr="00DD7BD1">
        <w:rPr>
          <w:rFonts w:ascii="Calibri" w:hAnsi="Calibri" w:cs="Calibri"/>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DD7BD1" w:rsidRDefault="001558B8" w:rsidP="001558B8">
      <w:pPr>
        <w:pStyle w:val="ListParagraph"/>
        <w:ind w:left="270"/>
        <w:rPr>
          <w:rFonts w:ascii="Calibri" w:hAnsi="Calibri" w:cs="Calibri"/>
          <w:sz w:val="16"/>
          <w:szCs w:val="16"/>
        </w:rPr>
      </w:pPr>
    </w:p>
    <w:p w14:paraId="05EC771F"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The Decision</w:t>
      </w:r>
    </w:p>
    <w:p w14:paraId="5BA2A724" w14:textId="77777777" w:rsidR="001558B8" w:rsidRPr="00DD7BD1" w:rsidRDefault="001558B8" w:rsidP="001558B8">
      <w:pPr>
        <w:pStyle w:val="ListParagraph"/>
        <w:ind w:left="270"/>
        <w:rPr>
          <w:rFonts w:ascii="Calibri" w:hAnsi="Calibri" w:cs="Calibri"/>
        </w:rPr>
      </w:pPr>
      <w:r w:rsidRPr="00DD7BD1">
        <w:rPr>
          <w:rFonts w:ascii="Calibri" w:hAnsi="Calibri" w:cs="Calibri"/>
        </w:rPr>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DD7BD1" w:rsidRDefault="001558B8" w:rsidP="001558B8">
      <w:pPr>
        <w:pStyle w:val="ListParagraph"/>
        <w:ind w:left="270"/>
        <w:rPr>
          <w:rFonts w:ascii="Calibri" w:hAnsi="Calibri" w:cs="Calibri"/>
        </w:rPr>
      </w:pPr>
      <w:r w:rsidRPr="00DD7BD1">
        <w:rPr>
          <w:rFonts w:ascii="Calibri" w:hAnsi="Calibri" w:cs="Calibri"/>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DD7BD1" w:rsidRDefault="001558B8" w:rsidP="001558B8">
      <w:pPr>
        <w:pStyle w:val="ListParagraph"/>
        <w:ind w:left="270"/>
        <w:rPr>
          <w:rFonts w:ascii="Calibri" w:hAnsi="Calibri" w:cs="Calibri"/>
          <w:b/>
          <w:bCs/>
          <w:sz w:val="16"/>
          <w:szCs w:val="16"/>
        </w:rPr>
      </w:pPr>
    </w:p>
    <w:p w14:paraId="1AC1EAD0"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Employer Takeaways</w:t>
      </w:r>
    </w:p>
    <w:p w14:paraId="1C59DB92" w14:textId="77777777" w:rsidR="001558B8" w:rsidRPr="00DD7BD1" w:rsidRDefault="001558B8" w:rsidP="001558B8">
      <w:pPr>
        <w:pStyle w:val="ListParagraph"/>
        <w:ind w:left="270"/>
        <w:rPr>
          <w:rFonts w:ascii="Calibri" w:hAnsi="Calibri" w:cs="Calibri"/>
        </w:rPr>
      </w:pPr>
      <w:r w:rsidRPr="00DD7BD1">
        <w:rPr>
          <w:rFonts w:ascii="Calibri" w:hAnsi="Calibri" w:cs="Calibri"/>
        </w:rPr>
        <w:t xml:space="preserve">As readers are aware, the Massachusetts Wage Act and the Massachusetts Paid Family and Medical Leave (“PFML”) law are two of the most </w:t>
      </w:r>
      <w:r w:rsidRPr="00DD7BD1">
        <w:rPr>
          <w:rFonts w:ascii="Calibri" w:hAnsi="Calibri" w:cs="Calibri"/>
          <w:u w:val="single"/>
        </w:rPr>
        <w:t>employee-friendly laws</w:t>
      </w:r>
      <w:r w:rsidRPr="00DD7BD1">
        <w:rPr>
          <w:rFonts w:ascii="Calibri" w:hAnsi="Calibri" w:cs="Calibri"/>
        </w:rPr>
        <w:t xml:space="preserve"> in the entire country. Because of this, to the extent possible, </w:t>
      </w:r>
      <w:r w:rsidRPr="00DD7BD1">
        <w:rPr>
          <w:rFonts w:ascii="Calibri" w:hAnsi="Calibri" w:cs="Calibri"/>
          <w:u w:val="single"/>
        </w:rPr>
        <w:t>employers should steer clear of litigation related to these laws</w:t>
      </w:r>
      <w:r w:rsidRPr="00DD7BD1">
        <w:rPr>
          <w:rFonts w:ascii="Calibri" w:hAnsi="Calibri" w:cs="Calibri"/>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DD7BD1">
        <w:rPr>
          <w:rFonts w:ascii="Calibri" w:hAnsi="Calibri" w:cs="Calibri"/>
          <w:b/>
          <w:bCs/>
          <w:u w:val="single"/>
        </w:rPr>
        <w:t>employers should make it clear in offer letters and other employment-related documents and agreements that the law of the employee’s home state applies to the employment relationship.</w:t>
      </w:r>
      <w:r w:rsidRPr="00DD7BD1">
        <w:rPr>
          <w:rFonts w:ascii="Calibri" w:hAnsi="Calibri" w:cs="Calibri"/>
        </w:rPr>
        <w:t xml:space="preserve"> The employer should also provide remote employees living in another state with </w:t>
      </w:r>
      <w:r w:rsidRPr="00DD7BD1">
        <w:rPr>
          <w:rFonts w:ascii="Calibri" w:hAnsi="Calibri" w:cs="Calibri"/>
          <w:u w:val="single"/>
        </w:rPr>
        <w:t>handbook supplements that explain the employment laws of their home state</w:t>
      </w:r>
      <w:r w:rsidRPr="00DD7BD1">
        <w:rPr>
          <w:rFonts w:ascii="Calibri" w:hAnsi="Calibri" w:cs="Calibri"/>
        </w:rPr>
        <w:t xml:space="preserve">. Finally, employers should have all </w:t>
      </w:r>
      <w:r w:rsidRPr="00DD7BD1">
        <w:rPr>
          <w:rFonts w:ascii="Calibri" w:hAnsi="Calibri" w:cs="Calibri"/>
          <w:u w:val="single"/>
        </w:rPr>
        <w:t>employment-related agreements reviewed by employment counsel to ensure the most appropriate choice-of-law provisions are in place</w:t>
      </w:r>
      <w:r w:rsidRPr="00DD7BD1">
        <w:rPr>
          <w:rFonts w:ascii="Calibri" w:hAnsi="Calibri" w:cs="Calibri"/>
        </w:rPr>
        <w:t>.</w:t>
      </w:r>
    </w:p>
    <w:p w14:paraId="3E4937BF" w14:textId="77777777" w:rsidR="001558B8" w:rsidRPr="00DD7BD1" w:rsidRDefault="001558B8" w:rsidP="001558B8">
      <w:pPr>
        <w:pStyle w:val="ListParagraph"/>
        <w:ind w:left="270"/>
        <w:rPr>
          <w:rFonts w:ascii="Calibri" w:hAnsi="Calibri" w:cs="Calibri"/>
          <w:sz w:val="16"/>
          <w:szCs w:val="16"/>
        </w:rPr>
      </w:pPr>
    </w:p>
    <w:p w14:paraId="3E9C47B3" w14:textId="33C1A878" w:rsidR="00636C21" w:rsidRPr="00DD7BD1" w:rsidRDefault="001558B8" w:rsidP="00601C66">
      <w:pPr>
        <w:pStyle w:val="ListParagraph"/>
        <w:ind w:left="270"/>
        <w:rPr>
          <w:rFonts w:ascii="Calibri" w:hAnsi="Calibri" w:cs="Calibri"/>
        </w:rPr>
      </w:pPr>
      <w:r w:rsidRPr="00DD7BD1">
        <w:rPr>
          <w:rFonts w:ascii="Calibri" w:hAnsi="Calibri" w:cs="Calibri"/>
        </w:rPr>
        <w:t xml:space="preserve">-May 20, 2025, blog article by John S. Gannon - Skoler Abbott P.C. can be access </w:t>
      </w:r>
      <w:hyperlink r:id="rId284" w:history="1">
        <w:r w:rsidRPr="00DD7BD1">
          <w:rPr>
            <w:rStyle w:val="Hyperlink"/>
            <w:rFonts w:ascii="Calibri" w:hAnsi="Calibri" w:cs="Calibri"/>
          </w:rPr>
          <w:t>HERE</w:t>
        </w:r>
      </w:hyperlink>
    </w:p>
    <w:p w14:paraId="57726AFA" w14:textId="19B9DD02"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ADA Accommodations, Even If Employees Can Perform Essential Functions</w:t>
      </w:r>
    </w:p>
    <w:p w14:paraId="5B7ED9ED"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March 25, 2025, the Second Circuit Court of Appeals ruled in </w:t>
      </w:r>
      <w:hyperlink r:id="rId285" w:anchor="xml=https://ww3.ca2.uscourts.gov/decisions/isysquery/059b42af-2a54-48a5-96ae-4881228286fc/5/hilite/" w:history="1">
        <w:r w:rsidRPr="00DD7BD1">
          <w:rPr>
            <w:rStyle w:val="Hyperlink"/>
            <w:rFonts w:ascii="Calibri" w:eastAsiaTheme="minorHAnsi" w:hAnsi="Calibri" w:cs="Calibri"/>
            <w:b w:val="0"/>
            <w:bCs w:val="0"/>
            <w:i/>
            <w:iCs/>
            <w:kern w:val="0"/>
            <w:sz w:val="22"/>
            <w:szCs w:val="22"/>
          </w:rPr>
          <w:t>Tudor v. Whitehall Central School District</w:t>
        </w:r>
      </w:hyperlink>
      <w:r w:rsidRPr="00DD7BD1">
        <w:rPr>
          <w:rFonts w:ascii="Calibri" w:eastAsiaTheme="minorHAnsi" w:hAnsi="Calibri" w:cs="Calibri"/>
          <w:b w:val="0"/>
          <w:bCs w:val="0"/>
          <w:kern w:val="0"/>
          <w:sz w:val="22"/>
          <w:szCs w:val="22"/>
        </w:rPr>
        <w:t xml:space="preserve">, that an employee with a disability may qualify for a reasonable accommodation under the Americans with Disabilities Act (the “ADA”), </w:t>
      </w:r>
      <w:r w:rsidRPr="00DD7BD1">
        <w:rPr>
          <w:rFonts w:ascii="Calibri" w:eastAsiaTheme="minorHAnsi" w:hAnsi="Calibri" w:cs="Calibri"/>
          <w:b w:val="0"/>
          <w:bCs w:val="0"/>
          <w:kern w:val="0"/>
          <w:sz w:val="22"/>
          <w:szCs w:val="22"/>
          <w:u w:val="single"/>
        </w:rPr>
        <w:t>even if they can perform the essential functions of their job without accommodation</w:t>
      </w:r>
      <w:r w:rsidRPr="00DD7BD1">
        <w:rPr>
          <w:rFonts w:ascii="Calibri" w:eastAsiaTheme="minorHAnsi" w:hAnsi="Calibri" w:cs="Calibri"/>
          <w:b w:val="0"/>
          <w:bCs w:val="0"/>
          <w:kern w:val="0"/>
          <w:sz w:val="22"/>
          <w:szCs w:val="22"/>
        </w:rPr>
        <w:t>.</w:t>
      </w:r>
    </w:p>
    <w:p w14:paraId="2C7B4286"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7A998D86" w14:textId="6E6906A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highlight w:val="lightGray"/>
        </w:rPr>
        <w:t>:</w:t>
      </w:r>
      <w:r w:rsidRPr="00DD7BD1">
        <w:rPr>
          <w:rFonts w:ascii="Calibri" w:eastAsiaTheme="minorHAnsi" w:hAnsi="Calibri" w:cs="Calibri"/>
          <w:b w:val="0"/>
          <w:bCs w:val="0"/>
          <w:kern w:val="0"/>
          <w:sz w:val="22"/>
          <w:szCs w:val="22"/>
        </w:rPr>
        <w:t xml:space="preserve"> Employers subject to the ADA in </w:t>
      </w:r>
      <w:r w:rsidRPr="00DD7BD1">
        <w:rPr>
          <w:rFonts w:ascii="Calibri" w:eastAsiaTheme="minorHAnsi" w:hAnsi="Calibri" w:cs="Calibri"/>
          <w:b w:val="0"/>
          <w:bCs w:val="0"/>
          <w:kern w:val="0"/>
          <w:sz w:val="22"/>
          <w:szCs w:val="22"/>
          <w:u w:val="single"/>
        </w:rPr>
        <w:t>New York, Connecticut, and Vermont</w:t>
      </w:r>
      <w:r w:rsidRPr="00DD7BD1">
        <w:rPr>
          <w:rFonts w:ascii="Calibri" w:eastAsiaTheme="minorHAnsi" w:hAnsi="Calibri" w:cs="Calibri"/>
          <w:b w:val="0"/>
          <w:bCs w:val="0"/>
          <w:kern w:val="0"/>
          <w:sz w:val="22"/>
          <w:szCs w:val="22"/>
        </w:rPr>
        <w:t xml:space="preserve"> specifically, due to the Second Circuit’s recent ruling, should aware that regardless of whether their employees with disabilities can perform the essential functions of the job without accommodation, they are nevertheless required to provide qualified employees with </w:t>
      </w:r>
      <w:r w:rsidRPr="00DD7BD1">
        <w:rPr>
          <w:rFonts w:ascii="Calibri" w:eastAsiaTheme="minorHAnsi" w:hAnsi="Calibri" w:cs="Calibri"/>
          <w:b w:val="0"/>
          <w:bCs w:val="0"/>
          <w:i/>
          <w:iCs/>
          <w:kern w:val="0"/>
          <w:sz w:val="22"/>
          <w:szCs w:val="22"/>
        </w:rPr>
        <w:t>reasonable</w:t>
      </w:r>
      <w:r w:rsidRPr="00DD7BD1">
        <w:rPr>
          <w:rFonts w:ascii="Calibri" w:eastAsiaTheme="minorHAnsi" w:hAnsi="Calibri" w:cs="Calibri"/>
          <w:b w:val="0"/>
          <w:bCs w:val="0"/>
          <w:kern w:val="0"/>
          <w:sz w:val="22"/>
          <w:szCs w:val="22"/>
        </w:rPr>
        <w:t> accommodation, unless doing so would impose an undue hardship.</w:t>
      </w:r>
    </w:p>
    <w:p w14:paraId="64DBDE37"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2972E8DC" w14:textId="19A8100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bookmarkStart w:id="21" w:name="_Hlk197515784"/>
      <w:r w:rsidRPr="00DD7BD1">
        <w:rPr>
          <w:rFonts w:ascii="Calibri" w:eastAsiaTheme="minorHAnsi" w:hAnsi="Calibri" w:cs="Calibri"/>
          <w:kern w:val="0"/>
          <w:sz w:val="28"/>
          <w:szCs w:val="28"/>
        </w:rPr>
        <w:t xml:space="preserve">President Trump Issues Executive Order Aimed at Eliminating Disparate Impact Liability </w:t>
      </w:r>
    </w:p>
    <w:bookmarkEnd w:id="21"/>
    <w:p w14:paraId="385C059B"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April 23, 2025, the White House </w:t>
      </w:r>
      <w:hyperlink r:id="rId286" w:tgtFrame="_blank" w:history="1">
        <w:r w:rsidRPr="00DD7BD1">
          <w:rPr>
            <w:rStyle w:val="Hyperlink"/>
            <w:rFonts w:ascii="Calibri" w:eastAsiaTheme="minorHAnsi" w:hAnsi="Calibri" w:cs="Calibri"/>
            <w:b w:val="0"/>
            <w:bCs w:val="0"/>
            <w:kern w:val="0"/>
            <w:sz w:val="22"/>
            <w:szCs w:val="22"/>
          </w:rPr>
          <w:t>issued an Executive Order</w:t>
        </w:r>
      </w:hyperlink>
      <w:r w:rsidRPr="00DD7BD1">
        <w:rPr>
          <w:rFonts w:ascii="Calibri" w:eastAsiaTheme="minorHAnsi" w:hAnsi="Calibri" w:cs="Calibr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First recognized under Title VII of the Civil Rights Act of 1964 (“Title VII”) by the U.S. Supreme Court in </w:t>
      </w:r>
      <w:hyperlink r:id="rId287" w:tgtFrame="_blank" w:history="1">
        <w:r w:rsidRPr="00DD7BD1">
          <w:rPr>
            <w:rStyle w:val="Hyperlink"/>
            <w:rFonts w:ascii="Calibri" w:eastAsiaTheme="minorHAnsi" w:hAnsi="Calibri" w:cs="Calibri"/>
            <w:b w:val="0"/>
            <w:bCs w:val="0"/>
            <w:i/>
            <w:iCs/>
            <w:kern w:val="0"/>
            <w:sz w:val="22"/>
            <w:szCs w:val="22"/>
          </w:rPr>
          <w:t>Griggs v. Duke Power Co.</w:t>
        </w:r>
      </w:hyperlink>
      <w:r w:rsidRPr="00DD7BD1">
        <w:rPr>
          <w:rFonts w:ascii="Calibri" w:eastAsiaTheme="minorHAnsi" w:hAnsi="Calibri" w:cs="Calibr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p>
    <w:p w14:paraId="3CA97964"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001FDCD" w14:textId="5F7C893B"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color w:val="333333"/>
          <w:kern w:val="0"/>
          <w:sz w:val="23"/>
          <w:szCs w:val="23"/>
          <w:shd w:val="clear" w:color="auto" w:fill="FFFFFF"/>
        </w:rPr>
        <w:t xml:space="preserve"> </w:t>
      </w:r>
      <w:r w:rsidRPr="00DD7BD1">
        <w:rPr>
          <w:rFonts w:ascii="Calibri" w:eastAsiaTheme="minorHAnsi" w:hAnsi="Calibri" w:cs="Calibr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73AF65B" w14:textId="6FD741BE"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Status Update: </w:t>
      </w:r>
      <w:r w:rsidRPr="00DD7BD1">
        <w:rPr>
          <w:rFonts w:ascii="Calibri" w:eastAsiaTheme="minorHAnsi" w:hAnsi="Calibri" w:cs="Calibri"/>
          <w:kern w:val="0"/>
          <w:sz w:val="28"/>
          <w:szCs w:val="28"/>
        </w:rPr>
        <w:t>President Trump &amp; DEI Executive Orders</w:t>
      </w:r>
    </w:p>
    <w:p w14:paraId="6C09CA7C"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On March 14, 2025, the U.S. Court of Appeals for the 4th Circuit </w:t>
      </w:r>
      <w:hyperlink r:id="rId288" w:history="1">
        <w:r w:rsidRPr="00DD7BD1">
          <w:rPr>
            <w:rStyle w:val="Hyperlink"/>
            <w:rFonts w:ascii="Calibri" w:hAnsi="Calibri" w:cs="Calibri"/>
            <w:b w:val="0"/>
            <w:bCs w:val="0"/>
            <w:sz w:val="22"/>
            <w:szCs w:val="22"/>
          </w:rPr>
          <w:t>stayed</w:t>
        </w:r>
      </w:hyperlink>
      <w:r w:rsidRPr="00DD7BD1">
        <w:rPr>
          <w:rFonts w:ascii="Calibri" w:hAnsi="Calibri" w:cs="Calibri"/>
          <w:b w:val="0"/>
          <w:bCs w:val="0"/>
          <w:color w:val="000000" w:themeColor="text1"/>
          <w:sz w:val="22"/>
          <w:szCs w:val="22"/>
        </w:rPr>
        <w:t xml:space="preserve"> a nationwide preliminary injunction that temporarily blocked certain provisions of Executive Orders (EO) </w:t>
      </w:r>
      <w:hyperlink r:id="rId289" w:history="1">
        <w:r w:rsidRPr="00DD7BD1">
          <w:rPr>
            <w:rStyle w:val="Hyperlink"/>
            <w:rFonts w:ascii="Calibri" w:hAnsi="Calibri" w:cs="Calibri"/>
            <w:b w:val="0"/>
            <w:bCs w:val="0"/>
            <w:sz w:val="22"/>
            <w:szCs w:val="22"/>
          </w:rPr>
          <w:t>14151</w:t>
        </w:r>
      </w:hyperlink>
      <w:r w:rsidRPr="00DD7BD1">
        <w:rPr>
          <w:rFonts w:ascii="Calibri" w:hAnsi="Calibri" w:cs="Calibri"/>
          <w:b w:val="0"/>
          <w:bCs w:val="0"/>
          <w:color w:val="000000" w:themeColor="text1"/>
          <w:sz w:val="22"/>
          <w:szCs w:val="22"/>
        </w:rPr>
        <w:t xml:space="preserve"> and </w:t>
      </w:r>
      <w:hyperlink r:id="rId290" w:history="1">
        <w:r w:rsidRPr="00DD7BD1">
          <w:rPr>
            <w:rStyle w:val="Hyperlink"/>
            <w:rFonts w:ascii="Calibri" w:hAnsi="Calibri" w:cs="Calibri"/>
            <w:b w:val="0"/>
            <w:bCs w:val="0"/>
            <w:sz w:val="22"/>
            <w:szCs w:val="22"/>
          </w:rPr>
          <w:t>14173</w:t>
        </w:r>
      </w:hyperlink>
      <w:r w:rsidRPr="00DD7BD1">
        <w:rPr>
          <w:rFonts w:ascii="Calibri" w:hAnsi="Calibri" w:cs="Calibri"/>
          <w:b w:val="0"/>
          <w:bCs w:val="0"/>
          <w:color w:val="000000" w:themeColor="text1"/>
          <w:sz w:val="22"/>
          <w:szCs w:val="22"/>
        </w:rPr>
        <w:t xml:space="preserve"> issued by President Donald Trump on Jan. 20, 2025, and Jan. 21, 2025, respectively. To recap, these EOs aim to combat “illegal diversity, equity and inclusion (DEI) programs” in the federal and private sectors. </w:t>
      </w:r>
    </w:p>
    <w:p w14:paraId="4EA9F78C" w14:textId="77777777" w:rsidR="00052D10" w:rsidRPr="00DD7BD1" w:rsidRDefault="00052D10" w:rsidP="00052D10">
      <w:pPr>
        <w:pStyle w:val="Heading1"/>
        <w:shd w:val="clear" w:color="auto" w:fill="FFFFFF"/>
        <w:spacing w:after="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With the March 14, 2025, ruling, the 4th Circuit granted the government’s request to stay the nationwide preliminary injunction. Therefore, the Trump administration </w:t>
      </w:r>
      <w:r w:rsidRPr="00DD7BD1">
        <w:rPr>
          <w:rFonts w:ascii="Calibri" w:hAnsi="Calibri" w:cs="Calibri"/>
          <w:color w:val="000000" w:themeColor="text1"/>
          <w:sz w:val="22"/>
          <w:szCs w:val="22"/>
        </w:rPr>
        <w:t>may continue</w:t>
      </w:r>
      <w:r w:rsidRPr="00DD7BD1">
        <w:rPr>
          <w:rFonts w:ascii="Calibri" w:hAnsi="Calibri" w:cs="Calibri"/>
          <w:b w:val="0"/>
          <w:bCs w:val="0"/>
          <w:color w:val="000000" w:themeColor="text1"/>
          <w:sz w:val="22"/>
          <w:szCs w:val="22"/>
        </w:rPr>
        <w:t xml:space="preserve"> to enforce the previously blocked provisions of the EOs, including the Termination and Certification Provisions for government contractors, employers , while the court considers the merits of the case. </w:t>
      </w:r>
    </w:p>
    <w:p w14:paraId="698AA37A"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06AE759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Prepare for uncertainty as the case is still pending, and such provisions may yet be blocked in a final ruling on the merits. </w:t>
      </w:r>
    </w:p>
    <w:p w14:paraId="6DE0BA8D"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Keep in mind that </w:t>
      </w:r>
      <w:r w:rsidRPr="00DD7BD1">
        <w:rPr>
          <w:rFonts w:ascii="Calibri" w:hAnsi="Calibri" w:cs="Calibri"/>
          <w:b w:val="0"/>
          <w:bCs w:val="0"/>
          <w:color w:val="000000" w:themeColor="text1"/>
          <w:sz w:val="22"/>
          <w:szCs w:val="22"/>
          <w:u w:val="single"/>
        </w:rPr>
        <w:t>neither</w:t>
      </w:r>
      <w:r w:rsidRPr="00DD7BD1">
        <w:rPr>
          <w:rFonts w:ascii="Calibri" w:hAnsi="Calibri" w:cs="Calibri"/>
          <w:b w:val="0"/>
          <w:bCs w:val="0"/>
          <w:color w:val="000000" w:themeColor="text1"/>
          <w:sz w:val="22"/>
          <w:szCs w:val="22"/>
        </w:rPr>
        <w:t xml:space="preserve"> the initial EOs nor the 4th Circuit ruling </w:t>
      </w:r>
      <w:r w:rsidRPr="00DD7BD1">
        <w:rPr>
          <w:rFonts w:ascii="Calibri" w:hAnsi="Calibri" w:cs="Calibri"/>
          <w:color w:val="000000" w:themeColor="text1"/>
          <w:sz w:val="22"/>
          <w:szCs w:val="22"/>
          <w:u w:val="single"/>
        </w:rPr>
        <w:t>alter employers’ legal obligations, as employers are still prohibited from considering an individual’s protected trait</w:t>
      </w:r>
      <w:r w:rsidRPr="00DD7BD1">
        <w:rPr>
          <w:rFonts w:ascii="Calibri" w:hAnsi="Calibri" w:cs="Calibri"/>
          <w:b w:val="0"/>
          <w:bCs w:val="0"/>
          <w:color w:val="000000" w:themeColor="text1"/>
          <w:sz w:val="22"/>
          <w:szCs w:val="22"/>
        </w:rPr>
        <w:t xml:space="preserve"> (e.g., race, color, sex, religion, age or national origin) in employment decisions. </w:t>
      </w:r>
    </w:p>
    <w:p w14:paraId="616197A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Employers may consider reviewing existing DEI practices to ensure they do not discriminate on the basis of a federally protected trait.</w:t>
      </w:r>
      <w:r w:rsidRPr="00DD7BD1">
        <w:rPr>
          <w:rFonts w:ascii="Calibri" w:hAnsi="Calibri" w:cs="Calibri"/>
          <w:color w:val="000000" w:themeColor="text1"/>
        </w:rPr>
        <w:t xml:space="preserve"> </w:t>
      </w:r>
    </w:p>
    <w:p w14:paraId="7802BE3F" w14:textId="77777777" w:rsidR="00052D10" w:rsidRPr="00DD7BD1" w:rsidRDefault="00052D10" w:rsidP="00052D10">
      <w:pPr>
        <w:pStyle w:val="Heading1"/>
        <w:shd w:val="clear" w:color="auto" w:fill="FFFFFF"/>
        <w:spacing w:before="0" w:beforeAutospacing="0" w:after="0" w:afterAutospacing="0"/>
        <w:ind w:left="720"/>
        <w:rPr>
          <w:rFonts w:ascii="Calibri" w:hAnsi="Calibri" w:cs="Calibri"/>
          <w:b w:val="0"/>
          <w:bCs w:val="0"/>
          <w:color w:val="000000" w:themeColor="text1"/>
          <w:sz w:val="22"/>
          <w:szCs w:val="22"/>
        </w:rPr>
      </w:pPr>
    </w:p>
    <w:p w14:paraId="1C497106"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Guidance: </w:t>
      </w:r>
      <w:r w:rsidRPr="00DD7BD1">
        <w:rPr>
          <w:rFonts w:ascii="Calibri" w:eastAsiaTheme="minorHAnsi" w:hAnsi="Calibri" w:cs="Calibri"/>
          <w:kern w:val="0"/>
          <w:sz w:val="28"/>
          <w:szCs w:val="28"/>
        </w:rPr>
        <w:t>EEOC and DOJ Issue Guidance on DEI-related Discrimination</w:t>
      </w:r>
    </w:p>
    <w:p w14:paraId="4881A9A7" w14:textId="77777777" w:rsidR="00052D10" w:rsidRPr="00DD7BD1" w:rsidRDefault="00052D10" w:rsidP="00052D10">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Reminder:</w:t>
      </w:r>
    </w:p>
    <w:p w14:paraId="3156478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DD7BD1">
        <w:rPr>
          <w:rFonts w:ascii="Calibri" w:hAnsi="Calibri" w:cs="Calibri"/>
          <w:sz w:val="22"/>
          <w:szCs w:val="22"/>
        </w:rPr>
        <w:t xml:space="preserve"> government</w:t>
      </w:r>
      <w:r w:rsidRPr="00DD7BD1">
        <w:rPr>
          <w:rFonts w:ascii="Calibri" w:hAnsi="Calibri" w:cs="Calibri"/>
          <w:b w:val="0"/>
          <w:bCs w:val="0"/>
          <w:sz w:val="22"/>
          <w:szCs w:val="22"/>
        </w:rPr>
        <w:t xml:space="preserve"> - federal executive branch agencies, departments, commissions, and their heads, officers, agents, and subdivisions. </w:t>
      </w:r>
      <w:r w:rsidRPr="00DD7BD1">
        <w:rPr>
          <w:rFonts w:ascii="Calibri" w:hAnsi="Calibri" w:cs="Calibri"/>
          <w:b w:val="0"/>
          <w:bCs w:val="0"/>
          <w:i/>
          <w:iCs/>
          <w:sz w:val="22"/>
          <w:szCs w:val="22"/>
        </w:rPr>
        <w:t>National Association of Diversity Officers in Higher Education et al. v. Trump et al.,</w:t>
      </w:r>
      <w:r w:rsidRPr="00DD7BD1">
        <w:rPr>
          <w:rFonts w:ascii="Calibri" w:hAnsi="Calibri" w:cs="Calibri"/>
          <w:b w:val="0"/>
          <w:bCs w:val="0"/>
          <w:sz w:val="22"/>
          <w:szCs w:val="22"/>
        </w:rPr>
        <w:t> No. 1:25-cv-00333 (D. Md.).</w:t>
      </w:r>
    </w:p>
    <w:p w14:paraId="5602FA6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continue assessing their DEI programming.</w:t>
      </w:r>
    </w:p>
    <w:p w14:paraId="4B4D44FE"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6E5C9C9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19, 2025, the U.S. Equal Employment Opportunity Commission (EEOC) and the U.S. Department of Justice (DOJ) issued joint </w:t>
      </w:r>
      <w:hyperlink r:id="rId291" w:history="1">
        <w:r w:rsidRPr="00DD7BD1">
          <w:rPr>
            <w:rStyle w:val="Hyperlink"/>
            <w:rFonts w:ascii="Calibri" w:hAnsi="Calibri" w:cs="Calibri"/>
            <w:b w:val="0"/>
            <w:bCs w:val="0"/>
            <w:sz w:val="22"/>
            <w:szCs w:val="22"/>
          </w:rPr>
          <w:t>guidance</w:t>
        </w:r>
      </w:hyperlink>
      <w:r w:rsidRPr="00DD7BD1">
        <w:rPr>
          <w:rFonts w:ascii="Calibri" w:hAnsi="Calibri" w:cs="Calibri"/>
          <w:b w:val="0"/>
          <w:bCs w:val="0"/>
          <w:sz w:val="22"/>
          <w:szCs w:val="22"/>
        </w:rPr>
        <w:t xml:space="preserve"> on illegal and discriminatory diversity, equity and inclusion (DEI) practices. </w:t>
      </w:r>
    </w:p>
    <w:p w14:paraId="71F112CA"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486AD4FB"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EEOC FAQs and the EEOC and DOJ joint guidance state that </w:t>
      </w:r>
      <w:r w:rsidRPr="00DD7BD1">
        <w:rPr>
          <w:rFonts w:ascii="Calibri" w:hAnsi="Calibri" w:cs="Calibri"/>
          <w:sz w:val="22"/>
          <w:szCs w:val="22"/>
        </w:rPr>
        <w:t>DEI programs may be unlawful under Title VII if they are motivated, in whole or in part, by an employee’s protected trait</w:t>
      </w:r>
      <w:r w:rsidRPr="00DD7BD1">
        <w:rPr>
          <w:rFonts w:ascii="Calibri" w:hAnsi="Calibri" w:cs="Calibri"/>
          <w:b w:val="0"/>
          <w:bCs w:val="0"/>
          <w:sz w:val="22"/>
          <w:szCs w:val="22"/>
        </w:rPr>
        <w:t xml:space="preserve">. </w:t>
      </w:r>
    </w:p>
    <w:p w14:paraId="457975E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5FADEFA5"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guidance identifies specific instances of potential DEI-related discrimination in the workplace, including:</w:t>
      </w:r>
    </w:p>
    <w:p w14:paraId="2ECF7205"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Disparate treatment</w:t>
      </w:r>
      <w:r w:rsidRPr="00DD7BD1">
        <w:rPr>
          <w:rFonts w:ascii="Calibri" w:hAnsi="Calibri" w:cs="Calibri"/>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Limiting, segregating or classifying</w:t>
      </w:r>
      <w:r w:rsidRPr="00DD7BD1">
        <w:rPr>
          <w:rFonts w:ascii="Calibri" w:hAnsi="Calibri" w:cs="Calibri"/>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Engaging in workplace </w:t>
      </w:r>
      <w:r w:rsidRPr="00DD7BD1">
        <w:rPr>
          <w:rFonts w:ascii="Calibri" w:hAnsi="Calibri" w:cs="Calibri"/>
          <w:sz w:val="22"/>
          <w:szCs w:val="22"/>
        </w:rPr>
        <w:t>harassment</w:t>
      </w:r>
      <w:r w:rsidRPr="00DD7BD1">
        <w:rPr>
          <w:rFonts w:ascii="Calibri" w:hAnsi="Calibri" w:cs="Calibri"/>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 xml:space="preserve">Retaliating </w:t>
      </w:r>
      <w:r w:rsidRPr="00DD7BD1">
        <w:rPr>
          <w:rFonts w:ascii="Calibri" w:hAnsi="Calibri" w:cs="Calibri"/>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Pr="00DD7BD1" w:rsidRDefault="00052D10" w:rsidP="00052D10">
      <w:pPr>
        <w:pStyle w:val="Heading1"/>
        <w:shd w:val="clear" w:color="auto" w:fill="FFFFFF"/>
        <w:spacing w:after="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Additionally, employers may </w:t>
      </w:r>
      <w:r w:rsidRPr="00DD7BD1">
        <w:rPr>
          <w:rFonts w:ascii="Calibri" w:eastAsiaTheme="minorHAnsi" w:hAnsi="Calibri" w:cs="Calibri"/>
          <w:kern w:val="0"/>
          <w:sz w:val="22"/>
          <w:szCs w:val="22"/>
        </w:rPr>
        <w:t>not</w:t>
      </w:r>
      <w:r w:rsidRPr="00DD7BD1">
        <w:rPr>
          <w:rFonts w:ascii="Calibri" w:eastAsiaTheme="minorHAnsi" w:hAnsi="Calibri" w:cs="Calibri"/>
          <w:b w:val="0"/>
          <w:bCs w:val="0"/>
          <w:kern w:val="0"/>
          <w:sz w:val="22"/>
          <w:szCs w:val="22"/>
        </w:rPr>
        <w:t xml:space="preserve"> justify taking </w:t>
      </w:r>
      <w:r w:rsidRPr="00DD7BD1">
        <w:rPr>
          <w:rFonts w:ascii="Calibri" w:eastAsiaTheme="minorHAnsi" w:hAnsi="Calibri" w:cs="Calibri"/>
          <w:kern w:val="0"/>
          <w:sz w:val="22"/>
          <w:szCs w:val="22"/>
        </w:rPr>
        <w:t>an employment action on the basis of a protected trait because they have a business interest in diversity, including a client or customer preference</w:t>
      </w:r>
      <w:r w:rsidRPr="00DD7BD1">
        <w:rPr>
          <w:rFonts w:ascii="Calibri" w:eastAsiaTheme="minorHAnsi" w:hAnsi="Calibri" w:cs="Calibri"/>
          <w:b w:val="0"/>
          <w:bCs w:val="0"/>
          <w:kern w:val="0"/>
          <w:sz w:val="22"/>
          <w:szCs w:val="22"/>
        </w:rPr>
        <w:t>.</w:t>
      </w:r>
    </w:p>
    <w:p w14:paraId="12B43021"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Documents released by the joint efforts include guidance aimed at educating Employees: </w:t>
      </w:r>
    </w:p>
    <w:p w14:paraId="25A728F3"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292" w:tgtFrame="_blank" w:history="1">
        <w:r w:rsidRPr="00DD7BD1">
          <w:rPr>
            <w:rStyle w:val="Hyperlink"/>
            <w:rFonts w:ascii="Calibri" w:eastAsiaTheme="minorHAnsi" w:hAnsi="Calibri" w:cs="Calibri"/>
            <w:b w:val="0"/>
            <w:bCs w:val="0"/>
            <w:kern w:val="0"/>
            <w:sz w:val="22"/>
            <w:szCs w:val="22"/>
          </w:rPr>
          <w:t>What To Do If You Experience Discrimination Related to DEI at Work</w:t>
        </w:r>
      </w:hyperlink>
    </w:p>
    <w:p w14:paraId="18DAA648"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293" w:history="1">
        <w:r w:rsidRPr="00DD7BD1">
          <w:rPr>
            <w:rStyle w:val="Hyperlink"/>
            <w:rFonts w:ascii="Calibri" w:eastAsiaTheme="minorHAnsi" w:hAnsi="Calibri" w:cs="Calibri"/>
            <w:b w:val="0"/>
            <w:bCs w:val="0"/>
            <w:kern w:val="0"/>
            <w:sz w:val="22"/>
            <w:szCs w:val="22"/>
          </w:rPr>
          <w:t>What You Should Know About DEI-Related Discrimination at Work</w:t>
        </w:r>
      </w:hyperlink>
    </w:p>
    <w:p w14:paraId="1729CDE2" w14:textId="77777777" w:rsidR="00052D10" w:rsidRPr="00DD7BD1" w:rsidRDefault="00052D10" w:rsidP="00052D10">
      <w:pPr>
        <w:pStyle w:val="Heading1"/>
        <w:shd w:val="clear" w:color="auto" w:fill="FFFFFF"/>
        <w:spacing w:before="0" w:beforeAutospacing="0" w:after="0" w:afterAutospacing="0"/>
        <w:ind w:left="720"/>
        <w:rPr>
          <w:rFonts w:ascii="Calibri" w:eastAsiaTheme="minorHAnsi" w:hAnsi="Calibri" w:cs="Calibri"/>
          <w:b w:val="0"/>
          <w:bCs w:val="0"/>
          <w:kern w:val="0"/>
          <w:sz w:val="22"/>
          <w:szCs w:val="22"/>
        </w:rPr>
      </w:pPr>
    </w:p>
    <w:p w14:paraId="39CC13A5"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Acting National Labor Relations Board General Counsel Rescinds Biden-Era Memoranda</w:t>
      </w:r>
    </w:p>
    <w:p w14:paraId="651A71C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The National Labor Relations Board's (Board) new general counsel, William B. Cowen, rescinded several guidance memos from his predecessor.</w:t>
      </w:r>
    </w:p>
    <w:p w14:paraId="428C2BD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The rescinding of these guidance memos is a strong indication of the Board's new enforcement priorities and interpretations of the National Labor Relations Act.</w:t>
      </w:r>
    </w:p>
    <w:p w14:paraId="167AF907" w14:textId="77777777" w:rsidR="00052D10" w:rsidRPr="00DD7BD1" w:rsidRDefault="00052D10" w:rsidP="00052D10">
      <w:pPr>
        <w:pStyle w:val="Heading1"/>
        <w:spacing w:before="0" w:beforeAutospacing="0" w:after="0" w:afterAutospacing="0"/>
        <w:ind w:left="720"/>
        <w:rPr>
          <w:rFonts w:ascii="Calibri" w:hAnsi="Calibri" w:cs="Calibri"/>
          <w:b w:val="0"/>
          <w:bCs w:val="0"/>
          <w:sz w:val="22"/>
          <w:szCs w:val="22"/>
        </w:rPr>
      </w:pPr>
    </w:p>
    <w:p w14:paraId="06B0492E"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Under the new Trump Administration, there has been a number of recent developments at the National Labor Relations Board (Board) affecting employers. In particular, the Board's new general counsel (GC), William B. Cowen, has issued rescission memoranda that have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350B2364"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Interested in learning or reading more.  Access a recent March 19</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article released by Holland &amp; Knight </w:t>
      </w:r>
      <w:hyperlink r:id="rId294" w:history="1">
        <w:r w:rsidRPr="00DD7BD1">
          <w:rPr>
            <w:rStyle w:val="Hyperlink"/>
            <w:rFonts w:ascii="Calibri" w:eastAsiaTheme="minorHAnsi" w:hAnsi="Calibri" w:cs="Calibri"/>
            <w:b w:val="0"/>
            <w:bCs w:val="0"/>
            <w:kern w:val="0"/>
            <w:sz w:val="22"/>
            <w:szCs w:val="22"/>
          </w:rPr>
          <w:t>HERE</w:t>
        </w:r>
      </w:hyperlink>
    </w:p>
    <w:p w14:paraId="0759733F"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DA6E90B"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Corporate Transparency Act – Enforcement Paused</w:t>
      </w:r>
    </w:p>
    <w:p w14:paraId="57470477"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Feb. 27, 2025, FinCEN </w:t>
      </w:r>
      <w:hyperlink r:id="rId295" w:history="1">
        <w:r w:rsidRPr="00DD7BD1">
          <w:rPr>
            <w:rStyle w:val="Hyperlink"/>
            <w:rFonts w:ascii="Calibri" w:eastAsiaTheme="minorHAnsi" w:hAnsi="Calibri" w:cs="Calibri"/>
            <w:b w:val="0"/>
            <w:bCs w:val="0"/>
            <w:kern w:val="0"/>
            <w:sz w:val="22"/>
            <w:szCs w:val="22"/>
          </w:rPr>
          <w:t>announced</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the CTA reporting requirements and would issue an interim final rule in the coming weeks. </w:t>
      </w:r>
    </w:p>
    <w:p w14:paraId="5A832F48"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March 2, 2025, the Department of the Treasury issued an additional </w:t>
      </w:r>
      <w:hyperlink r:id="rId296" w:history="1">
        <w:r w:rsidRPr="00DD7BD1">
          <w:rPr>
            <w:rStyle w:val="Hyperlink"/>
            <w:rFonts w:ascii="Calibri" w:eastAsiaTheme="minorHAnsi" w:hAnsi="Calibri" w:cs="Calibri"/>
            <w:b w:val="0"/>
            <w:bCs w:val="0"/>
            <w:kern w:val="0"/>
            <w:sz w:val="22"/>
            <w:szCs w:val="22"/>
          </w:rPr>
          <w:t>announcement</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penalties under the CTA.</w:t>
      </w:r>
    </w:p>
    <w:p w14:paraId="75B9C621"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This, even though on February 18, a federal court reinstated the </w:t>
      </w:r>
      <w:hyperlink r:id="rId297" w:history="1">
        <w:r w:rsidRPr="00DD7BD1">
          <w:rPr>
            <w:rStyle w:val="Hyperlink"/>
            <w:rFonts w:ascii="Calibri" w:eastAsiaTheme="minorHAnsi" w:hAnsi="Calibri" w:cs="Calibri"/>
            <w:b w:val="0"/>
            <w:bCs w:val="0"/>
            <w:kern w:val="0"/>
            <w:sz w:val="22"/>
            <w:szCs w:val="22"/>
          </w:rPr>
          <w:t>Corporate Transparency Act</w:t>
        </w:r>
      </w:hyperlink>
      <w:r w:rsidRPr="00DD7BD1">
        <w:rPr>
          <w:rFonts w:ascii="Calibri" w:eastAsiaTheme="minorHAnsi" w:hAnsi="Calibri" w:cs="Calibri"/>
          <w:b w:val="0"/>
          <w:bCs w:val="0"/>
          <w:kern w:val="0"/>
          <w:sz w:val="22"/>
          <w:szCs w:val="22"/>
        </w:rPr>
        <w:t xml:space="preserve">’s (CTA) reporting requirements, and the U.S. Department of the Treasury’s Financial Crimes Enforcement Network (FinCEN) </w:t>
      </w:r>
      <w:hyperlink r:id="rId298" w:history="1">
        <w:r w:rsidRPr="00DD7BD1">
          <w:rPr>
            <w:rStyle w:val="Hyperlink"/>
            <w:rFonts w:ascii="Calibri" w:eastAsiaTheme="minorHAnsi" w:hAnsi="Calibri" w:cs="Calibri"/>
            <w:b w:val="0"/>
            <w:bCs w:val="0"/>
            <w:kern w:val="0"/>
            <w:sz w:val="22"/>
            <w:szCs w:val="22"/>
          </w:rPr>
          <w:t>extended</w:t>
        </w:r>
      </w:hyperlink>
      <w:r w:rsidRPr="00DD7BD1">
        <w:rPr>
          <w:rFonts w:ascii="Calibri" w:eastAsiaTheme="minorHAnsi" w:hAnsi="Calibri" w:cs="Calibri"/>
          <w:b w:val="0"/>
          <w:bCs w:val="0"/>
          <w:kern w:val="0"/>
          <w:sz w:val="22"/>
          <w:szCs w:val="22"/>
        </w:rPr>
        <w:t xml:space="preserve"> the CTA reporting deadline for most entities.</w:t>
      </w:r>
    </w:p>
    <w:p w14:paraId="72F2CC2F"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67900C00"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1C294F9E" w14:textId="77777777" w:rsidR="00052D10" w:rsidRPr="00DD7BD1" w:rsidRDefault="00052D10">
      <w:pPr>
        <w:pStyle w:val="Heading1"/>
        <w:numPr>
          <w:ilvl w:val="0"/>
          <w:numId w:val="141"/>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the CTA reporting requirements are </w:t>
      </w:r>
      <w:r w:rsidRPr="00DD7BD1">
        <w:rPr>
          <w:rFonts w:ascii="Calibri" w:hAnsi="Calibri" w:cs="Calibri"/>
          <w:color w:val="000000" w:themeColor="text1"/>
          <w:sz w:val="22"/>
          <w:szCs w:val="22"/>
        </w:rPr>
        <w:t>not currently enforced</w:t>
      </w:r>
      <w:r w:rsidRPr="00DD7BD1">
        <w:rPr>
          <w:rFonts w:ascii="Calibri" w:hAnsi="Calibri" w:cs="Calibri"/>
          <w:b w:val="0"/>
          <w:bCs w:val="0"/>
          <w:color w:val="000000" w:themeColor="text1"/>
          <w:sz w:val="22"/>
          <w:szCs w:val="22"/>
        </w:rPr>
        <w:t>, the CTA and its implementing regulations remain in effect and FinCEN is still accepting BOI reports.</w:t>
      </w:r>
    </w:p>
    <w:p w14:paraId="6BF6D811" w14:textId="5D877C72" w:rsidR="00052D10" w:rsidRPr="00DD7BD1" w:rsidRDefault="00052D10">
      <w:pPr>
        <w:pStyle w:val="H2Subhead"/>
        <w:numPr>
          <w:ilvl w:val="0"/>
          <w:numId w:val="141"/>
        </w:numPr>
        <w:rPr>
          <w:rFonts w:ascii="Calibri" w:eastAsia="Times New Roman" w:hAnsi="Calibri" w:cs="Calibri"/>
          <w:b w:val="0"/>
          <w:color w:val="000000" w:themeColor="text1"/>
          <w:kern w:val="36"/>
        </w:rPr>
      </w:pPr>
      <w:r w:rsidRPr="00DD7BD1">
        <w:rPr>
          <w:rFonts w:ascii="Calibri" w:eastAsia="Times New Roman" w:hAnsi="Calibri" w:cs="Calibri"/>
          <w:b w:val="0"/>
          <w:color w:val="000000" w:themeColor="text1"/>
          <w:kern w:val="36"/>
        </w:rPr>
        <w:t>Employers should anticipate significant uncertainty and monitor for updates from the government and pursuant to ongoing legal challenges.  ETC will continue to provide updates as released</w:t>
      </w:r>
    </w:p>
    <w:p w14:paraId="77CC069F" w14:textId="77777777" w:rsidR="00052D10" w:rsidRPr="00DD7BD1" w:rsidRDefault="00052D10" w:rsidP="00052D10">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New for Federal Contractors: </w:t>
      </w:r>
      <w:r w:rsidRPr="00DD7BD1">
        <w:rPr>
          <w:rFonts w:ascii="Calibri" w:eastAsiaTheme="minorHAnsi" w:hAnsi="Calibri" w:cs="Calibri"/>
          <w:kern w:val="0"/>
          <w:sz w:val="28"/>
          <w:szCs w:val="28"/>
        </w:rPr>
        <w:t>Federal Contractor Minimum Wage Executive Order Revoked</w:t>
      </w:r>
    </w:p>
    <w:p w14:paraId="69270B1A"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After years of costly 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entered into on or after the date, to $15.00 per hours. That minimum wage has since increased to $17.75.</w:t>
      </w:r>
    </w:p>
    <w:p w14:paraId="19E1E2B4"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9C2C958"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DD7BD1" w:rsidRDefault="00052D10" w:rsidP="00052D10">
      <w:pPr>
        <w:pStyle w:val="Heading1"/>
        <w:shd w:val="clear" w:color="auto" w:fill="FFFFFF"/>
        <w:spacing w:before="0" w:beforeAutospacing="0" w:after="0" w:afterAutospacing="0"/>
        <w:ind w:left="1440"/>
        <w:rPr>
          <w:rFonts w:ascii="Calibri" w:hAnsi="Calibri" w:cs="Calibri"/>
          <w:b w:val="0"/>
          <w:bCs w:val="0"/>
          <w:color w:val="000000" w:themeColor="text1"/>
          <w:sz w:val="22"/>
          <w:szCs w:val="22"/>
        </w:rPr>
      </w:pPr>
    </w:p>
    <w:p w14:paraId="394A3D92"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entered into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p>
    <w:p w14:paraId="456B610B" w14:textId="2E7BFAF9" w:rsidR="00A83553" w:rsidRPr="00DD7BD1" w:rsidRDefault="00052D10" w:rsidP="00052D10">
      <w:pPr>
        <w:pStyle w:val="Heading1"/>
        <w:pBdr>
          <w:bottom w:val="dotted" w:sz="24" w:space="1" w:color="auto"/>
        </w:pBdr>
        <w:shd w:val="clear" w:color="auto" w:fill="FFFFFF"/>
        <w:spacing w:before="0" w:beforeAutospacing="0" w:after="0" w:afterAutospacing="0"/>
        <w:rPr>
          <w:rFonts w:ascii="Calibri" w:eastAsiaTheme="minorHAnsi" w:hAnsi="Calibri" w:cs="Calibri"/>
          <w:kern w:val="0"/>
          <w:sz w:val="28"/>
          <w:szCs w:val="28"/>
        </w:rPr>
      </w:pPr>
      <w:r w:rsidRPr="00DD7BD1">
        <w:rPr>
          <w:rFonts w:ascii="Calibri" w:hAnsi="Calibri" w:cs="Calibri"/>
          <w:b w:val="0"/>
          <w:bCs w:val="0"/>
          <w:color w:val="000000" w:themeColor="text1"/>
          <w:kern w:val="0"/>
          <w:sz w:val="22"/>
          <w:szCs w:val="22"/>
        </w:rPr>
        <w:t xml:space="preserve">Further guidance from the Department of Labor is expected.  At present, </w:t>
      </w:r>
      <w:r w:rsidRPr="00DD7BD1">
        <w:rPr>
          <w:rFonts w:ascii="Calibri" w:hAnsi="Calibri" w:cs="Calibri"/>
          <w:color w:val="000000" w:themeColor="text1"/>
          <w:kern w:val="0"/>
          <w:sz w:val="22"/>
          <w:szCs w:val="22"/>
        </w:rPr>
        <w:t xml:space="preserve">if you are paying </w:t>
      </w:r>
      <w:r w:rsidRPr="00DD7BD1">
        <w:rPr>
          <w:rFonts w:ascii="Calibri" w:eastAsiaTheme="minorHAnsi" w:hAnsi="Calibri" w:cs="Calibri"/>
          <w:kern w:val="0"/>
          <w:sz w:val="22"/>
          <w:szCs w:val="22"/>
        </w:rPr>
        <w:t>workers on federal contracts entered into on or after January 1, 2015, less than $13.30 per hour, you may wish to seek counsel</w:t>
      </w:r>
      <w:r w:rsidRPr="00DD7BD1">
        <w:rPr>
          <w:rFonts w:ascii="Calibri" w:hAnsi="Calibri" w:cs="Calibri"/>
          <w:color w:val="000000" w:themeColor="text1"/>
          <w:kern w:val="0"/>
          <w:sz w:val="22"/>
          <w:szCs w:val="22"/>
        </w:rPr>
        <w:t>.</w:t>
      </w:r>
      <w:bookmarkStart w:id="22" w:name="_Hlk194317623"/>
    </w:p>
    <w:bookmarkEnd w:id="22"/>
    <w:p w14:paraId="55D470D6" w14:textId="77777777" w:rsidR="00D15798" w:rsidRPr="00DD7BD1" w:rsidRDefault="00D15798"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2"/>
          <w:szCs w:val="22"/>
        </w:rPr>
      </w:pPr>
    </w:p>
    <w:p w14:paraId="2611666B" w14:textId="45BBEF34" w:rsidR="009A459C" w:rsidRPr="00DD7BD1" w:rsidRDefault="009A459C"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IRS Issues Guidance on Alternative Distribution Method for Form 1095-C</w:t>
      </w:r>
    </w:p>
    <w:p w14:paraId="0492DBA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As part of the Paperwork Burden Reduction Act, signed into law on December 23, 2024, Internal Revenue Code (IRC) sections 6055(c) and 6056(c) were amended to allow the use of </w:t>
      </w:r>
      <w:r w:rsidRPr="00DD7BD1">
        <w:rPr>
          <w:rFonts w:ascii="Calibri" w:eastAsiaTheme="minorHAnsi" w:hAnsi="Calibri" w:cs="Calibri"/>
          <w:b w:val="0"/>
          <w:bCs w:val="0"/>
          <w:color w:val="C00000"/>
          <w:kern w:val="0"/>
          <w:sz w:val="22"/>
          <w:szCs w:val="22"/>
        </w:rPr>
        <w:t xml:space="preserve">the alternative method for distributing Forms 1095-B and 1095-C. </w:t>
      </w:r>
    </w:p>
    <w:p w14:paraId="11018C22"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0369AE80"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Basically stated, employers were given the green light to simply post a general notice of availability instead of being required to individually distribute Form 1095-C.</w:t>
      </w:r>
    </w:p>
    <w:p w14:paraId="0858162E"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3657A69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on using the alternative method to distribute Form 1095-C was issued by the IRS on February 21, 2025</w:t>
      </w:r>
    </w:p>
    <w:p w14:paraId="5B9F04C9" w14:textId="77777777" w:rsidR="009A459C" w:rsidRPr="00DD7BD1" w:rsidRDefault="009A459C" w:rsidP="009A459C">
      <w:pPr>
        <w:pStyle w:val="Heading1"/>
        <w:spacing w:before="0" w:beforeAutospacing="0" w:after="0" w:afterAutospacing="0"/>
        <w:rPr>
          <w:rFonts w:ascii="Calibri" w:hAnsi="Calibri" w:cs="Calibri"/>
          <w:b w:val="0"/>
          <w:bCs w:val="0"/>
          <w:sz w:val="12"/>
          <w:szCs w:val="12"/>
        </w:rPr>
      </w:pPr>
    </w:p>
    <w:p w14:paraId="7E877E9D" w14:textId="77777777" w:rsidR="009A459C" w:rsidRPr="00DD7BD1" w:rsidRDefault="009A459C" w:rsidP="009A459C">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 those employers considering utilizing this alternative method for distribution of Form 1095-C, here are some key points of the requirements:</w:t>
      </w:r>
    </w:p>
    <w:p w14:paraId="2F1146F2" w14:textId="77777777" w:rsidR="009A459C" w:rsidRPr="00DD7BD1" w:rsidRDefault="009A459C">
      <w:pPr>
        <w:pStyle w:val="NormalWeb"/>
        <w:numPr>
          <w:ilvl w:val="0"/>
          <w:numId w:val="132"/>
        </w:numPr>
        <w:spacing w:before="0" w:beforeAutospacing="0" w:after="0"/>
        <w:rPr>
          <w:rFonts w:ascii="Calibri" w:hAnsi="Calibri" w:cs="Calibri"/>
          <w:kern w:val="36"/>
          <w:sz w:val="22"/>
          <w:szCs w:val="22"/>
        </w:rPr>
      </w:pPr>
      <w:r w:rsidRPr="00DD7BD1">
        <w:rPr>
          <w:rFonts w:ascii="Calibri" w:hAnsi="Calibri" w:cs="Calibri"/>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posted by the Form 1095-C due date for providing the form, including the automatic 30-day extension. For 2024 forms, that date is March 3, 2025.</w:t>
      </w:r>
    </w:p>
    <w:p w14:paraId="582D8DB4"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remain on the website through Oct. 15 of the year following the year which the Form 1095-C relates. For 2024 forms, that date is Oct.15, 2025.</w:t>
      </w:r>
    </w:p>
    <w:p w14:paraId="66A225B4"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758D5922"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refers to the following example as a compliant notice:</w:t>
      </w:r>
    </w:p>
    <w:p w14:paraId="4AA15906" w14:textId="77777777" w:rsidR="009A459C" w:rsidRPr="00DD7BD1" w:rsidRDefault="009A459C">
      <w:pPr>
        <w:pStyle w:val="NormalWeb"/>
        <w:numPr>
          <w:ilvl w:val="0"/>
          <w:numId w:val="133"/>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180CF133"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0EF3E479"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629C6D13" w14:textId="02E97D1D"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IRS’ recent released guidance </w:t>
      </w:r>
      <w:hyperlink r:id="rId299" w:history="1">
        <w:r w:rsidRPr="00DD7BD1">
          <w:rPr>
            <w:rStyle w:val="Hyperlink"/>
            <w:rFonts w:ascii="Calibri" w:hAnsi="Calibri" w:cs="Calibri"/>
            <w:b/>
            <w:bCs/>
            <w:spacing w:val="3"/>
            <w:sz w:val="22"/>
            <w:szCs w:val="22"/>
          </w:rPr>
          <w:t>Notice 2025-15</w:t>
        </w:r>
      </w:hyperlink>
      <w:r w:rsidRPr="00DD7BD1">
        <w:rPr>
          <w:rFonts w:ascii="Calibri" w:hAnsi="Calibri" w:cs="Calibri"/>
          <w:spacing w:val="3"/>
          <w:sz w:val="22"/>
          <w:szCs w:val="22"/>
        </w:rPr>
        <w:t> </w:t>
      </w:r>
    </w:p>
    <w:p w14:paraId="5DD87E97"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57D938C0" w14:textId="77777777" w:rsidR="009A459C" w:rsidRPr="00DD7BD1" w:rsidRDefault="009A459C" w:rsidP="009A459C">
      <w:pPr>
        <w:pStyle w:val="NormalWeb"/>
        <w:spacing w:before="0" w:beforeAutospacing="0" w:after="0" w:afterAutospacing="0"/>
        <w:jc w:val="center"/>
        <w:rPr>
          <w:rFonts w:ascii="Calibri" w:hAnsi="Calibri" w:cs="Calibri"/>
          <w:color w:val="292929"/>
          <w:spacing w:val="3"/>
          <w:sz w:val="28"/>
          <w:szCs w:val="28"/>
        </w:rPr>
      </w:pPr>
      <w:bookmarkStart w:id="23" w:name="_Hlk192688553"/>
      <w:r w:rsidRPr="00DD7BD1">
        <w:rPr>
          <w:rFonts w:ascii="Calibri" w:hAnsi="Calibri" w:cs="Calibri"/>
          <w:b/>
          <w:bCs/>
          <w:color w:val="292929"/>
          <w:spacing w:val="3"/>
          <w:sz w:val="28"/>
          <w:szCs w:val="28"/>
        </w:rPr>
        <w:t>NLRB Rescinds Biden-Era Policy Guidance on Non-Compete Agreements</w:t>
      </w:r>
    </w:p>
    <w:bookmarkEnd w:id="23"/>
    <w:p w14:paraId="4363042D" w14:textId="77777777" w:rsidR="009A459C" w:rsidRPr="00DD7BD1" w:rsidRDefault="009A459C" w:rsidP="009A459C">
      <w:pPr>
        <w:pStyle w:val="NormalWeb"/>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rescission of these memos and other Biden administration policy memoranda reflect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take action aimed at restrictive employment federally, employers are reminded that individual state regulations regarding non-competes should be adhered to by employers.</w:t>
      </w:r>
    </w:p>
    <w:p w14:paraId="46E58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A89B33A"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4" w:name="_Hlk192688562"/>
      <w:r w:rsidRPr="00DD7BD1">
        <w:rPr>
          <w:rFonts w:ascii="Calibri" w:hAnsi="Calibri" w:cs="Calibri"/>
          <w:color w:val="C00000"/>
          <w:kern w:val="0"/>
          <w:sz w:val="28"/>
          <w:szCs w:val="28"/>
        </w:rPr>
        <w:t xml:space="preserve">Update: </w:t>
      </w:r>
      <w:r w:rsidRPr="00DD7BD1">
        <w:rPr>
          <w:rFonts w:ascii="Calibri" w:hAnsi="Calibri" w:cs="Calibri"/>
          <w:color w:val="000000" w:themeColor="text1"/>
          <w:kern w:val="0"/>
          <w:sz w:val="28"/>
          <w:szCs w:val="28"/>
        </w:rPr>
        <w:t xml:space="preserve">Federal Court Blocks Aspects of </w:t>
      </w:r>
      <w:r w:rsidRPr="00DD7BD1">
        <w:rPr>
          <w:rFonts w:ascii="Calibri" w:hAnsi="Calibri" w:cs="Calibri"/>
          <w:color w:val="000000" w:themeColor="text1"/>
          <w:sz w:val="28"/>
          <w:szCs w:val="28"/>
        </w:rPr>
        <w:t>Executive Orders Targeting DEI Efforts</w:t>
      </w:r>
      <w:r w:rsidRPr="00DD7BD1">
        <w:rPr>
          <w:rFonts w:ascii="Calibri" w:hAnsi="Calibri" w:cs="Calibri"/>
          <w:b w:val="0"/>
          <w:bCs w:val="0"/>
          <w:color w:val="000000" w:themeColor="text1"/>
          <w:sz w:val="24"/>
          <w:szCs w:val="24"/>
        </w:rPr>
        <w:t xml:space="preserve"> </w:t>
      </w:r>
    </w:p>
    <w:bookmarkEnd w:id="24"/>
    <w:p w14:paraId="7FAD847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7017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 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2CFFC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temporary injunction has nationwide effect and applies to all federal contractors and grantees as well as other private entities that may be subject to the Enforcement Threat Provision and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B7F13B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This case is likely to generate further litigation along with the legal challenge </w:t>
      </w:r>
      <w:hyperlink r:id="rId300" w:tgtFrame="_blank" w:history="1">
        <w:r w:rsidRPr="00DD7BD1">
          <w:rPr>
            <w:rStyle w:val="Hyperlink"/>
            <w:rFonts w:ascii="Calibri" w:hAnsi="Calibri" w:cs="Calibri"/>
            <w:b w:val="0"/>
            <w:bCs w:val="0"/>
            <w:kern w:val="0"/>
            <w:sz w:val="22"/>
            <w:szCs w:val="22"/>
          </w:rPr>
          <w:t>filed</w:t>
        </w:r>
      </w:hyperlink>
      <w:r w:rsidRPr="00DD7BD1">
        <w:rPr>
          <w:rFonts w:ascii="Calibri" w:hAnsi="Calibri" w:cs="Calibri"/>
          <w:b w:val="0"/>
          <w:bCs w:val="0"/>
          <w:color w:val="000000" w:themeColor="text1"/>
          <w:kern w:val="0"/>
          <w:sz w:val="22"/>
          <w:szCs w:val="22"/>
        </w:rPr>
        <w:t xml:space="preserve"> recently in Washington, D.C. federal court. </w:t>
      </w:r>
    </w:p>
    <w:p w14:paraId="568CC08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532464F3"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5" w:name="_Hlk192688567"/>
      <w:r w:rsidRPr="00DD7BD1">
        <w:rPr>
          <w:rFonts w:ascii="Calibri" w:hAnsi="Calibri" w:cs="Calibri"/>
          <w:color w:val="C00000"/>
          <w:kern w:val="0"/>
          <w:sz w:val="28"/>
          <w:szCs w:val="28"/>
        </w:rPr>
        <w:t>Update:</w:t>
      </w:r>
      <w:r w:rsidRPr="00DD7BD1">
        <w:rPr>
          <w:rFonts w:ascii="Calibri" w:hAnsi="Calibri" w:cs="Calibri"/>
          <w:b w:val="0"/>
          <w:bCs w:val="0"/>
          <w:color w:val="C00000"/>
          <w:kern w:val="0"/>
          <w:sz w:val="28"/>
          <w:szCs w:val="28"/>
        </w:rPr>
        <w:t xml:space="preserve"> </w:t>
      </w:r>
      <w:r w:rsidRPr="00DD7BD1">
        <w:rPr>
          <w:rFonts w:ascii="Calibri" w:hAnsi="Calibri" w:cs="Calibri"/>
          <w:color w:val="000000" w:themeColor="text1"/>
          <w:kern w:val="0"/>
          <w:sz w:val="28"/>
          <w:szCs w:val="28"/>
        </w:rPr>
        <w:t>Federal Government Contractors May No Longer Have 90 Days to Comply With Trump Administration’s DEI Executive Order</w:t>
      </w:r>
    </w:p>
    <w:bookmarkEnd w:id="25"/>
    <w:p w14:paraId="3641B3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As previously reported President Trump issued Executive Order 14173, “Ending Illegal Discrimination and Restoring Merit-Based Opportunity,” issued on January 21, 2025. 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5C3A12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Update: On February 15, 2025, the </w:t>
      </w:r>
      <w:r w:rsidRPr="00DD7BD1">
        <w:rPr>
          <w:rFonts w:ascii="Calibri" w:hAnsi="Calibri" w:cs="Calibri"/>
          <w:color w:val="000000" w:themeColor="text1"/>
          <w:kern w:val="0"/>
          <w:sz w:val="22"/>
          <w:szCs w:val="22"/>
        </w:rPr>
        <w:t>U.S. General Services Administration</w:t>
      </w:r>
      <w:r w:rsidRPr="00DD7BD1">
        <w:rPr>
          <w:rFonts w:ascii="Calibri" w:hAnsi="Calibri" w:cs="Calibri"/>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DD7BD1">
        <w:rPr>
          <w:rFonts w:ascii="Calibri" w:hAnsi="Calibri" w:cs="Calibri"/>
          <w:b w:val="0"/>
          <w:bCs w:val="0"/>
          <w:color w:val="000000" w:themeColor="text1"/>
          <w:kern w:val="0"/>
          <w:sz w:val="22"/>
          <w:szCs w:val="22"/>
          <w:u w:val="single"/>
        </w:rPr>
        <w:t>before April 21, 2025</w:t>
      </w:r>
      <w:r w:rsidRPr="00DD7BD1">
        <w:rPr>
          <w:rFonts w:ascii="Calibri" w:hAnsi="Calibri" w:cs="Calibri"/>
          <w:b w:val="0"/>
          <w:bCs w:val="0"/>
          <w:color w:val="000000" w:themeColor="text1"/>
          <w:kern w:val="0"/>
          <w:sz w:val="22"/>
          <w:szCs w:val="22"/>
        </w:rPr>
        <w:t>.</w:t>
      </w:r>
    </w:p>
    <w:p w14:paraId="0D0B1CF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E6396A8" w14:textId="77777777" w:rsidR="009A459C" w:rsidRPr="00DD7BD1" w:rsidRDefault="009A459C" w:rsidP="009A459C">
      <w:pPr>
        <w:pStyle w:val="Heading1"/>
        <w:shd w:val="clear" w:color="auto" w:fill="FFFFFF"/>
        <w:spacing w:before="0" w:beforeAutospacing="0" w:after="0" w:afterAutospacing="0"/>
        <w:rPr>
          <w:rFonts w:ascii="Calibri" w:hAnsi="Calibri" w:cs="Calibri"/>
        </w:rPr>
      </w:pPr>
      <w:r w:rsidRPr="00DD7BD1">
        <w:rPr>
          <w:rFonts w:ascii="Calibri" w:hAnsi="Calibri" w:cs="Calibri"/>
          <w:b w:val="0"/>
          <w:bCs w:val="0"/>
          <w:color w:val="000000" w:themeColor="text1"/>
          <w:kern w:val="0"/>
          <w:sz w:val="22"/>
          <w:szCs w:val="22"/>
        </w:rPr>
        <w:t>To read more about recommended next steps for Government Contractors, access a recent, February 19</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article released by Arnall, Golden, Gregory, LLP  </w:t>
      </w:r>
      <w:hyperlink r:id="rId301" w:history="1">
        <w:r w:rsidRPr="00DD7BD1">
          <w:rPr>
            <w:rStyle w:val="Hyperlink"/>
            <w:rFonts w:ascii="Calibri" w:hAnsi="Calibri" w:cs="Calibri"/>
            <w:b w:val="0"/>
            <w:bCs w:val="0"/>
            <w:kern w:val="0"/>
            <w:sz w:val="22"/>
            <w:szCs w:val="22"/>
          </w:rPr>
          <w:t>HERE</w:t>
        </w:r>
      </w:hyperlink>
      <w:r w:rsidRPr="00DD7BD1">
        <w:rPr>
          <w:rFonts w:ascii="Calibri" w:hAnsi="Calibri" w:cs="Calibri"/>
          <w:b w:val="0"/>
          <w:bCs w:val="0"/>
          <w:color w:val="000000" w:themeColor="text1"/>
          <w:kern w:val="0"/>
          <w:sz w:val="22"/>
          <w:szCs w:val="22"/>
        </w:rPr>
        <w:t xml:space="preserve"> addiit0nally, Little Mendelson also released a related article update on February 20</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accessible </w:t>
      </w:r>
      <w:hyperlink r:id="rId302" w:history="1">
        <w:r w:rsidRPr="00DD7BD1">
          <w:rPr>
            <w:rStyle w:val="Hyperlink"/>
            <w:rFonts w:ascii="Calibri" w:hAnsi="Calibri" w:cs="Calibri"/>
            <w:b w:val="0"/>
            <w:bCs w:val="0"/>
            <w:kern w:val="0"/>
            <w:sz w:val="22"/>
            <w:szCs w:val="22"/>
          </w:rPr>
          <w:t>HERE</w:t>
        </w:r>
      </w:hyperlink>
    </w:p>
    <w:p w14:paraId="2B022EC7" w14:textId="77777777" w:rsidR="009A459C" w:rsidRPr="00DD7BD1" w:rsidRDefault="009A459C" w:rsidP="009A459C">
      <w:pPr>
        <w:pStyle w:val="Heading1"/>
        <w:shd w:val="clear" w:color="auto" w:fill="FFFFFF"/>
        <w:spacing w:before="0" w:beforeAutospacing="0" w:after="0" w:afterAutospacing="0"/>
        <w:rPr>
          <w:rFonts w:ascii="Calibri" w:hAnsi="Calibri" w:cs="Calibri"/>
          <w:sz w:val="22"/>
          <w:szCs w:val="22"/>
        </w:rPr>
      </w:pPr>
    </w:p>
    <w:p w14:paraId="128C1638"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6" w:name="_Hlk192688601"/>
      <w:r w:rsidRPr="00DD7BD1">
        <w:rPr>
          <w:rFonts w:ascii="Calibri" w:hAnsi="Calibri" w:cs="Calibri"/>
          <w:color w:val="000000" w:themeColor="text1"/>
          <w:kern w:val="0"/>
          <w:sz w:val="28"/>
          <w:szCs w:val="28"/>
        </w:rPr>
        <w:t>Shifts in NLRB Strategic Goals &amp; Policy</w:t>
      </w:r>
    </w:p>
    <w:bookmarkEnd w:id="26"/>
    <w:p w14:paraId="233D242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National Labor Relations Board (NLRB) Acting General Counsel (AGC) William B. Cowen on February 14, 2025, changed the course of the agency’s strategic goals by rescinding more than a dozen memos penned by former General Counsel Jennifer Abruzzo. </w:t>
      </w:r>
    </w:p>
    <w:p w14:paraId="7B9FF24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21DB9E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kern w:val="0"/>
          <w:sz w:val="22"/>
          <w:szCs w:val="22"/>
        </w:rPr>
        <w:t xml:space="preserve">The repeal of several specific memos signals a shift away from the more union-friendly litigation strategy pursued by the prior general counsel.  Additionally, </w:t>
      </w:r>
      <w:r w:rsidRPr="00DD7BD1">
        <w:rPr>
          <w:rFonts w:ascii="Calibri" w:hAnsi="Calibri" w:cs="Calibri"/>
          <w:b w:val="0"/>
          <w:bCs w:val="0"/>
          <w:color w:val="000000" w:themeColor="text1"/>
          <w:sz w:val="22"/>
          <w:szCs w:val="22"/>
        </w:rPr>
        <w:t>the reasoning for scaling back the prior GC priorities was attributed to the expansive backlog of NLRB cases as well as other prior memos pending further review and guidance. The AGC’s Rescission Memo reverses many of the former GC’s policies, which, since 2021, were the cause of protracted litigation and expensive outcomes for employers.</w:t>
      </w:r>
      <w:r w:rsidRPr="00DD7BD1">
        <w:rPr>
          <w:rFonts w:ascii="Calibri" w:hAnsi="Calibri" w:cs="Calibri"/>
          <w:b w:val="0"/>
          <w:bCs w:val="0"/>
          <w:color w:val="000000" w:themeColor="text1"/>
          <w:kern w:val="0"/>
          <w:sz w:val="22"/>
          <w:szCs w:val="22"/>
        </w:rPr>
        <w:t xml:space="preserve"> </w:t>
      </w:r>
      <w:r w:rsidRPr="00DD7BD1">
        <w:rPr>
          <w:rFonts w:ascii="Calibri" w:hAnsi="Calibri" w:cs="Calibri"/>
          <w:b w:val="0"/>
          <w:bCs w:val="0"/>
          <w:color w:val="000000" w:themeColor="text1"/>
          <w:sz w:val="22"/>
          <w:szCs w:val="22"/>
        </w:rPr>
        <w:t>Cowen noted, the “unfortunate truth is that if we attempt to accomplish everything, we risk accomplishing nothing.” Based on the memo, the change signals a return to a more institutionalist enforcement philosophy.</w:t>
      </w:r>
    </w:p>
    <w:p w14:paraId="09708F6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E3B4C9F"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b w:val="0"/>
          <w:bCs w:val="0"/>
          <w:color w:val="000000" w:themeColor="text1"/>
          <w:sz w:val="22"/>
          <w:szCs w:val="22"/>
        </w:rPr>
      </w:pPr>
      <w:bookmarkStart w:id="27" w:name="_Hlk192688613"/>
      <w:r w:rsidRPr="00DD7BD1">
        <w:rPr>
          <w:rFonts w:ascii="Calibri" w:hAnsi="Calibri" w:cs="Calibri"/>
          <w:color w:val="000000" w:themeColor="text1"/>
          <w:kern w:val="0"/>
          <w:sz w:val="28"/>
          <w:szCs w:val="28"/>
        </w:rPr>
        <w:t>Shift in DOL Wage &amp; Hour Unpaid Overtime Claims &amp; Burden of Proof</w:t>
      </w:r>
    </w:p>
    <w:bookmarkEnd w:id="27"/>
    <w:p w14:paraId="03F74B8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2360C9F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court’s opinion highlights the need for </w:t>
      </w:r>
      <w:r w:rsidRPr="00DD7BD1">
        <w:rPr>
          <w:rFonts w:ascii="Calibri" w:hAnsi="Calibri" w:cs="Calibri"/>
          <w:b w:val="0"/>
          <w:bCs w:val="0"/>
          <w:color w:val="000000" w:themeColor="text1"/>
          <w:kern w:val="0"/>
          <w:sz w:val="22"/>
          <w:szCs w:val="22"/>
          <w:u w:val="single"/>
        </w:rPr>
        <w:t>employees to provide specific and detailed evidence when pursuing claims for unpaid overtime</w:t>
      </w:r>
      <w:r w:rsidRPr="00DD7BD1">
        <w:rPr>
          <w:rFonts w:ascii="Calibri" w:hAnsi="Calibri" w:cs="Calibri"/>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86A3B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Overview of the Case: </w:t>
      </w:r>
      <w:r w:rsidRPr="00DD7BD1">
        <w:rPr>
          <w:rFonts w:ascii="Calibri" w:hAnsi="Calibri" w:cs="Calibri"/>
          <w:b w:val="0"/>
          <w:bCs w:val="0"/>
          <w:i/>
          <w:iCs/>
          <w:color w:val="000000" w:themeColor="text1"/>
          <w:kern w:val="0"/>
          <w:sz w:val="22"/>
          <w:szCs w:val="22"/>
        </w:rPr>
        <w:t>Osborn v. JAB Management Services, Inc.</w:t>
      </w:r>
    </w:p>
    <w:p w14:paraId="1E66FC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DD7BD1">
        <w:rPr>
          <w:rFonts w:ascii="Calibri" w:hAnsi="Calibri" w:cs="Calibri"/>
          <w:b w:val="0"/>
          <w:bCs w:val="0"/>
          <w:i/>
          <w:iCs/>
          <w:color w:val="000000" w:themeColor="text1"/>
          <w:kern w:val="0"/>
          <w:sz w:val="22"/>
          <w:szCs w:val="22"/>
        </w:rPr>
        <w:t>Mt. Clemens</w:t>
      </w:r>
      <w:r w:rsidRPr="00DD7BD1">
        <w:rPr>
          <w:rFonts w:ascii="Calibri" w:hAnsi="Calibri" w:cs="Calibri"/>
          <w:b w:val="0"/>
          <w:bCs w:val="0"/>
          <w:color w:val="000000" w:themeColor="text1"/>
          <w:kern w:val="0"/>
          <w:sz w:val="22"/>
          <w:szCs w:val="22"/>
        </w:rPr>
        <w:t>, Ms. Osborn could not demonstrate the amount and extent of her alleged overtime worked.</w:t>
      </w:r>
    </w:p>
    <w:p w14:paraId="6FE3DC4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8A3552B" w14:textId="5AD928E4"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lightGray"/>
        </w:rPr>
        <w:t>Employer Takeaway:</w:t>
      </w:r>
      <w:r w:rsidRPr="00DD7BD1">
        <w:rPr>
          <w:rFonts w:ascii="Calibri" w:hAnsi="Calibri" w:cs="Calibri"/>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604699E9" w14:textId="77777777" w:rsidR="00636C21" w:rsidRPr="00DD7BD1" w:rsidRDefault="00636C21" w:rsidP="009A459C">
      <w:pPr>
        <w:pStyle w:val="Heading1"/>
        <w:shd w:val="clear" w:color="auto" w:fill="FFFFFF"/>
        <w:spacing w:before="0" w:beforeAutospacing="0" w:after="0" w:afterAutospacing="0"/>
        <w:rPr>
          <w:rFonts w:ascii="Calibri" w:hAnsi="Calibri" w:cs="Calibri"/>
          <w:color w:val="000000" w:themeColor="text1"/>
          <w:kern w:val="0"/>
          <w:sz w:val="22"/>
          <w:szCs w:val="22"/>
        </w:rPr>
      </w:pPr>
    </w:p>
    <w:p w14:paraId="3D0738F9"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8" w:name="_Hlk192688639"/>
      <w:r w:rsidRPr="00DD7BD1">
        <w:rPr>
          <w:rFonts w:ascii="Calibri" w:hAnsi="Calibri" w:cs="Calibri"/>
          <w:color w:val="000000" w:themeColor="text1"/>
          <w:kern w:val="0"/>
          <w:sz w:val="28"/>
          <w:szCs w:val="28"/>
        </w:rPr>
        <w:t xml:space="preserve">DOL Releases ERISA Enforcement 2024 Audit Results </w:t>
      </w:r>
    </w:p>
    <w:bookmarkEnd w:id="28"/>
    <w:p w14:paraId="592186F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U.S. Department of Labor (DOL) has released the results of its Employee Benefits Security Administration’s (EBSA) </w:t>
      </w:r>
      <w:hyperlink r:id="rId303" w:history="1">
        <w:r w:rsidRPr="00DD7BD1">
          <w:rPr>
            <w:rStyle w:val="Hyperlink"/>
            <w:rFonts w:ascii="Calibri" w:hAnsi="Calibri" w:cs="Calibri"/>
            <w:b w:val="0"/>
            <w:bCs w:val="0"/>
            <w:sz w:val="22"/>
            <w:szCs w:val="22"/>
          </w:rPr>
          <w:t>enforcement actions</w:t>
        </w:r>
      </w:hyperlink>
      <w:r w:rsidRPr="00DD7BD1">
        <w:rPr>
          <w:rFonts w:ascii="Calibri" w:hAnsi="Calibri" w:cs="Calibri"/>
          <w:b w:val="0"/>
          <w:bCs w:val="0"/>
          <w:color w:val="000000" w:themeColor="text1"/>
          <w:sz w:val="22"/>
          <w:szCs w:val="22"/>
        </w:rPr>
        <w:t xml:space="preserve"> during fiscal year (FY) 2024.</w:t>
      </w:r>
    </w:p>
    <w:p w14:paraId="7642A743"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kern w:val="0"/>
          <w:sz w:val="12"/>
          <w:szCs w:val="12"/>
        </w:rPr>
      </w:pPr>
    </w:p>
    <w:p w14:paraId="02BF93BC"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Statistics</w:t>
      </w:r>
    </w:p>
    <w:p w14:paraId="0A934B9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closed 729 civil investigations. Of these, 71% resulted in monetary results for plans or other corrective actions;</w:t>
      </w:r>
    </w:p>
    <w:p w14:paraId="1C0BDC5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1076B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referred 53 cases for civil litigation and closed 177 criminal investigations; and</w:t>
      </w:r>
    </w:p>
    <w:p w14:paraId="28A7B33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4492D8D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E073E1"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Resources</w:t>
      </w:r>
    </w:p>
    <w:p w14:paraId="53CA485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EBSA has a dedicated </w:t>
      </w:r>
      <w:hyperlink r:id="rId304" w:history="1">
        <w:r w:rsidRPr="00DD7BD1">
          <w:rPr>
            <w:rStyle w:val="Hyperlink"/>
            <w:rFonts w:ascii="Calibri" w:hAnsi="Calibri" w:cs="Calibri"/>
            <w:b w:val="0"/>
            <w:bCs w:val="0"/>
            <w:sz w:val="22"/>
            <w:szCs w:val="22"/>
          </w:rPr>
          <w:t>enforcement webpage</w:t>
        </w:r>
      </w:hyperlink>
      <w:r w:rsidRPr="00DD7BD1">
        <w:rPr>
          <w:rFonts w:ascii="Calibri" w:hAnsi="Calibri" w:cs="Calibri"/>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305" w:history="1">
        <w:r w:rsidRPr="00DD7BD1">
          <w:rPr>
            <w:rStyle w:val="Hyperlink"/>
            <w:rFonts w:ascii="Calibri" w:hAnsi="Calibri" w:cs="Calibri"/>
            <w:b w:val="0"/>
            <w:bCs w:val="0"/>
            <w:sz w:val="22"/>
            <w:szCs w:val="22"/>
          </w:rPr>
          <w:t>agency enforcement results archive</w:t>
        </w:r>
      </w:hyperlink>
      <w:r w:rsidRPr="00DD7BD1">
        <w:rPr>
          <w:rFonts w:ascii="Calibri" w:hAnsi="Calibri" w:cs="Calibri"/>
          <w:b w:val="0"/>
          <w:bCs w:val="0"/>
          <w:color w:val="000000" w:themeColor="text1"/>
          <w:sz w:val="22"/>
          <w:szCs w:val="22"/>
        </w:rPr>
        <w:t xml:space="preserve"> for prior fiscal years.</w:t>
      </w:r>
    </w:p>
    <w:p w14:paraId="1245338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3D59AC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DD7BD1">
        <w:rPr>
          <w:rFonts w:ascii="Calibri" w:hAnsi="Calibri" w:cs="Calibri"/>
          <w:b w:val="0"/>
          <w:bCs w:val="0"/>
          <w:i/>
          <w:iCs/>
          <w:color w:val="0070C0"/>
          <w:sz w:val="22"/>
          <w:szCs w:val="22"/>
        </w:rPr>
        <w:t>HR_Help@etctracking.com</w:t>
      </w:r>
    </w:p>
    <w:p w14:paraId="378DD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B236512" w14:textId="296D5681"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OSHA Form 300A Accidents &amp; Summary Posting Obligations</w:t>
      </w:r>
    </w:p>
    <w:p w14:paraId="4C2D1F06" w14:textId="314394B0" w:rsidR="00A83553" w:rsidRPr="00DD7BD1" w:rsidRDefault="00BD445F" w:rsidP="009A459C">
      <w:pPr>
        <w:ind w:left="108" w:right="122"/>
        <w:rPr>
          <w:rFonts w:ascii="Calibri" w:eastAsia="Arial" w:hAnsi="Calibri" w:cs="Calibri"/>
          <w:b/>
          <w:sz w:val="23"/>
          <w:szCs w:val="23"/>
        </w:rPr>
      </w:pPr>
      <w:r w:rsidRPr="00DD7BD1">
        <w:rPr>
          <w:rFonts w:ascii="Calibri" w:eastAsia="Arial" w:hAnsi="Calibri" w:cs="Calibri"/>
          <w:sz w:val="23"/>
          <w:szCs w:val="23"/>
        </w:rPr>
        <w:t xml:space="preserve">Applicable employers must post OSHA Form 300A Accident Summary in a public area annually from </w:t>
      </w:r>
      <w:r w:rsidRPr="00DD7BD1">
        <w:rPr>
          <w:rFonts w:ascii="Calibri" w:eastAsia="Arial" w:hAnsi="Calibri" w:cs="Calibri"/>
          <w:sz w:val="23"/>
          <w:szCs w:val="23"/>
          <w:u w:val="single"/>
        </w:rPr>
        <w:t>February 1 through April 30</w:t>
      </w:r>
      <w:r w:rsidRPr="00DD7BD1">
        <w:rPr>
          <w:rFonts w:ascii="Calibri" w:eastAsia="Arial" w:hAnsi="Calibri" w:cs="Calibri"/>
          <w:sz w:val="23"/>
          <w:szCs w:val="23"/>
        </w:rPr>
        <w:t xml:space="preserve"> for previous year’s accidents. More details schedule to be released through reminder e-blast reminders.</w:t>
      </w:r>
    </w:p>
    <w:p w14:paraId="18BF511B" w14:textId="6D896D25" w:rsidR="00BD445F" w:rsidRPr="00DD7BD1" w:rsidRDefault="00BD445F" w:rsidP="00BD445F">
      <w:pPr>
        <w:spacing w:after="0" w:line="240" w:lineRule="auto"/>
        <w:ind w:left="108" w:right="122"/>
        <w:jc w:val="center"/>
        <w:rPr>
          <w:rFonts w:ascii="Calibri" w:hAnsi="Calibri" w:cs="Calibri"/>
          <w:bCs/>
          <w:szCs w:val="28"/>
        </w:rPr>
      </w:pPr>
      <w:r w:rsidRPr="00DD7BD1">
        <w:rPr>
          <w:rFonts w:ascii="Calibri" w:hAnsi="Calibri" w:cs="Calibri"/>
          <w:b/>
          <w:bCs/>
          <w:sz w:val="28"/>
          <w:szCs w:val="28"/>
        </w:rPr>
        <w:t xml:space="preserve">Submit Form 300A Data to OSHA - </w:t>
      </w:r>
      <w:r w:rsidRPr="00DD7BD1">
        <w:rPr>
          <w:rFonts w:ascii="Calibri" w:hAnsi="Calibri" w:cs="Calibri"/>
          <w:b/>
          <w:bCs/>
          <w:color w:val="C00000"/>
          <w:sz w:val="28"/>
          <w:szCs w:val="28"/>
        </w:rPr>
        <w:t>March 2, 2025</w:t>
      </w:r>
    </w:p>
    <w:p w14:paraId="7E972A2F" w14:textId="77777777" w:rsidR="00BD445F" w:rsidRPr="00DD7BD1" w:rsidRDefault="00BD445F" w:rsidP="00BD445F">
      <w:pPr>
        <w:pStyle w:val="NormalWeb"/>
        <w:spacing w:before="0" w:beforeAutospacing="0" w:after="0" w:afterAutospacing="0"/>
        <w:ind w:left="142"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Applicable employers must submit Form </w:t>
      </w:r>
      <w:r w:rsidRPr="00DD7BD1">
        <w:rPr>
          <w:rFonts w:ascii="Calibri" w:eastAsia="Arial" w:hAnsi="Calibri" w:cs="Calibri"/>
          <w:bCs/>
          <w:color w:val="000000"/>
          <w:sz w:val="23"/>
          <w:szCs w:val="23"/>
        </w:rPr>
        <w:t>300A Data to OSHA.</w:t>
      </w:r>
    </w:p>
    <w:p w14:paraId="083A41D1" w14:textId="77777777" w:rsidR="00BD445F" w:rsidRPr="00DD7BD1" w:rsidRDefault="00BD445F" w:rsidP="00BD445F">
      <w:pPr>
        <w:pStyle w:val="NormalWeb"/>
        <w:spacing w:before="0" w:beforeAutospacing="0" w:after="0" w:afterAutospacing="0"/>
        <w:ind w:left="142" w:right="130"/>
        <w:rPr>
          <w:rFonts w:ascii="Calibri" w:eastAsia="Arial" w:hAnsi="Calibri" w:cs="Calibri"/>
          <w:b/>
          <w:color w:val="000000"/>
          <w:sz w:val="23"/>
          <w:szCs w:val="23"/>
        </w:rPr>
      </w:pPr>
      <w:r w:rsidRPr="00DD7BD1">
        <w:rPr>
          <w:rFonts w:ascii="Calibri" w:eastAsia="Arial" w:hAnsi="Calibri" w:cs="Calibri"/>
          <w:color w:val="000000"/>
          <w:sz w:val="23"/>
          <w:szCs w:val="23"/>
        </w:rPr>
        <w:t>The following establishments must electronically submit their form 300A data to OSHA via the agency’s Injury Tracking Application (ITA) by March 2</w:t>
      </w:r>
      <w:r w:rsidRPr="00DD7BD1">
        <w:rPr>
          <w:rFonts w:ascii="Calibri" w:eastAsia="Arial" w:hAnsi="Calibri" w:cs="Calibri"/>
          <w:color w:val="000000"/>
          <w:sz w:val="23"/>
          <w:szCs w:val="23"/>
          <w:vertAlign w:val="superscript"/>
        </w:rPr>
        <w:t>nd</w:t>
      </w:r>
      <w:r w:rsidRPr="00DD7BD1">
        <w:rPr>
          <w:rFonts w:ascii="Calibri" w:eastAsia="Arial" w:hAnsi="Calibri" w:cs="Calibri"/>
          <w:color w:val="000000"/>
          <w:sz w:val="23"/>
          <w:szCs w:val="23"/>
        </w:rPr>
        <w:t xml:space="preserve"> of the year after the calendar year covered by the form:</w:t>
      </w:r>
    </w:p>
    <w:p w14:paraId="3DFBA267"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t>Establishments that had 20-249 employees in the previous calendar year that are classified in certain industries.</w:t>
      </w:r>
    </w:p>
    <w:p w14:paraId="75261ABE"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hyperlink r:id="rId306" w:history="1">
        <w:r w:rsidRPr="00DD7BD1">
          <w:rPr>
            <w:rStyle w:val="Hyperlink"/>
            <w:rFonts w:ascii="Calibri" w:eastAsia="Arial" w:hAnsi="Calibri" w:cs="Calibri"/>
            <w:i/>
            <w:sz w:val="23"/>
            <w:szCs w:val="23"/>
          </w:rPr>
          <w:t>https://www.osha.gov/injuryreporting/</w:t>
        </w:r>
      </w:hyperlink>
    </w:p>
    <w:p w14:paraId="51DCDFB0" w14:textId="77777777" w:rsidR="00BD445F" w:rsidRPr="00DD7BD1" w:rsidRDefault="00BD445F" w:rsidP="00BD445F">
      <w:pPr>
        <w:pStyle w:val="NormalWeb"/>
        <w:spacing w:before="0" w:beforeAutospacing="0" w:after="0" w:afterAutospacing="0"/>
        <w:ind w:left="862" w:right="130"/>
        <w:rPr>
          <w:rFonts w:ascii="Calibri" w:eastAsia="Arial" w:hAnsi="Calibri" w:cs="Calibri"/>
          <w:iCs/>
          <w:color w:val="000000"/>
          <w:sz w:val="22"/>
          <w:szCs w:val="22"/>
        </w:rPr>
      </w:pPr>
    </w:p>
    <w:p w14:paraId="217E35BC" w14:textId="77777777"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Calendar Year Benefit Plan Year Employers:</w:t>
      </w:r>
      <w:r w:rsidRPr="00DD7BD1">
        <w:rPr>
          <w:rFonts w:ascii="Calibri" w:eastAsia="Arial" w:hAnsi="Calibri" w:cs="Calibri"/>
          <w:sz w:val="20"/>
          <w:szCs w:val="20"/>
        </w:rPr>
        <w:t xml:space="preserve"> </w:t>
      </w:r>
      <w:r w:rsidRPr="00DD7BD1">
        <w:rPr>
          <w:rFonts w:ascii="Calibri" w:eastAsiaTheme="minorHAnsi" w:hAnsi="Calibri" w:cs="Calibri"/>
          <w:kern w:val="0"/>
          <w:sz w:val="28"/>
          <w:szCs w:val="28"/>
        </w:rPr>
        <w:t xml:space="preserve">CMS Part D Creditable Coverage Online Disclosure – </w:t>
      </w:r>
      <w:r w:rsidRPr="00DD7BD1">
        <w:rPr>
          <w:rFonts w:ascii="Calibri" w:eastAsiaTheme="minorHAnsi" w:hAnsi="Calibri" w:cs="Calibri"/>
          <w:color w:val="C00000"/>
          <w:kern w:val="0"/>
          <w:sz w:val="28"/>
          <w:szCs w:val="28"/>
        </w:rPr>
        <w:t>March 1, 2025</w:t>
      </w:r>
    </w:p>
    <w:p w14:paraId="01E03C20" w14:textId="77777777" w:rsidR="00BD445F" w:rsidRPr="00DD7BD1" w:rsidRDefault="00BD445F" w:rsidP="00BD445F">
      <w:pPr>
        <w:pStyle w:val="NormalWeb"/>
        <w:spacing w:before="0" w:beforeAutospacing="0" w:after="150" w:afterAutospacing="0"/>
        <w:ind w:left="142" w:right="127"/>
        <w:rPr>
          <w:rFonts w:ascii="Calibri" w:eastAsia="Arial" w:hAnsi="Calibri" w:cs="Calibri"/>
          <w:color w:val="000000"/>
          <w:sz w:val="23"/>
          <w:szCs w:val="23"/>
        </w:rPr>
      </w:pPr>
      <w:r w:rsidRPr="00DD7BD1">
        <w:rPr>
          <w:rFonts w:ascii="Calibri" w:eastAsia="Arial" w:hAnsi="Calibri" w:cs="Calibri"/>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DD7BD1" w:rsidRDefault="00BD445F" w:rsidP="00BD445F">
      <w:pPr>
        <w:ind w:left="142" w:right="122"/>
        <w:rPr>
          <w:rFonts w:ascii="Calibri" w:eastAsia="Arial" w:hAnsi="Calibri" w:cs="Calibri"/>
          <w:b/>
          <w:bCs/>
          <w:color w:val="385623" w:themeColor="accent6" w:themeShade="80"/>
          <w:sz w:val="23"/>
          <w:szCs w:val="23"/>
        </w:rPr>
      </w:pPr>
      <w:r w:rsidRPr="00DD7BD1">
        <w:rPr>
          <w:rFonts w:ascii="Calibri" w:eastAsia="Arial" w:hAnsi="Calibri" w:cs="Calibri"/>
          <w:sz w:val="23"/>
          <w:szCs w:val="23"/>
        </w:rPr>
        <w:t xml:space="preserve">Plan sponsors must submit a new disclosure to CMS </w:t>
      </w:r>
      <w:r w:rsidRPr="00DD7BD1">
        <w:rPr>
          <w:rFonts w:ascii="Calibri" w:eastAsia="Arial" w:hAnsi="Calibri" w:cs="Calibri"/>
          <w:b/>
          <w:bCs/>
          <w:sz w:val="23"/>
          <w:szCs w:val="23"/>
          <w:u w:val="single"/>
        </w:rPr>
        <w:t>no later than 60 days after the beginning of each plan year</w:t>
      </w:r>
      <w:r w:rsidRPr="00DD7BD1">
        <w:rPr>
          <w:rFonts w:ascii="Calibri" w:eastAsia="Arial" w:hAnsi="Calibri" w:cs="Calibri"/>
          <w:sz w:val="23"/>
          <w:szCs w:val="23"/>
        </w:rPr>
        <w:t xml:space="preserve">—i.e., by </w:t>
      </w:r>
      <w:r w:rsidRPr="00DD7BD1">
        <w:rPr>
          <w:rFonts w:ascii="Calibri" w:eastAsia="Arial" w:hAnsi="Calibri" w:cs="Calibri"/>
          <w:b/>
          <w:bCs/>
          <w:sz w:val="23"/>
          <w:szCs w:val="23"/>
        </w:rPr>
        <w:t>March 1 for calendar year benefit plan years</w:t>
      </w:r>
    </w:p>
    <w:p w14:paraId="531F706E" w14:textId="77777777" w:rsidR="00BD445F" w:rsidRPr="00DD7BD1" w:rsidRDefault="00BD445F" w:rsidP="00BD445F">
      <w:pPr>
        <w:pStyle w:val="Heading1"/>
        <w:shd w:val="clear" w:color="auto" w:fill="FFFFFF"/>
        <w:spacing w:before="0" w:beforeAutospacing="0" w:after="0" w:afterAutospacing="0"/>
        <w:ind w:left="142"/>
        <w:jc w:val="both"/>
        <w:rPr>
          <w:rFonts w:ascii="Calibri" w:hAnsi="Calibri" w:cs="Calibri"/>
          <w:color w:val="000000" w:themeColor="text1"/>
          <w:kern w:val="0"/>
          <w:sz w:val="23"/>
          <w:szCs w:val="23"/>
          <w:u w:val="single"/>
        </w:rPr>
      </w:pPr>
      <w:hyperlink r:id="rId307" w:history="1">
        <w:r w:rsidRPr="00DD7BD1">
          <w:rPr>
            <w:rStyle w:val="Hyperlink"/>
            <w:rFonts w:ascii="Calibri" w:hAnsi="Calibri" w:cs="Calibri"/>
            <w:i/>
            <w:iCs/>
            <w:sz w:val="23"/>
            <w:szCs w:val="23"/>
          </w:rPr>
          <w:t>https://www.cms.gov/Medicare/Prescription-Drug-Coverage/CreditableCoverage/CCDisclosure.html</w:t>
        </w:r>
      </w:hyperlink>
    </w:p>
    <w:p w14:paraId="7829007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p>
    <w:p w14:paraId="58044453"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Creditable Coverage Determination 2025</w:t>
      </w:r>
    </w:p>
    <w:p w14:paraId="36BE15AB"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Employers that provide prescription drug coverage to individuals who are eligible for Medicare Part D must inform these individuals and CMS whether their prescription drug coverage is </w:t>
      </w:r>
      <w:r w:rsidRPr="00DD7BD1">
        <w:rPr>
          <w:rFonts w:ascii="Calibri" w:hAnsi="Calibri" w:cs="Calibri"/>
          <w:b/>
          <w:bCs/>
        </w:rPr>
        <w:t>creditable</w:t>
      </w:r>
      <w:r w:rsidRPr="00DD7BD1">
        <w:rPr>
          <w:rFonts w:ascii="Calibri" w:hAnsi="Calibri" w:cs="Calibri"/>
        </w:rPr>
        <w:t xml:space="preserve">, meaning that the employer’s prescription drug coverage is at least as good as Medicare Part D coverage. </w:t>
      </w:r>
    </w:p>
    <w:p w14:paraId="35522214" w14:textId="77777777" w:rsidR="00BD445F" w:rsidRPr="00DD7BD1" w:rsidRDefault="00BD445F" w:rsidP="00BD445F">
      <w:pPr>
        <w:pStyle w:val="ParagraphBasic"/>
        <w:spacing w:after="0" w:line="240" w:lineRule="auto"/>
        <w:rPr>
          <w:rFonts w:ascii="Calibri" w:hAnsi="Calibri" w:cs="Calibri"/>
          <w:sz w:val="16"/>
          <w:szCs w:val="16"/>
        </w:rPr>
      </w:pPr>
    </w:p>
    <w:p w14:paraId="2AF234C1"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Under </w:t>
      </w:r>
      <w:hyperlink r:id="rId308" w:history="1">
        <w:r w:rsidRPr="00DD7BD1">
          <w:rPr>
            <w:rStyle w:val="Hyperlink"/>
            <w:rFonts w:ascii="Calibri" w:hAnsi="Calibri" w:cs="Calibri"/>
          </w:rPr>
          <w:t>existing CMS guidance</w:t>
        </w:r>
      </w:hyperlink>
      <w:r w:rsidRPr="00DD7BD1">
        <w:rPr>
          <w:rFonts w:ascii="Calibri" w:hAnsi="Calibri" w:cs="Calibri"/>
        </w:rPr>
        <w:t>, there are a few different ways for an employer to determine whether its prescription drug coverage is creditable:</w:t>
      </w:r>
    </w:p>
    <w:p w14:paraId="28DEA1A3"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As a first step, employers with insured prescription drug plans should ask their carriers if they have determined whether the plan’s coverage is creditable.</w:t>
      </w:r>
    </w:p>
    <w:p w14:paraId="7FEBB5AA" w14:textId="77777777" w:rsidR="00BD445F" w:rsidRPr="00DD7BD1" w:rsidRDefault="00BD445F" w:rsidP="00BD445F">
      <w:pPr>
        <w:pStyle w:val="BList1"/>
        <w:numPr>
          <w:ilvl w:val="0"/>
          <w:numId w:val="0"/>
        </w:numPr>
        <w:spacing w:before="0" w:after="0" w:line="240" w:lineRule="auto"/>
        <w:ind w:left="720"/>
        <w:rPr>
          <w:rFonts w:ascii="Calibri" w:hAnsi="Calibri" w:cs="Calibri"/>
          <w:sz w:val="8"/>
          <w:szCs w:val="8"/>
        </w:rPr>
      </w:pPr>
    </w:p>
    <w:p w14:paraId="10A53797"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 xml:space="preserve">For self-insured plans, or where the carrier for an insured plan has not made a creditable coverage determination, employers may use a </w:t>
      </w:r>
      <w:r w:rsidRPr="00DD7BD1">
        <w:rPr>
          <w:rFonts w:ascii="Calibri" w:hAnsi="Calibri" w:cs="Calibri"/>
          <w:b/>
          <w:bCs/>
        </w:rPr>
        <w:t>simplified determination</w:t>
      </w:r>
      <w:r w:rsidRPr="00DD7BD1">
        <w:rPr>
          <w:rFonts w:ascii="Calibri" w:hAnsi="Calibri" w:cs="Calibri"/>
        </w:rPr>
        <w:t xml:space="preserve"> as long as the coverage meets certain design requirements. If it doesn’t, the employer must use an </w:t>
      </w:r>
      <w:r w:rsidRPr="00DD7BD1">
        <w:rPr>
          <w:rFonts w:ascii="Calibri" w:hAnsi="Calibri" w:cs="Calibri"/>
          <w:b/>
          <w:bCs/>
        </w:rPr>
        <w:t>actuarial determination method</w:t>
      </w:r>
      <w:r w:rsidRPr="00DD7BD1">
        <w:rPr>
          <w:rFonts w:ascii="Calibri" w:hAnsi="Calibri" w:cs="Calibri"/>
        </w:rPr>
        <w:t>.</w:t>
      </w:r>
    </w:p>
    <w:p w14:paraId="2D526703"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 w:val="0"/>
          <w:sz w:val="16"/>
          <w:szCs w:val="16"/>
        </w:rPr>
      </w:pPr>
    </w:p>
    <w:p w14:paraId="4D4698AF"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Cs/>
          <w:color w:val="auto"/>
        </w:rPr>
      </w:pPr>
      <w:r w:rsidRPr="00DD7BD1">
        <w:rPr>
          <w:rStyle w:val="CBold"/>
          <w:rFonts w:ascii="Calibri" w:hAnsi="Calibri" w:cs="Calibri"/>
          <w:bCs/>
          <w:color w:val="auto"/>
        </w:rPr>
        <w:t>Part D Redesign Program Instructions for CY 2025</w:t>
      </w:r>
    </w:p>
    <w:p w14:paraId="285C4D10" w14:textId="77777777" w:rsidR="00BD445F" w:rsidRPr="00DD7BD1" w:rsidRDefault="00BD445F" w:rsidP="00BD445F">
      <w:pPr>
        <w:pStyle w:val="BList1"/>
        <w:numPr>
          <w:ilvl w:val="0"/>
          <w:numId w:val="0"/>
        </w:numPr>
        <w:spacing w:before="0" w:after="0" w:line="240" w:lineRule="auto"/>
        <w:rPr>
          <w:rFonts w:ascii="Calibri" w:hAnsi="Calibri" w:cs="Calibri"/>
        </w:rPr>
      </w:pPr>
      <w:r w:rsidRPr="00DD7BD1">
        <w:rPr>
          <w:rFonts w:ascii="Calibri" w:hAnsi="Calibri" w:cs="Calibri"/>
        </w:rPr>
        <w:t xml:space="preserve">Previously, CMS stated in its Draft Part D Redesign Program Instructions that the simplified determination method would </w:t>
      </w:r>
      <w:r w:rsidRPr="00DD7BD1">
        <w:rPr>
          <w:rFonts w:ascii="Calibri" w:hAnsi="Calibri" w:cs="Calibri"/>
          <w:u w:val="single"/>
        </w:rPr>
        <w:t>no longer be valid as of calendar year (CY) 2025</w:t>
      </w:r>
      <w:r w:rsidRPr="00DD7BD1">
        <w:rPr>
          <w:rFonts w:ascii="Calibri" w:hAnsi="Calibri" w:cs="Calibri"/>
        </w:rPr>
        <w:t xml:space="preserve">, given the significant changes made to Medicare Part D by the IRA. However, according to the Final Program Instructions, </w:t>
      </w:r>
      <w:r w:rsidRPr="00DD7BD1">
        <w:rPr>
          <w:rFonts w:ascii="Calibri" w:hAnsi="Calibri" w:cs="Calibri"/>
          <w:b/>
          <w:bCs/>
        </w:rPr>
        <w:t xml:space="preserve">CMS </w:t>
      </w:r>
      <w:r w:rsidRPr="00DD7BD1">
        <w:rPr>
          <w:rFonts w:ascii="Calibri" w:hAnsi="Calibri" w:cs="Calibri"/>
          <w:b/>
          <w:bCs/>
          <w:u w:val="single"/>
        </w:rPr>
        <w:t xml:space="preserve">will </w:t>
      </w:r>
      <w:r w:rsidRPr="00DD7BD1">
        <w:rPr>
          <w:rFonts w:ascii="Calibri" w:hAnsi="Calibri" w:cs="Calibri"/>
          <w:b/>
          <w:bCs/>
        </w:rPr>
        <w:t>continue to permit use of the simplified determination methodology, without modification, for CY 2025 for group health plan sponsors who are not applying for the retiree drug subsidy.</w:t>
      </w:r>
      <w:r w:rsidRPr="00DD7BD1">
        <w:rPr>
          <w:rFonts w:ascii="Calibri" w:hAnsi="Calibri" w:cs="Calibri"/>
        </w:rPr>
        <w:t xml:space="preserve"> </w:t>
      </w:r>
    </w:p>
    <w:p w14:paraId="78053055" w14:textId="77777777" w:rsidR="00BD445F" w:rsidRPr="00DD7BD1" w:rsidRDefault="00BD445F" w:rsidP="00BD445F">
      <w:pPr>
        <w:pStyle w:val="TRow"/>
        <w:rPr>
          <w:rFonts w:ascii="Calibri" w:hAnsi="Calibri" w:cs="Calibri"/>
          <w:color w:val="auto"/>
          <w:sz w:val="16"/>
          <w:szCs w:val="16"/>
        </w:rPr>
      </w:pPr>
    </w:p>
    <w:p w14:paraId="7A1C1EB1" w14:textId="77777777" w:rsidR="00BD445F" w:rsidRPr="00DD7BD1" w:rsidRDefault="00BD445F" w:rsidP="00BD445F">
      <w:pPr>
        <w:pStyle w:val="TRow"/>
        <w:rPr>
          <w:rFonts w:ascii="Calibri" w:hAnsi="Calibri" w:cs="Calibri"/>
          <w:color w:val="auto"/>
        </w:rPr>
      </w:pPr>
      <w:r w:rsidRPr="00DD7BD1">
        <w:rPr>
          <w:rFonts w:ascii="Calibri" w:hAnsi="Calibri" w:cs="Calibri"/>
          <w:color w:val="auto"/>
        </w:rPr>
        <w:t>CMS Resources</w:t>
      </w:r>
    </w:p>
    <w:p w14:paraId="23D26935"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Additional information and resources on the IRA’s changes to Medicare Part D are available on CMS’ </w:t>
      </w:r>
      <w:hyperlink r:id="rId309" w:history="1">
        <w:r w:rsidRPr="00DD7BD1">
          <w:rPr>
            <w:rStyle w:val="Hyperlink"/>
            <w:rFonts w:ascii="Calibri" w:hAnsi="Calibri" w:cs="Calibri"/>
          </w:rPr>
          <w:t>Part D Improvements webpage</w:t>
        </w:r>
      </w:hyperlink>
      <w:r w:rsidRPr="00DD7BD1">
        <w:rPr>
          <w:rFonts w:ascii="Calibri" w:hAnsi="Calibri" w:cs="Calibri"/>
        </w:rPr>
        <w:t>.</w:t>
      </w:r>
    </w:p>
    <w:p w14:paraId="5A1AE84D" w14:textId="77777777" w:rsidR="00BD445F" w:rsidRPr="00DD7BD1" w:rsidRDefault="00BD445F" w:rsidP="00BD445F">
      <w:pPr>
        <w:pStyle w:val="ParagraphBasic"/>
        <w:spacing w:after="0" w:line="240" w:lineRule="auto"/>
        <w:rPr>
          <w:rFonts w:ascii="Calibri" w:hAnsi="Calibri" w:cs="Calibri"/>
          <w:sz w:val="16"/>
          <w:szCs w:val="16"/>
        </w:rPr>
      </w:pPr>
    </w:p>
    <w:p w14:paraId="554EA7D7" w14:textId="77777777" w:rsidR="00BD445F" w:rsidRPr="00DD7BD1" w:rsidRDefault="00BD445F" w:rsidP="00BD445F">
      <w:pPr>
        <w:pStyle w:val="Highlight"/>
        <w:spacing w:after="0" w:line="240" w:lineRule="auto"/>
        <w:rPr>
          <w:rFonts w:ascii="Calibri" w:hAnsi="Calibri" w:cs="Calibri"/>
        </w:rPr>
      </w:pPr>
      <w:r w:rsidRPr="00DD7BD1">
        <w:rPr>
          <w:rFonts w:ascii="Calibri" w:hAnsi="Calibri" w:cs="Calibri"/>
          <w:b/>
          <w:bCs/>
          <w:highlight w:val="darkGray"/>
        </w:rPr>
        <w:t>Employer Takeaway:</w:t>
      </w:r>
      <w:r w:rsidRPr="00DD7BD1">
        <w:rPr>
          <w:rFonts w:ascii="Calibri" w:hAnsi="Calibri" w:cs="Calibri"/>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2"/>
          <w:szCs w:val="22"/>
        </w:rPr>
      </w:pPr>
    </w:p>
    <w:p w14:paraId="510E16FB"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FMLA &amp; State PFML Programs</w:t>
      </w:r>
    </w:p>
    <w:p w14:paraId="24947BEB"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DOL Wage &amp; Hour Division recently issued a new Opinion Letter (</w:t>
      </w:r>
      <w:hyperlink r:id="rId310" w:history="1">
        <w:r w:rsidRPr="00DD7BD1">
          <w:rPr>
            <w:rStyle w:val="Hyperlink"/>
            <w:rFonts w:ascii="Calibri" w:hAnsi="Calibri" w:cs="Calibri"/>
            <w:b w:val="0"/>
            <w:bCs w:val="0"/>
            <w:kern w:val="0"/>
            <w:sz w:val="22"/>
            <w:szCs w:val="22"/>
          </w:rPr>
          <w:t>FMLA 2025-01-A</w:t>
        </w:r>
      </w:hyperlink>
      <w:r w:rsidRPr="00DD7BD1">
        <w:rPr>
          <w:rFonts w:ascii="Calibri" w:hAnsi="Calibri" w:cs="Calibri"/>
          <w:b w:val="0"/>
          <w:bCs w:val="0"/>
          <w:color w:val="000000" w:themeColor="text1"/>
          <w:kern w:val="0"/>
          <w:sz w:val="22"/>
          <w:szCs w:val="22"/>
        </w:rPr>
        <w:t xml:space="preserve">) </w:t>
      </w:r>
    </w:p>
    <w:p w14:paraId="6F62ACF3"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PFML for a qualifying FMLA reason must be designated as FMLA leave. </w:t>
      </w:r>
    </w:p>
    <w:p w14:paraId="73DF0772"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Employers and employees may not </w:t>
      </w:r>
      <w:r w:rsidRPr="00DD7BD1">
        <w:rPr>
          <w:rFonts w:ascii="Calibri" w:hAnsi="Calibri" w:cs="Calibri"/>
          <w:b w:val="0"/>
          <w:bCs w:val="0"/>
          <w:color w:val="000000" w:themeColor="text1"/>
          <w:sz w:val="22"/>
          <w:szCs w:val="22"/>
          <w:u w:val="single"/>
        </w:rPr>
        <w:t>unilaterally require that employer-provided paid leave run concurrently with PFML designated as FMLA leave</w:t>
      </w:r>
      <w:r w:rsidRPr="00DD7BD1">
        <w:rPr>
          <w:rFonts w:ascii="Calibri" w:hAnsi="Calibri" w:cs="Calibri"/>
          <w:b w:val="0"/>
          <w:bCs w:val="0"/>
          <w:color w:val="000000" w:themeColor="text1"/>
          <w:sz w:val="22"/>
          <w:szCs w:val="22"/>
        </w:rPr>
        <w:t>, although they may agree to this substitution.</w:t>
      </w:r>
    </w:p>
    <w:p w14:paraId="4E2D886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16"/>
          <w:szCs w:val="16"/>
        </w:rPr>
      </w:pPr>
    </w:p>
    <w:p w14:paraId="43D728D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darkGray"/>
        </w:rPr>
        <w:t>Employer takeaway:</w:t>
      </w:r>
      <w:r w:rsidRPr="00DD7BD1">
        <w:rPr>
          <w:rFonts w:ascii="Calibri" w:hAnsi="Calibri" w:cs="Calibri"/>
          <w:b w:val="0"/>
          <w:bCs w:val="0"/>
          <w:color w:val="000000" w:themeColor="text1"/>
          <w:kern w:val="0"/>
          <w:sz w:val="22"/>
          <w:szCs w:val="22"/>
        </w:rPr>
        <w:t xml:space="preserve"> During any part of an FMLA leave where an employee is receiving disability or workers’ compensation benefits, </w:t>
      </w:r>
      <w:r w:rsidRPr="00DD7BD1">
        <w:rPr>
          <w:rFonts w:ascii="Calibri" w:hAnsi="Calibri" w:cs="Calibri"/>
          <w:b w:val="0"/>
          <w:bCs w:val="0"/>
          <w:i/>
          <w:iCs/>
          <w:color w:val="000000" w:themeColor="text1"/>
          <w:kern w:val="0"/>
          <w:sz w:val="22"/>
          <w:szCs w:val="22"/>
        </w:rPr>
        <w:t>neither the employer nor the employee can require substitution</w:t>
      </w:r>
      <w:r w:rsidRPr="00DD7BD1">
        <w:rPr>
          <w:rFonts w:ascii="Calibri" w:hAnsi="Calibri" w:cs="Calibri"/>
          <w:b w:val="0"/>
          <w:bCs w:val="0"/>
          <w:color w:val="000000" w:themeColor="text1"/>
          <w:kern w:val="0"/>
          <w:sz w:val="22"/>
          <w:szCs w:val="22"/>
        </w:rPr>
        <w:t> </w:t>
      </w:r>
      <w:r w:rsidRPr="00DD7BD1">
        <w:rPr>
          <w:rFonts w:ascii="Calibri" w:hAnsi="Calibri" w:cs="Calibri"/>
          <w:b w:val="0"/>
          <w:bCs w:val="0"/>
          <w:i/>
          <w:iCs/>
          <w:color w:val="000000" w:themeColor="text1"/>
          <w:kern w:val="0"/>
          <w:sz w:val="22"/>
          <w:szCs w:val="22"/>
        </w:rPr>
        <w:t>of paid time off</w:t>
      </w:r>
      <w:r w:rsidRPr="00DD7BD1">
        <w:rPr>
          <w:rFonts w:ascii="Calibri" w:hAnsi="Calibri" w:cs="Calibri"/>
          <w:b w:val="0"/>
          <w:bCs w:val="0"/>
          <w:color w:val="000000" w:themeColor="text1"/>
          <w:kern w:val="0"/>
          <w:sz w:val="22"/>
          <w:szCs w:val="22"/>
        </w:rPr>
        <w:t> because such leave is not unpaid. Rather, when disability or workers’ compensation benefits are being received,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(where state law permits) that accrued paid time off will be used to supplement such benefits.  Likewise now, when an employee is concurrently on a state and municipal paid FML, the leave is also not technically unpaid.  Thus,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xml:space="preserve"> (where state law permits) that accrued paid time off will be used to supplement such benefits.  </w:t>
      </w:r>
    </w:p>
    <w:p w14:paraId="3046B43F"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237D9D32"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Managers &amp; Tip-pool Tops for Nonsupervisory Time</w:t>
      </w:r>
    </w:p>
    <w:p w14:paraId="25044582"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On Jan. 14, 2025, the U.S. Department of Labor’s (DOL) Wage and Hour Division (WHD) issued opinion letter </w:t>
      </w:r>
      <w:hyperlink r:id="rId311" w:history="1">
        <w:r w:rsidRPr="00DD7BD1">
          <w:rPr>
            <w:rStyle w:val="Hyperlink"/>
            <w:rFonts w:ascii="Calibri" w:hAnsi="Calibri" w:cs="Calibri"/>
            <w:b w:val="0"/>
            <w:bCs w:val="0"/>
            <w:sz w:val="22"/>
            <w:szCs w:val="22"/>
          </w:rPr>
          <w:t>FLSA2025-1</w:t>
        </w:r>
      </w:hyperlink>
      <w:r w:rsidRPr="00DD7BD1">
        <w:rPr>
          <w:rFonts w:ascii="Calibri" w:hAnsi="Calibri" w:cs="Calibri"/>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DD7BD1" w:rsidRDefault="00BD445F" w:rsidP="00BD445F">
      <w:pPr>
        <w:pStyle w:val="Heading1"/>
        <w:shd w:val="clear" w:color="auto" w:fill="FFFFFF"/>
        <w:spacing w:after="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0"/>
          <w:szCs w:val="20"/>
        </w:rPr>
      </w:pPr>
    </w:p>
    <w:p w14:paraId="53FA272B"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Newly Passed Legislation Modifies ACA Reporting Requirements</w:t>
      </w:r>
    </w:p>
    <w:p w14:paraId="3EBD7423"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16"/>
          <w:szCs w:val="16"/>
        </w:rPr>
      </w:pPr>
    </w:p>
    <w:p w14:paraId="4E8EDAE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Individual Statements Only Required Upon Request</w:t>
      </w:r>
    </w:p>
    <w:p w14:paraId="5971059E"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4B932E2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w:t>
      </w:r>
      <w:bookmarkStart w:id="29" w:name="_Hlk185848233"/>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"https://www.congress.gov/bill/118th-congress/house-bill/3797"</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Paperwork Burden Reduction Act</w:t>
      </w:r>
      <w:r w:rsidRPr="00DD7BD1">
        <w:rPr>
          <w:rFonts w:ascii="Calibri" w:hAnsi="Calibri" w:cs="Calibri"/>
          <w:b w:val="0"/>
          <w:bCs w:val="0"/>
          <w:color w:val="000000" w:themeColor="text1"/>
          <w:kern w:val="0"/>
          <w:sz w:val="22"/>
          <w:szCs w:val="22"/>
        </w:rPr>
        <w:fldChar w:fldCharType="end"/>
      </w:r>
      <w:r w:rsidRPr="00DD7BD1">
        <w:rPr>
          <w:rFonts w:ascii="Calibri" w:hAnsi="Calibri" w:cs="Calibri"/>
          <w:b w:val="0"/>
          <w:bCs w:val="0"/>
          <w:color w:val="000000" w:themeColor="text1"/>
          <w:kern w:val="0"/>
          <w:sz w:val="22"/>
          <w:szCs w:val="22"/>
        </w:rPr>
        <w:t xml:space="preserve"> </w:t>
      </w:r>
      <w:bookmarkEnd w:id="29"/>
      <w:r w:rsidRPr="00DD7BD1">
        <w:rPr>
          <w:rFonts w:ascii="Calibri" w:hAnsi="Calibri" w:cs="Calibri"/>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Electronic Consent for Individual Statements</w:t>
      </w:r>
    </w:p>
    <w:p w14:paraId="44EC00E7" w14:textId="5AB71204"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IRS currently allows reporting entities to offer Forms 1095-B and 1095-C to individuals electronically. The </w:t>
      </w:r>
      <w:hyperlink r:id="rId312" w:history="1">
        <w:r w:rsidRPr="00DD7BD1">
          <w:rPr>
            <w:rStyle w:val="Hyperlink"/>
            <w:rFonts w:ascii="Calibri" w:hAnsi="Calibri" w:cs="Calibri"/>
            <w:b w:val="0"/>
            <w:bCs w:val="0"/>
            <w:sz w:val="22"/>
            <w:szCs w:val="22"/>
          </w:rPr>
          <w:t>Employer Reporting Improvement Act</w:t>
        </w:r>
      </w:hyperlink>
      <w:r w:rsidRPr="00DD7BD1">
        <w:rPr>
          <w:rFonts w:ascii="Calibri" w:hAnsi="Calibri" w:cs="Calibri"/>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758D85C6" w14:textId="77777777" w:rsidR="00601C66" w:rsidRPr="00DD7BD1" w:rsidRDefault="00601C66" w:rsidP="00BD445F">
      <w:pPr>
        <w:pStyle w:val="Heading1"/>
        <w:shd w:val="clear" w:color="auto" w:fill="FFFFFF"/>
        <w:spacing w:before="0" w:beforeAutospacing="0" w:after="0" w:afterAutospacing="0"/>
        <w:rPr>
          <w:rFonts w:ascii="Calibri" w:hAnsi="Calibri" w:cs="Calibri"/>
          <w:color w:val="000000" w:themeColor="text1"/>
          <w:sz w:val="22"/>
          <w:szCs w:val="22"/>
        </w:rPr>
      </w:pPr>
    </w:p>
    <w:p w14:paraId="2CEB798F" w14:textId="58029150"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Other ACA Provisions</w:t>
      </w:r>
    </w:p>
    <w:p w14:paraId="60A32782"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078F08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 xml:space="preserve">Issued Executive Order: Targeting of </w:t>
      </w:r>
      <w:r w:rsidRPr="00DD7BD1">
        <w:rPr>
          <w:rFonts w:ascii="Calibri" w:hAnsi="Calibri" w:cs="Calibri"/>
          <w:color w:val="000000" w:themeColor="text1"/>
          <w:kern w:val="0"/>
          <w:sz w:val="28"/>
          <w:szCs w:val="28"/>
          <w:u w:val="single"/>
        </w:rPr>
        <w:t>Illegal</w:t>
      </w:r>
      <w:r w:rsidRPr="00DD7BD1">
        <w:rPr>
          <w:rFonts w:ascii="Calibri" w:hAnsi="Calibri" w:cs="Calibri"/>
          <w:color w:val="000000" w:themeColor="text1"/>
          <w:kern w:val="0"/>
          <w:sz w:val="28"/>
          <w:szCs w:val="28"/>
        </w:rPr>
        <w:t xml:space="preserve"> DEI Efforts – Federal Contractors – </w:t>
      </w:r>
      <w:r w:rsidRPr="00DD7BD1">
        <w:rPr>
          <w:rFonts w:ascii="Calibri" w:hAnsi="Calibri" w:cs="Calibri"/>
          <w:color w:val="C00000"/>
          <w:kern w:val="0"/>
          <w:sz w:val="28"/>
          <w:szCs w:val="28"/>
        </w:rPr>
        <w:t>April 21, 2025</w:t>
      </w:r>
    </w:p>
    <w:p w14:paraId="2AB0420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Overview</w:t>
      </w:r>
    </w:p>
    <w:p w14:paraId="6D3FC479" w14:textId="3C31B9F0" w:rsidR="00BD445F" w:rsidRPr="00DD7BD1" w:rsidRDefault="00BD445F" w:rsidP="00BD445F">
      <w:pPr>
        <w:pStyle w:val="Heading1"/>
        <w:shd w:val="clear" w:color="auto" w:fill="FFFFFF"/>
        <w:spacing w:before="0" w:beforeAutospacing="0" w:after="0" w:afterAutospacing="0"/>
        <w:rPr>
          <w:rFonts w:ascii="Calibri" w:hAnsi="Calibri" w:cs="Calibri"/>
          <w:b w:val="0"/>
          <w:bCs w:val="0"/>
        </w:rPr>
      </w:pPr>
      <w:r w:rsidRPr="00DD7BD1">
        <w:rPr>
          <w:rFonts w:ascii="Calibri" w:hAnsi="Calibri" w:cs="Calibri"/>
          <w:b w:val="0"/>
          <w:bCs w:val="0"/>
          <w:color w:val="000000" w:themeColor="text1"/>
          <w:sz w:val="22"/>
          <w:szCs w:val="22"/>
        </w:rPr>
        <w:t xml:space="preserve">President Trump’s EO revising EO 11246 does not alter existing federal EEO anti-discrimination laws and employer compliance obligations, it signals the new administration’s focus on </w:t>
      </w:r>
      <w:r w:rsidRPr="00DD7BD1">
        <w:rPr>
          <w:rFonts w:ascii="Calibri" w:hAnsi="Calibri" w:cs="Calibri"/>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2753815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Equal Employment Opportunity (EEO) refers to fair and equal treatment for designated protected classes as defined by law. EEO means that the employer gives equal consideration for a job and terms and conditions of employment to all individuals prohibiting employers from discriminating based on race, color, religion, age, marital status, national origin, disability or sex (including sexual orientation, and gender identity or expression).</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Nothing has changed relative to the EEO federal regulations being applicable to all employers – federal and private, alike.</w:t>
      </w:r>
    </w:p>
    <w:p w14:paraId="49958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07E3B03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January 21, 2025, President Trump signed an executive order (EO) titled </w:t>
      </w:r>
      <w:hyperlink r:id="rId313" w:tgtFrame="_blank" w:history="1">
        <w:r w:rsidRPr="00DD7BD1">
          <w:rPr>
            <w:rStyle w:val="Hyperlink"/>
            <w:rFonts w:ascii="Calibri" w:hAnsi="Calibri" w:cs="Calibri"/>
            <w:b w:val="0"/>
            <w:bCs w:val="0"/>
            <w:sz w:val="22"/>
            <w:szCs w:val="22"/>
          </w:rPr>
          <w:t>Ending Illegal Discrimination and Restoring Merit-Based Opportunity</w:t>
        </w:r>
      </w:hyperlink>
      <w:r w:rsidRPr="00DD7BD1">
        <w:rPr>
          <w:rFonts w:ascii="Calibri" w:hAnsi="Calibri" w:cs="Calibri"/>
          <w:b w:val="0"/>
          <w:bCs w:val="0"/>
          <w:color w:val="000000" w:themeColor="text1"/>
          <w:sz w:val="22"/>
          <w:szCs w:val="22"/>
        </w:rPr>
        <w:t xml:space="preserve">. In addition to eliminating affirmative action for federal contractors, the EO states the Trump administration’s view that certain DEI programs and policies </w:t>
      </w:r>
      <w:r w:rsidRPr="00DD7BD1">
        <w:rPr>
          <w:rFonts w:ascii="Calibri" w:hAnsi="Calibri" w:cs="Calibri"/>
          <w:color w:val="000000" w:themeColor="text1"/>
          <w:sz w:val="22"/>
          <w:szCs w:val="22"/>
        </w:rPr>
        <w:t>may</w:t>
      </w:r>
      <w:r w:rsidRPr="00DD7BD1">
        <w:rPr>
          <w:rFonts w:ascii="Calibri" w:hAnsi="Calibri" w:cs="Calibri"/>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10E58FA"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EO encourages employers to focus on “individual merit, aptitude, hard work, and determination” when selecting people for jobs. The EO does </w:t>
      </w:r>
      <w:r w:rsidRPr="00DD7BD1">
        <w:rPr>
          <w:rFonts w:ascii="Calibri" w:hAnsi="Calibri" w:cs="Calibri"/>
          <w:color w:val="000000" w:themeColor="text1"/>
          <w:sz w:val="22"/>
          <w:szCs w:val="22"/>
        </w:rPr>
        <w:t xml:space="preserve">not </w:t>
      </w:r>
      <w:r w:rsidRPr="00DD7BD1">
        <w:rPr>
          <w:rFonts w:ascii="Calibri" w:hAnsi="Calibri" w:cs="Calibri"/>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90C5B9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Notably, the </w:t>
      </w:r>
      <w:r w:rsidRPr="00DD7BD1">
        <w:rPr>
          <w:rFonts w:ascii="Calibri" w:hAnsi="Calibri" w:cs="Calibri"/>
          <w:color w:val="000000" w:themeColor="text1"/>
          <w:sz w:val="22"/>
          <w:szCs w:val="22"/>
        </w:rPr>
        <w:t>EO allows federal contractors to</w:t>
      </w:r>
      <w:r w:rsidRPr="00DD7BD1">
        <w:rPr>
          <w:rFonts w:ascii="Calibri" w:hAnsi="Calibri" w:cs="Calibri"/>
          <w:i/>
          <w:iCs/>
          <w:color w:val="000000" w:themeColor="text1"/>
          <w:sz w:val="22"/>
          <w:szCs w:val="22"/>
        </w:rPr>
        <w:t> </w:t>
      </w:r>
      <w:r w:rsidRPr="00DD7BD1">
        <w:rPr>
          <w:rFonts w:ascii="Calibri" w:hAnsi="Calibri" w:cs="Calibri"/>
          <w:color w:val="000000" w:themeColor="text1"/>
          <w:sz w:val="22"/>
          <w:szCs w:val="22"/>
        </w:rPr>
        <w:t>maintain DEI programs</w:t>
      </w:r>
      <w:r w:rsidRPr="00DD7BD1">
        <w:rPr>
          <w:rFonts w:ascii="Calibri" w:hAnsi="Calibri" w:cs="Calibri"/>
          <w:b w:val="0"/>
          <w:bCs w:val="0"/>
          <w:color w:val="000000" w:themeColor="text1"/>
          <w:sz w:val="22"/>
          <w:szCs w:val="22"/>
        </w:rPr>
        <w:t xml:space="preserve"> so long as they do not run afoul of federal (EEO) law. The EO also revokes a number of EOs which imposed affirmative action obligations on federal contractors and subcontractors in its attempt to return to merit-based employment actions that are legal and compliant with federal anti-discriminatory regulations. The elimination of such affirmative action programs should be in place by April 21, 2025.</w:t>
      </w:r>
    </w:p>
    <w:p w14:paraId="7A2335CD"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6635328F" w14:textId="6EA1471B" w:rsidR="00BD445F" w:rsidRPr="00DD7BD1" w:rsidRDefault="00BD445F" w:rsidP="00BD445F">
      <w:pPr>
        <w:pStyle w:val="Heading1"/>
        <w:spacing w:before="0" w:beforeAutospacing="0" w:after="0" w:afterAutospacing="0"/>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 xml:space="preserve">To Recap Has Federal Law Changed for Private-Sector Employers? </w:t>
      </w:r>
      <w:r w:rsidRPr="00DD7BD1">
        <w:rPr>
          <w:rFonts w:ascii="Calibri" w:hAnsi="Calibri" w:cs="Calibri"/>
          <w:b w:val="0"/>
          <w:bCs w:val="0"/>
          <w:color w:val="000000" w:themeColor="text1"/>
          <w:sz w:val="22"/>
          <w:szCs w:val="22"/>
          <w:u w:val="single"/>
        </w:rPr>
        <w:t>No, federal antidiscrimination laws remain unchanged. </w:t>
      </w:r>
    </w:p>
    <w:p w14:paraId="21E17DB4"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highlight w:val="darkGray"/>
        </w:rPr>
        <w:t>Employer Takeaways</w:t>
      </w:r>
      <w:r w:rsidRPr="00DD7BD1">
        <w:rPr>
          <w:rFonts w:ascii="Calibri" w:hAnsi="Calibri" w:cs="Calibri"/>
          <w:color w:val="000000" w:themeColor="text1"/>
          <w:sz w:val="22"/>
          <w:szCs w:val="22"/>
        </w:rPr>
        <w:t xml:space="preserve"> </w:t>
      </w:r>
      <w:r w:rsidRPr="00DD7BD1">
        <w:rPr>
          <w:rFonts w:ascii="Calibri" w:hAnsi="Calibri" w:cs="Calibri"/>
          <w:b w:val="0"/>
          <w:bCs w:val="0"/>
          <w:color w:val="000000" w:themeColor="text1"/>
          <w:sz w:val="22"/>
          <w:szCs w:val="22"/>
        </w:rPr>
        <w:t xml:space="preserve">Employers should review existing DEI practices to ensure that such practices do not discriminate on the basis of a federally protected class as well comply with any applicable, state regulatory requirements. Further, employers who </w:t>
      </w:r>
      <w:r w:rsidRPr="00DD7BD1">
        <w:rPr>
          <w:rFonts w:ascii="Calibri" w:hAnsi="Calibri" w:cs="Calibri"/>
          <w:color w:val="000000" w:themeColor="text1"/>
          <w:sz w:val="22"/>
          <w:szCs w:val="22"/>
        </w:rPr>
        <w:t>are</w:t>
      </w:r>
      <w:r w:rsidRPr="00DD7BD1">
        <w:rPr>
          <w:rFonts w:ascii="Calibri" w:hAnsi="Calibri" w:cs="Calibri"/>
          <w:b w:val="0"/>
          <w:bCs w:val="0"/>
          <w:color w:val="000000" w:themeColor="text1"/>
          <w:sz w:val="22"/>
          <w:szCs w:val="22"/>
        </w:rPr>
        <w:t xml:space="preserve"> federal contractors or subcontractors should review their DEI policies and programs as well as ensure that they eliminate noncompliant affirmative action programs by April 21, 2025. Employers committed to a fair, merit-based nondiscriminatory practices adhering to compliance with EEOC antidiscrimination regulations need not change their policies, practices or initiatives.</w:t>
      </w:r>
    </w:p>
    <w:p w14:paraId="62A02F7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u w:val="single"/>
        </w:rPr>
      </w:pPr>
    </w:p>
    <w:p w14:paraId="364ACB1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Article: Best Practices for Employers in Managing USCIS Administrative Onsite Inspections, ICE Raids, and Form I-9 Audits</w:t>
      </w:r>
    </w:p>
    <w:p w14:paraId="6E5E14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hyperlink r:id="rId314" w:anchor="page=1" w:history="1">
        <w:r w:rsidRPr="00DD7BD1">
          <w:rPr>
            <w:rStyle w:val="Hyperlink"/>
            <w:rFonts w:ascii="Calibri" w:hAnsi="Calibri" w:cs="Calibri"/>
            <w:b w:val="0"/>
            <w:bCs w:val="0"/>
            <w:sz w:val="22"/>
            <w:szCs w:val="22"/>
          </w:rPr>
          <w:t>Akerman, LLP’s January 23, 2025, publication</w:t>
        </w:r>
      </w:hyperlink>
      <w:r w:rsidRPr="00DD7BD1">
        <w:rPr>
          <w:rFonts w:ascii="Calibri" w:hAnsi="Calibri" w:cs="Calibri"/>
          <w:b w:val="0"/>
          <w:bCs w:val="0"/>
          <w:color w:val="000000" w:themeColor="text1"/>
          <w:sz w:val="22"/>
          <w:szCs w:val="22"/>
        </w:rPr>
        <w:t xml:space="preserve"> walks employers through what to expect:</w:t>
      </w:r>
    </w:p>
    <w:p w14:paraId="2A503E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H1B Onsite Inspection</w:t>
      </w:r>
    </w:p>
    <w:p w14:paraId="637233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ICE Raid &amp; Steps Employers Should Follow</w:t>
      </w:r>
    </w:p>
    <w:p w14:paraId="2F265D46"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 Form I-9 Audit</w:t>
      </w:r>
    </w:p>
    <w:p w14:paraId="6DD51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1CB682A4"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Supreme Court: Clarifies Evidence Standard for FLSA Overtime Exemption Disputes</w:t>
      </w:r>
    </w:p>
    <w:p w14:paraId="13ECA4BB" w14:textId="6EFCADB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DD7BD1">
        <w:rPr>
          <w:rFonts w:ascii="Calibri" w:hAnsi="Calibri" w:cs="Calibri"/>
          <w:b w:val="0"/>
          <w:bCs w:val="0"/>
          <w:i/>
          <w:iCs/>
          <w:color w:val="000000" w:themeColor="text1"/>
          <w:kern w:val="0"/>
          <w:sz w:val="22"/>
          <w:szCs w:val="22"/>
        </w:rPr>
        <w:t>EMD Sales Inc. v. Carrera</w:t>
      </w:r>
      <w:r w:rsidRPr="00DD7BD1">
        <w:rPr>
          <w:rFonts w:ascii="Calibri" w:hAnsi="Calibri" w:cs="Calibri"/>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DD7BD1">
        <w:rPr>
          <w:rFonts w:ascii="Calibri" w:hAnsi="Calibri" w:cs="Calibri"/>
          <w:b w:val="0"/>
          <w:bCs w:val="0"/>
          <w:color w:val="000000" w:themeColor="text1"/>
          <w:kern w:val="0"/>
          <w:sz w:val="22"/>
          <w:szCs w:val="22"/>
          <w:u w:val="single"/>
        </w:rPr>
        <w:t>employers instead need only meet the “preponderance of the evidence” standard traditionally applicable in civil litigation</w:t>
      </w:r>
      <w:r w:rsidRPr="00DD7BD1">
        <w:rPr>
          <w:rFonts w:ascii="Calibri" w:hAnsi="Calibri" w:cs="Calibri"/>
          <w:b w:val="0"/>
          <w:bCs w:val="0"/>
          <w:color w:val="000000" w:themeColor="text1"/>
          <w:kern w:val="0"/>
          <w:sz w:val="22"/>
          <w:szCs w:val="22"/>
        </w:rPr>
        <w:t>.</w:t>
      </w:r>
    </w:p>
    <w:p w14:paraId="78784936"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kern w:val="0"/>
          <w:sz w:val="22"/>
          <w:szCs w:val="22"/>
        </w:rPr>
      </w:pPr>
      <w:r w:rsidRPr="00DD7BD1">
        <w:rPr>
          <w:rFonts w:ascii="Calibri" w:hAnsi="Calibri" w:cs="Calibri"/>
          <w:color w:val="000000" w:themeColor="text1"/>
          <w:kern w:val="0"/>
          <w:sz w:val="22"/>
          <w:szCs w:val="22"/>
          <w:highlight w:val="darkGray"/>
        </w:rPr>
        <w:t>Employer Takeaways:</w:t>
      </w:r>
    </w:p>
    <w:p w14:paraId="399D8E0F"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Evidentiary Standard</w:t>
      </w:r>
      <w:r w:rsidRPr="00DD7BD1">
        <w:rPr>
          <w:rFonts w:ascii="Calibri" w:hAnsi="Calibri" w:cs="Calibri"/>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Outside Sales Exemption</w:t>
      </w:r>
      <w:r w:rsidRPr="00DD7BD1">
        <w:rPr>
          <w:rFonts w:ascii="Calibri" w:hAnsi="Calibri" w:cs="Calibri"/>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Continued Vigilance</w:t>
      </w:r>
      <w:r w:rsidRPr="00DD7BD1">
        <w:rPr>
          <w:rFonts w:ascii="Calibri" w:hAnsi="Calibri" w:cs="Calibri"/>
          <w:b w:val="0"/>
          <w:bCs w:val="0"/>
          <w:color w:val="000000" w:themeColor="text1"/>
          <w:sz w:val="22"/>
          <w:szCs w:val="22"/>
        </w:rPr>
        <w:t>: While this decision simplifies the evidentiary standard in overtime exemption cases, employers must continue to ensure proper classification of employees under the FLSA. Even under the preponderance standard, the burden of proof is still on </w:t>
      </w:r>
      <w:r w:rsidRPr="00DD7BD1">
        <w:rPr>
          <w:rFonts w:ascii="Calibri" w:hAnsi="Calibri" w:cs="Calibri"/>
          <w:b w:val="0"/>
          <w:bCs w:val="0"/>
          <w:i/>
          <w:iCs/>
          <w:color w:val="000000" w:themeColor="text1"/>
          <w:sz w:val="22"/>
          <w:szCs w:val="22"/>
        </w:rPr>
        <w:t>employers</w:t>
      </w:r>
      <w:r w:rsidRPr="00DD7BD1">
        <w:rPr>
          <w:rFonts w:ascii="Calibri" w:hAnsi="Calibri" w:cs="Calibri"/>
          <w:b w:val="0"/>
          <w:bCs w:val="0"/>
          <w:color w:val="000000" w:themeColor="text1"/>
          <w:sz w:val="22"/>
          <w:szCs w:val="22"/>
        </w:rPr>
        <w:t> to establish their employees properly qualify for an exemption from the FLSA’s minimum wage and overtime requirements. Misclassification can still place employers at risk of significant employer liabilities.</w:t>
      </w:r>
    </w:p>
    <w:p w14:paraId="75007671" w14:textId="77777777"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p>
    <w:p w14:paraId="2B419685" w14:textId="77777777" w:rsidR="00B939E8" w:rsidRPr="00DD7BD1" w:rsidRDefault="00B939E8" w:rsidP="00B939E8">
      <w:pPr>
        <w:pStyle w:val="Heading1"/>
        <w:spacing w:before="0" w:beforeAutospacing="0" w:after="0" w:afterAutospacing="0"/>
        <w:jc w:val="center"/>
        <w:rPr>
          <w:rFonts w:ascii="Calibri" w:hAnsi="Calibri" w:cs="Calibri"/>
          <w:b w:val="0"/>
          <w:bCs w:val="0"/>
          <w:sz w:val="22"/>
          <w:szCs w:val="22"/>
        </w:rPr>
      </w:pPr>
      <w:r w:rsidRPr="00DD7BD1">
        <w:rPr>
          <w:rFonts w:ascii="Calibri" w:eastAsiaTheme="minorHAnsi" w:hAnsi="Calibri" w:cs="Calibri"/>
          <w:kern w:val="0"/>
          <w:sz w:val="28"/>
          <w:szCs w:val="28"/>
          <w:shd w:val="clear" w:color="auto" w:fill="FFFFFF"/>
          <w:lang w:val="en"/>
        </w:rPr>
        <w:t>Form I-9: EAD AUTOMATIC EXTENSION PERIOD LENGTHENED</w:t>
      </w:r>
      <w:r w:rsidRPr="00DD7BD1">
        <w:rPr>
          <w:rFonts w:ascii="Calibri" w:hAnsi="Calibri" w:cs="Calibri"/>
          <w:sz w:val="22"/>
          <w:szCs w:val="22"/>
        </w:rPr>
        <w:br/>
      </w:r>
      <w:r w:rsidRPr="00DD7BD1">
        <w:rPr>
          <w:rFonts w:ascii="Calibri" w:hAnsi="Calibri" w:cs="Calibri"/>
          <w:b w:val="0"/>
          <w:bCs w:val="0"/>
          <w:sz w:val="22"/>
          <w:szCs w:val="22"/>
        </w:rPr>
        <w:t>Since 2022, the Department of Homeland Security has had </w:t>
      </w:r>
      <w:r w:rsidRPr="00DD7BD1">
        <w:rPr>
          <w:rFonts w:ascii="Calibri" w:hAnsi="Calibri" w:cs="Calibri"/>
          <w:b w:val="0"/>
          <w:bCs w:val="0"/>
          <w:i/>
          <w:iCs/>
          <w:sz w:val="22"/>
          <w:szCs w:val="22"/>
        </w:rPr>
        <w:t>temporary</w:t>
      </w:r>
      <w:r w:rsidRPr="00DD7BD1">
        <w:rPr>
          <w:rFonts w:ascii="Calibri" w:hAnsi="Calibri" w:cs="Calibri"/>
          <w:b w:val="0"/>
          <w:bCs w:val="0"/>
          <w:sz w:val="22"/>
          <w:szCs w:val="22"/>
        </w:rPr>
        <w:t> rules in place that extended the automatic extension period for employment authorization and Employment Authorization Documents (EADs) from 180 days to 540 days (due to processing backlogs). A permanent </w:t>
      </w:r>
      <w:hyperlink r:id="rId315" w:tgtFrame="_blank" w:history="1">
        <w:r w:rsidRPr="00DD7BD1">
          <w:rPr>
            <w:rStyle w:val="Hyperlink"/>
            <w:rFonts w:ascii="Calibri" w:hAnsi="Calibri" w:cs="Calibri"/>
            <w:b w:val="0"/>
            <w:bCs w:val="0"/>
            <w:sz w:val="22"/>
            <w:szCs w:val="22"/>
          </w:rPr>
          <w:t>final rule</w:t>
        </w:r>
      </w:hyperlink>
      <w:r w:rsidRPr="00DD7BD1">
        <w:rPr>
          <w:rFonts w:ascii="Calibri" w:hAnsi="Calibri" w:cs="Calibri"/>
          <w:b w:val="0"/>
          <w:bCs w:val="0"/>
          <w:sz w:val="22"/>
          <w:szCs w:val="22"/>
        </w:rPr>
        <w:t xml:space="preserve"> making this 540-day extension standard will take effect </w:t>
      </w:r>
      <w:r w:rsidRPr="00DD7BD1">
        <w:rPr>
          <w:rFonts w:ascii="Calibri" w:hAnsi="Calibri" w:cs="Calibri"/>
          <w:b w:val="0"/>
          <w:bCs w:val="0"/>
          <w:color w:val="C00000"/>
          <w:sz w:val="22"/>
          <w:szCs w:val="22"/>
        </w:rPr>
        <w:t>January 13, 2025</w:t>
      </w:r>
      <w:r w:rsidRPr="00DD7BD1">
        <w:rPr>
          <w:rFonts w:ascii="Calibri" w:hAnsi="Calibri" w:cs="Calibri"/>
          <w:b w:val="0"/>
          <w:bCs w:val="0"/>
          <w:sz w:val="22"/>
          <w:szCs w:val="22"/>
        </w:rPr>
        <w:t>. The final rule will apply to certain renewal EAD applications pending or filed on or after May 4, 2022. You can learn more about EAD extensions </w:t>
      </w:r>
      <w:hyperlink r:id="rId316"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sz w:val="22"/>
          <w:szCs w:val="22"/>
        </w:rPr>
        <w:t>.</w:t>
      </w:r>
    </w:p>
    <w:p w14:paraId="4F525683" w14:textId="77777777" w:rsidR="00B939E8" w:rsidRPr="00DD7BD1" w:rsidRDefault="00B939E8" w:rsidP="00B939E8">
      <w:pPr>
        <w:pStyle w:val="Heading1"/>
        <w:spacing w:before="0" w:beforeAutospacing="0" w:after="0" w:afterAutospacing="0"/>
        <w:jc w:val="center"/>
        <w:rPr>
          <w:rFonts w:ascii="Calibri" w:eastAsiaTheme="minorHAnsi" w:hAnsi="Calibri" w:cs="Calibri"/>
          <w:kern w:val="0"/>
          <w:sz w:val="22"/>
          <w:szCs w:val="22"/>
          <w:shd w:val="clear" w:color="auto" w:fill="FFFFFF"/>
          <w:lang w:val="en"/>
        </w:rPr>
      </w:pPr>
    </w:p>
    <w:p w14:paraId="60F3B1F4" w14:textId="505B0818" w:rsidR="00B939E8" w:rsidRPr="00DD7BD1" w:rsidRDefault="00B939E8" w:rsidP="00B939E8">
      <w:pPr>
        <w:pStyle w:val="Heading1"/>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OSHA Revises PPE Standard for Construction Industry</w:t>
      </w:r>
    </w:p>
    <w:p w14:paraId="7FFEB754" w14:textId="77777777" w:rsidR="00B939E8" w:rsidRPr="00DD7BD1" w:rsidRDefault="00B939E8" w:rsidP="00B939E8">
      <w:pPr>
        <w:pStyle w:val="Heading1"/>
        <w:spacing w:before="0" w:beforeAutospacing="0" w:after="0" w:afterAutospacing="0"/>
        <w:rPr>
          <w:rFonts w:ascii="Calibri" w:eastAsiaTheme="minorHAnsi" w:hAnsi="Calibri" w:cs="Calibri"/>
          <w:b w:val="0"/>
          <w:bCs w:val="0"/>
          <w:kern w:val="0"/>
          <w:sz w:val="22"/>
          <w:szCs w:val="22"/>
          <w:shd w:val="clear" w:color="auto" w:fill="FFFFFF"/>
          <w:lang w:val="en"/>
        </w:rPr>
      </w:pPr>
      <w:r w:rsidRPr="00DD7BD1">
        <w:rPr>
          <w:rFonts w:ascii="Calibri" w:eastAsiaTheme="minorHAnsi" w:hAnsi="Calibri" w:cs="Calibri"/>
          <w:b w:val="0"/>
          <w:bCs w:val="0"/>
          <w:kern w:val="0"/>
          <w:sz w:val="22"/>
          <w:szCs w:val="22"/>
          <w:shd w:val="clear" w:color="auto" w:fill="FFFFFF"/>
          <w:lang w:val="en"/>
        </w:rPr>
        <w:t>See attached Legal Update.</w:t>
      </w:r>
    </w:p>
    <w:p w14:paraId="212533D1" w14:textId="77777777" w:rsidR="00B939E8" w:rsidRPr="00DD7BD1" w:rsidRDefault="00B939E8" w:rsidP="00B939E8">
      <w:pPr>
        <w:pStyle w:val="Body0"/>
        <w:spacing w:after="0" w:line="240" w:lineRule="auto"/>
        <w:jc w:val="center"/>
        <w:rPr>
          <w:rFonts w:eastAsiaTheme="minorHAnsi" w:cs="Calibri"/>
          <w:b/>
          <w:bCs/>
          <w:szCs w:val="22"/>
          <w:shd w:val="clear" w:color="auto" w:fill="FFFFFF"/>
          <w:lang w:val="en"/>
        </w:rPr>
      </w:pPr>
    </w:p>
    <w:p w14:paraId="26D25F72" w14:textId="2DCCB414"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r w:rsidRPr="00DD7BD1">
        <w:rPr>
          <w:rFonts w:eastAsiaTheme="minorHAnsi" w:cs="Calibri"/>
          <w:b/>
          <w:bCs/>
          <w:sz w:val="28"/>
          <w:szCs w:val="28"/>
          <w:shd w:val="clear" w:color="auto" w:fill="FFFFFF"/>
          <w:lang w:val="en"/>
        </w:rPr>
        <w:t>IRS MILEAGE REIMBURSEMENT RATE</w:t>
      </w:r>
      <w:r w:rsidRPr="00DD7BD1">
        <w:rPr>
          <w:rFonts w:eastAsiaTheme="minorHAnsi" w:cs="Calibri"/>
          <w:sz w:val="28"/>
          <w:szCs w:val="28"/>
          <w:shd w:val="clear" w:color="auto" w:fill="FFFFFF"/>
          <w:lang w:val="en"/>
        </w:rPr>
        <w:br/>
      </w:r>
      <w:r w:rsidRPr="00DD7BD1">
        <w:rPr>
          <w:rFonts w:cs="Calibri"/>
        </w:rPr>
        <w:t>The IRS standard mileage rate will be 70 cents per mile driven for business purposes (up from 67 cents in 2024). This rate also applies to electric and hybrid vehicles. 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DD7BD1" w:rsidRDefault="00B939E8" w:rsidP="00B939E8">
      <w:pPr>
        <w:pStyle w:val="Heading1"/>
        <w:shd w:val="clear" w:color="auto" w:fill="FFFFFF"/>
        <w:spacing w:before="0" w:beforeAutospacing="0" w:after="0" w:afterAutospacing="0"/>
        <w:rPr>
          <w:rFonts w:ascii="Calibri" w:hAnsi="Calibri" w:cs="Calibri"/>
          <w:color w:val="C00000"/>
          <w:sz w:val="22"/>
          <w:szCs w:val="22"/>
        </w:rPr>
      </w:pPr>
    </w:p>
    <w:p w14:paraId="55704EA5" w14:textId="0AFB7E99"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FYI: DOL Announces Dual Jobs Final Rule (Tip Crediting)</w:t>
      </w:r>
    </w:p>
    <w:p w14:paraId="5085F53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Dec. 16, 2024, the U.S. Department of Labor (DOL) announced a </w:t>
      </w:r>
      <w:hyperlink r:id="rId317" w:history="1">
        <w:r w:rsidRPr="00DD7BD1">
          <w:rPr>
            <w:rStyle w:val="Hyperlink"/>
            <w:rFonts w:ascii="Calibri" w:hAnsi="Calibri" w:cs="Calibri"/>
            <w:b w:val="0"/>
            <w:bCs w:val="0"/>
            <w:sz w:val="22"/>
            <w:szCs w:val="22"/>
          </w:rPr>
          <w:t>final rule</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318" w:history="1">
        <w:r w:rsidRPr="00DD7BD1">
          <w:rPr>
            <w:rStyle w:val="Hyperlink"/>
            <w:rFonts w:ascii="Calibri" w:hAnsi="Calibri" w:cs="Calibri"/>
            <w:b w:val="0"/>
            <w:bCs w:val="0"/>
            <w:sz w:val="22"/>
            <w:szCs w:val="22"/>
          </w:rPr>
          <w:t>vacated</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the DOL’s 2021 Dual Jobs Rule. The final rule is scheduled to be published in the Federal Register on Dec. 17, 2024. </w:t>
      </w:r>
    </w:p>
    <w:p w14:paraId="3E1E3B8B"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28DF0C2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11D85A70"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Key Highlights</w:t>
      </w:r>
    </w:p>
    <w:p w14:paraId="34123FD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technical correction was issued in response to a Fifth Circuit decision invalidating these provisions.</w:t>
      </w:r>
    </w:p>
    <w:p w14:paraId="106F6C0D"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review their tip credit compliance, including compliance with state law requirements.</w:t>
      </w:r>
    </w:p>
    <w:p w14:paraId="1D90E247"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Background</w:t>
      </w:r>
    </w:p>
    <w:p w14:paraId="5A457012"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720ECECC"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Oct. 29, 2021, the DOL </w:t>
      </w:r>
      <w:hyperlink r:id="rId319" w:history="1">
        <w:r w:rsidRPr="00DD7BD1">
          <w:rPr>
            <w:rStyle w:val="Hyperlink"/>
            <w:rFonts w:ascii="Calibri" w:hAnsi="Calibri" w:cs="Calibri"/>
            <w:b w:val="0"/>
            <w:bCs w:val="0"/>
            <w:sz w:val="22"/>
            <w:szCs w:val="22"/>
          </w:rPr>
          <w:t>issued</w:t>
        </w:r>
      </w:hyperlink>
      <w:r w:rsidRPr="00DD7BD1">
        <w:rPr>
          <w:rFonts w:ascii="Calibri" w:hAnsi="Calibri" w:cs="Calibri"/>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1CAB1521"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622F2362" w14:textId="0F8B6E64" w:rsidR="00434AFC" w:rsidRPr="00DD7BD1" w:rsidRDefault="00B939E8" w:rsidP="00B939E8">
      <w:pPr>
        <w:pStyle w:val="Heading1"/>
        <w:shd w:val="clear" w:color="auto" w:fill="FFFFFF"/>
        <w:spacing w:before="0" w:beforeAutospacing="0" w:after="0" w:afterAutospacing="0"/>
        <w:rPr>
          <w:rFonts w:ascii="Calibri" w:hAnsi="Calibri" w:cs="Calibri"/>
          <w:b w:val="0"/>
          <w:bCs w:val="0"/>
          <w:color w:val="C00000"/>
          <w:sz w:val="22"/>
          <w:szCs w:val="22"/>
        </w:rPr>
      </w:pPr>
      <w:r w:rsidRPr="00DD7BD1">
        <w:rPr>
          <w:rFonts w:ascii="Calibri" w:hAnsi="Calibri" w:cs="Calibri"/>
          <w:sz w:val="22"/>
          <w:szCs w:val="22"/>
        </w:rPr>
        <w:t>More Information</w:t>
      </w:r>
      <w:r w:rsidRPr="00DD7BD1">
        <w:rPr>
          <w:rFonts w:ascii="Calibri" w:hAnsi="Calibri" w:cs="Calibri"/>
          <w:b w:val="0"/>
          <w:bCs w:val="0"/>
          <w:sz w:val="22"/>
          <w:szCs w:val="22"/>
        </w:rPr>
        <w:t xml:space="preserve">:  Employers can find more information and resources related to the tip regulations and the final rule on the DOL’s </w:t>
      </w:r>
      <w:hyperlink r:id="rId320" w:history="1">
        <w:r w:rsidRPr="00DD7BD1">
          <w:rPr>
            <w:rStyle w:val="Hyperlink"/>
            <w:rFonts w:ascii="Calibri" w:hAnsi="Calibri" w:cs="Calibri"/>
            <w:b w:val="0"/>
            <w:bCs w:val="0"/>
            <w:sz w:val="22"/>
            <w:szCs w:val="22"/>
          </w:rPr>
          <w:t>webpage</w:t>
        </w:r>
      </w:hyperlink>
      <w:r w:rsidRPr="00DD7BD1">
        <w:rPr>
          <w:rFonts w:ascii="Calibri" w:hAnsi="Calibri" w:cs="Calibri"/>
          <w:b w:val="0"/>
          <w:bCs w:val="0"/>
          <w:color w:val="C00000"/>
          <w:sz w:val="22"/>
          <w:szCs w:val="22"/>
        </w:rPr>
        <w:t xml:space="preserve">. </w:t>
      </w:r>
    </w:p>
    <w:p w14:paraId="10B7B0B2" w14:textId="77777777" w:rsidR="00B939E8" w:rsidRPr="00DD7BD1" w:rsidRDefault="00B939E8" w:rsidP="007C5376">
      <w:pPr>
        <w:pStyle w:val="Heading1"/>
        <w:shd w:val="clear" w:color="auto" w:fill="FFFFFF"/>
        <w:spacing w:before="0" w:beforeAutospacing="0" w:after="0" w:afterAutospacing="0" w:line="264" w:lineRule="atLeast"/>
        <w:jc w:val="center"/>
        <w:rPr>
          <w:rFonts w:ascii="Calibri" w:hAnsi="Calibri" w:cs="Calibri"/>
          <w:sz w:val="22"/>
          <w:szCs w:val="22"/>
        </w:rPr>
      </w:pPr>
    </w:p>
    <w:p w14:paraId="2585FEC3" w14:textId="6FA464B0" w:rsidR="007C5376" w:rsidRPr="00DD7BD1" w:rsidRDefault="007C5376" w:rsidP="007C5376">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PCORI Fee Amount Adjusted for 2025 – </w:t>
      </w:r>
      <w:r w:rsidRPr="00DD7BD1">
        <w:rPr>
          <w:rFonts w:ascii="Calibri" w:hAnsi="Calibri" w:cs="Calibri"/>
          <w:color w:val="C00000"/>
          <w:sz w:val="28"/>
          <w:szCs w:val="28"/>
        </w:rPr>
        <w:t>Due July 31, 2025</w:t>
      </w:r>
    </w:p>
    <w:p w14:paraId="208B4C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Internal Revenue Service (IRS) has issued </w:t>
      </w:r>
      <w:hyperlink r:id="rId321" w:anchor="NOT-2024-83" w:history="1">
        <w:r w:rsidRPr="00DD7BD1">
          <w:rPr>
            <w:rStyle w:val="Hyperlink"/>
            <w:rFonts w:ascii="Calibri" w:hAnsi="Calibri" w:cs="Calibri"/>
            <w:b w:val="0"/>
            <w:bCs w:val="0"/>
            <w:sz w:val="22"/>
            <w:szCs w:val="22"/>
          </w:rPr>
          <w:t>Notice 2024-83</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p>
    <w:p w14:paraId="070BBBF9"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For plan years that ended on or after Oct. 1, 2023, and before Oct. 1, 2024, the PCORI fee amount is $3.22 multiplied by the average number of lives covered under the plan.</w:t>
      </w:r>
    </w:p>
    <w:p w14:paraId="0328EAC7" w14:textId="77777777" w:rsidR="000C0E84" w:rsidRPr="00DD7BD1" w:rsidRDefault="000C0E84" w:rsidP="007C5376">
      <w:pPr>
        <w:pStyle w:val="Heading1"/>
        <w:shd w:val="clear" w:color="auto" w:fill="FFFFFF"/>
        <w:spacing w:before="0" w:beforeAutospacing="0" w:after="0" w:afterAutospacing="0"/>
        <w:jc w:val="both"/>
        <w:rPr>
          <w:rFonts w:ascii="Calibri" w:hAnsi="Calibri" w:cs="Calibri"/>
          <w:b w:val="0"/>
          <w:bCs w:val="0"/>
          <w:sz w:val="22"/>
          <w:szCs w:val="22"/>
        </w:rPr>
      </w:pPr>
    </w:p>
    <w:p w14:paraId="0FCC1BC7" w14:textId="77777777" w:rsidR="000C0E84" w:rsidRPr="00DD7BD1" w:rsidRDefault="000C0E84" w:rsidP="007C5376">
      <w:pPr>
        <w:pStyle w:val="Heading1"/>
        <w:shd w:val="clear" w:color="auto" w:fill="FFFFFF"/>
        <w:spacing w:before="0" w:beforeAutospacing="0" w:after="0" w:afterAutospacing="0"/>
        <w:jc w:val="both"/>
        <w:rPr>
          <w:rFonts w:ascii="Calibri" w:hAnsi="Calibri" w:cs="Calibri"/>
          <w:b w:val="0"/>
          <w:bCs w:val="0"/>
          <w:sz w:val="22"/>
          <w:szCs w:val="22"/>
        </w:rPr>
      </w:pPr>
    </w:p>
    <w:p w14:paraId="6836F4B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1F57896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Applicability of PCORI Fee</w:t>
      </w:r>
    </w:p>
    <w:p w14:paraId="7C3EAAE6"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PCORI fee was created by the Affordable Care Act (ACA) and first applied for plan or policy years ending on or after Oct. 1, 2012. The fee is imposed on health insurance issuers and </w:t>
      </w:r>
      <w:r w:rsidRPr="00DD7BD1">
        <w:rPr>
          <w:rFonts w:ascii="Calibri" w:hAnsi="Calibri" w:cs="Calibri"/>
          <w:b w:val="0"/>
          <w:bCs w:val="0"/>
          <w:color w:val="C00000"/>
          <w:sz w:val="22"/>
          <w:szCs w:val="22"/>
          <w:u w:val="single"/>
        </w:rPr>
        <w:t>self-insured plan (which includes self-funded medical plans as well as level-funded medical plans)</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2D62FDAD"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Payment Deadline</w:t>
      </w:r>
    </w:p>
    <w:p w14:paraId="49AAA6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PCORI fees are reported and paid annually on IRS </w:t>
      </w:r>
      <w:hyperlink r:id="rId322" w:history="1">
        <w:r w:rsidRPr="00DD7BD1">
          <w:rPr>
            <w:rStyle w:val="Hyperlink"/>
            <w:rFonts w:ascii="Calibri" w:hAnsi="Calibri" w:cs="Calibri"/>
            <w:b w:val="0"/>
            <w:bCs w:val="0"/>
            <w:sz w:val="22"/>
            <w:szCs w:val="22"/>
          </w:rPr>
          <w:t>Form 720</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u w:val="single"/>
        </w:rPr>
      </w:pPr>
    </w:p>
    <w:p w14:paraId="2362122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Calculating the PCORI Fee</w:t>
      </w:r>
    </w:p>
    <w:p w14:paraId="546799D9" w14:textId="1BDCA131" w:rsidR="007C5376" w:rsidRPr="00DD7BD1" w:rsidRDefault="007C5376" w:rsidP="00B939E8">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PCORI fees are calculated based on the average number of covered lives under the plan or policy. This generally includes employees and their enrolled spouses and dependents, unless the plan is an HRA or FSA</w:t>
      </w:r>
      <w:r w:rsidRPr="00DD7BD1">
        <w:rPr>
          <w:rFonts w:ascii="Calibri" w:hAnsi="Calibri" w:cs="Calibri"/>
          <w:b w:val="0"/>
          <w:bCs w:val="0"/>
          <w:color w:val="C00000"/>
          <w:sz w:val="22"/>
          <w:szCs w:val="22"/>
        </w:rPr>
        <w:t xml:space="preserve">. </w:t>
      </w:r>
      <w:hyperlink r:id="rId323" w:history="1">
        <w:r w:rsidRPr="00DD7BD1">
          <w:rPr>
            <w:rStyle w:val="Hyperlink"/>
            <w:rFonts w:ascii="Calibri" w:hAnsi="Calibri" w:cs="Calibri"/>
            <w:b w:val="0"/>
            <w:bCs w:val="0"/>
            <w:sz w:val="22"/>
            <w:szCs w:val="22"/>
          </w:rPr>
          <w:t>Final rules</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outline a number of alternatives for issuers and plan sponsors to determine the average number of covered lives.</w:t>
      </w:r>
    </w:p>
    <w:p w14:paraId="32288F85" w14:textId="77777777" w:rsidR="00B939E8" w:rsidRPr="00DD7BD1" w:rsidRDefault="00B939E8" w:rsidP="00B939E8">
      <w:pPr>
        <w:pStyle w:val="Heading1"/>
        <w:shd w:val="clear" w:color="auto" w:fill="FFFFFF"/>
        <w:spacing w:before="0" w:beforeAutospacing="0" w:after="0" w:afterAutospacing="0"/>
        <w:jc w:val="both"/>
        <w:rPr>
          <w:rFonts w:ascii="Calibri" w:hAnsi="Calibri" w:cs="Calibri"/>
          <w:b w:val="0"/>
          <w:bCs w:val="0"/>
          <w:sz w:val="22"/>
          <w:szCs w:val="22"/>
        </w:rPr>
      </w:pPr>
    </w:p>
    <w:p w14:paraId="4AB06466" w14:textId="454E1578" w:rsidR="00B939E8" w:rsidRPr="00DD7BD1" w:rsidRDefault="00B939E8" w:rsidP="00B939E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Resource: State Overtime Salary Minim</w:t>
      </w:r>
      <w:r w:rsidR="00DA581D" w:rsidRPr="00DD7BD1">
        <w:rPr>
          <w:rFonts w:ascii="Calibri" w:hAnsi="Calibri" w:cs="Calibri"/>
          <w:sz w:val="28"/>
          <w:szCs w:val="28"/>
        </w:rPr>
        <w:t>um</w:t>
      </w:r>
      <w:r w:rsidRPr="00DD7BD1">
        <w:rPr>
          <w:rFonts w:ascii="Calibri" w:hAnsi="Calibri" w:cs="Calibri"/>
          <w:sz w:val="28"/>
          <w:szCs w:val="28"/>
        </w:rPr>
        <w:t xml:space="preserve"> Threshold</w:t>
      </w:r>
    </w:p>
    <w:p w14:paraId="56BDCEB9" w14:textId="353C2B35"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See attached chart resource.</w:t>
      </w:r>
    </w:p>
    <w:p w14:paraId="28E3F8E2" w14:textId="77777777" w:rsidR="00636C21" w:rsidRPr="00DD7BD1" w:rsidRDefault="00636C21"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p>
    <w:p w14:paraId="4650809D" w14:textId="2B2E4398"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UPDATE: Corporate Transparency Act (BOI Disclosure Requirements)</w:t>
      </w:r>
    </w:p>
    <w:p w14:paraId="1962D9AF" w14:textId="77777777"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12"/>
          <w:szCs w:val="12"/>
          <w:shd w:val="clear" w:color="auto" w:fill="FFFFFF"/>
          <w:lang w:val="en"/>
        </w:rPr>
      </w:pPr>
    </w:p>
    <w:p w14:paraId="5DDEC5A0" w14:textId="43E6A7E1"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As of December 26, 2024, the injunction issued by the district court in </w:t>
      </w:r>
      <w:r w:rsidRPr="00DD7BD1">
        <w:rPr>
          <w:rFonts w:ascii="Calibri" w:eastAsiaTheme="minorHAnsi" w:hAnsi="Calibri" w:cs="Calibri"/>
          <w:b w:val="0"/>
          <w:bCs w:val="0"/>
          <w:i/>
          <w:iCs/>
          <w:kern w:val="0"/>
          <w:sz w:val="22"/>
          <w:szCs w:val="22"/>
          <w:shd w:val="clear" w:color="auto" w:fill="FFFFFF"/>
        </w:rPr>
        <w:t>Texas Top Cop Shop, Inc. v. Garland </w:t>
      </w:r>
      <w:r w:rsidRPr="00DD7BD1">
        <w:rPr>
          <w:rFonts w:ascii="Calibri" w:eastAsiaTheme="minorHAnsi" w:hAnsi="Calibri" w:cs="Calibri"/>
          <w:kern w:val="0"/>
          <w:sz w:val="22"/>
          <w:szCs w:val="22"/>
          <w:shd w:val="clear" w:color="auto" w:fill="FFFFFF"/>
        </w:rPr>
        <w:t>remains in effect</w:t>
      </w:r>
      <w:r w:rsidRPr="00DD7BD1">
        <w:rPr>
          <w:rFonts w:ascii="Calibri" w:eastAsiaTheme="minorHAnsi" w:hAnsi="Calibri" w:cs="Calibri"/>
          <w:b w:val="0"/>
          <w:bCs w:val="0"/>
          <w:kern w:val="0"/>
          <w:sz w:val="22"/>
          <w:szCs w:val="22"/>
          <w:shd w:val="clear" w:color="auto" w:fill="FFFFFF"/>
        </w:rPr>
        <w:t xml:space="preserve"> and reporting companies are </w:t>
      </w:r>
      <w:r w:rsidRPr="00DD7BD1">
        <w:rPr>
          <w:rFonts w:ascii="Calibri" w:eastAsiaTheme="minorHAnsi" w:hAnsi="Calibri" w:cs="Calibri"/>
          <w:kern w:val="0"/>
          <w:sz w:val="22"/>
          <w:szCs w:val="22"/>
          <w:shd w:val="clear" w:color="auto" w:fill="FFFFFF"/>
        </w:rPr>
        <w:t>not currently required to file beneficial ownership information with FinCEN</w:t>
      </w:r>
      <w:r w:rsidRPr="00DD7BD1">
        <w:rPr>
          <w:rFonts w:ascii="Calibri" w:eastAsiaTheme="minorHAnsi" w:hAnsi="Calibri" w:cs="Calibri"/>
          <w:b w:val="0"/>
          <w:bCs w:val="0"/>
          <w:kern w:val="0"/>
          <w:sz w:val="22"/>
          <w:szCs w:val="22"/>
          <w:shd w:val="clear" w:color="auto" w:fill="FFFFFF"/>
        </w:rPr>
        <w:t>. ETC will continue to monitor the situation. Visit </w:t>
      </w:r>
      <w:hyperlink r:id="rId324" w:tgtFrame="_blank" w:history="1">
        <w:r w:rsidRPr="00DD7BD1">
          <w:rPr>
            <w:rStyle w:val="Hyperlink"/>
            <w:rFonts w:ascii="Calibri" w:eastAsiaTheme="minorHAnsi" w:hAnsi="Calibri" w:cs="Calibri"/>
            <w:b w:val="0"/>
            <w:bCs w:val="0"/>
            <w:kern w:val="0"/>
            <w:sz w:val="22"/>
            <w:szCs w:val="22"/>
            <w:shd w:val="clear" w:color="auto" w:fill="FFFFFF"/>
          </w:rPr>
          <w:t>https://fincen.gov/boi</w:t>
        </w:r>
      </w:hyperlink>
      <w:r w:rsidRPr="00DD7BD1">
        <w:rPr>
          <w:rFonts w:ascii="Calibri" w:eastAsiaTheme="minorHAnsi" w:hAnsi="Calibri" w:cs="Calibri"/>
          <w:b w:val="0"/>
          <w:bCs w:val="0"/>
          <w:kern w:val="0"/>
          <w:sz w:val="22"/>
          <w:szCs w:val="22"/>
          <w:shd w:val="clear" w:color="auto" w:fill="FFFFFF"/>
        </w:rPr>
        <w:t> for up-to-date Alerts and additional information on the federal filing requirements.</w:t>
      </w:r>
    </w:p>
    <w:p w14:paraId="16CF98B7" w14:textId="77777777"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p>
    <w:p w14:paraId="022F2DF0" w14:textId="70785BD3" w:rsidR="001A580B" w:rsidRPr="00DD7BD1" w:rsidRDefault="001A580B" w:rsidP="001A580B">
      <w:pPr>
        <w:pStyle w:val="ListParagraph"/>
        <w:shd w:val="clear" w:color="auto" w:fill="FFFFFF"/>
        <w:spacing w:line="235" w:lineRule="atLeast"/>
        <w:ind w:left="-90"/>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Corporate Transparency Act Halted Ahead of Jan 1 Reporting Deadline</w:t>
      </w:r>
    </w:p>
    <w:p w14:paraId="400D5C83" w14:textId="7D6AB85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In </w:t>
      </w:r>
      <w:hyperlink r:id="rId325" w:tgtFrame="_blank" w:tooltip="https://cta-v-garland-district-court-opinion-preliminary-injunction" w:history="1">
        <w:r w:rsidRPr="00DD7BD1">
          <w:rPr>
            <w:rStyle w:val="Hyperlink"/>
            <w:rFonts w:ascii="Calibri" w:hAnsi="Calibri" w:cs="Calibri"/>
            <w:i/>
            <w:iCs/>
            <w:color w:val="467886"/>
          </w:rPr>
          <w:t>Texas Top Cop Shop v Garland et al.</w:t>
        </w:r>
      </w:hyperlink>
      <w:r w:rsidRPr="00DD7BD1">
        <w:rPr>
          <w:rFonts w:ascii="Calibri" w:hAnsi="Calibri" w:cs="Calibri"/>
          <w:color w:val="222222"/>
        </w:rPr>
        <w:t> ( case 4:24-cv-00478 December 3, 2024)</w:t>
      </w:r>
      <w:r w:rsidRPr="00DD7BD1">
        <w:rPr>
          <w:rFonts w:ascii="Calibri" w:hAnsi="Calibri" w:cs="Calibri"/>
          <w:i/>
          <w:iCs/>
          <w:color w:val="222222"/>
        </w:rPr>
        <w:t> </w:t>
      </w:r>
      <w:r w:rsidRPr="00DD7BD1">
        <w:rPr>
          <w:rFonts w:ascii="Calibri" w:hAnsi="Calibri" w:cs="Calibri"/>
          <w:color w:val="222222"/>
        </w:rPr>
        <w:t>, the U.S. District Court for the Eastern District of Texas issued </w:t>
      </w:r>
      <w:r w:rsidRPr="00DD7BD1">
        <w:rPr>
          <w:rFonts w:ascii="Calibri" w:hAnsi="Calibri" w:cs="Calibri"/>
          <w:color w:val="222222"/>
          <w:u w:val="single"/>
        </w:rPr>
        <w:t>a nationwide</w:t>
      </w:r>
      <w:r w:rsidRPr="00DD7BD1">
        <w:rPr>
          <w:rFonts w:ascii="Calibri" w:hAnsi="Calibri" w:cs="Calibri"/>
          <w:color w:val="222222"/>
        </w:rPr>
        <w:t> </w:t>
      </w:r>
      <w:r w:rsidRPr="00DD7BD1">
        <w:rPr>
          <w:rFonts w:ascii="Calibri" w:hAnsi="Calibri" w:cs="Calibri"/>
          <w:color w:val="222222"/>
          <w:u w:val="single"/>
        </w:rPr>
        <w:t>preliminary injunction</w:t>
      </w:r>
      <w:r w:rsidRPr="00DD7BD1">
        <w:rPr>
          <w:rFonts w:ascii="Calibri" w:hAnsi="Calibri" w:cs="Calibri"/>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124D8761" w14:textId="77777777" w:rsidR="001A580B" w:rsidRPr="00DD7BD1" w:rsidRDefault="001A580B" w:rsidP="001A580B">
      <w:pPr>
        <w:pStyle w:val="ListParagraph"/>
        <w:shd w:val="clear" w:color="auto" w:fill="FFFFFF"/>
        <w:spacing w:line="235" w:lineRule="atLeast"/>
        <w:ind w:left="0"/>
        <w:jc w:val="both"/>
        <w:rPr>
          <w:rFonts w:ascii="Calibri" w:hAnsi="Calibri" w:cs="Calibri"/>
          <w:b/>
          <w:bCs/>
          <w:color w:val="222222"/>
        </w:rPr>
      </w:pPr>
      <w:r w:rsidRPr="00DD7BD1">
        <w:rPr>
          <w:rFonts w:ascii="Calibri" w:hAnsi="Calibri" w:cs="Calibri"/>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434F50B5"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7C90996F"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Nationwide Injunction</w:t>
      </w:r>
    </w:p>
    <w:p w14:paraId="525B328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BBD1A3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Court's Reasoning</w:t>
      </w:r>
    </w:p>
    <w:p w14:paraId="70A2CBA6"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5709B41" w14:textId="3179926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DOL’s 2024 Exempt Salary Rule Struck Down</w:t>
      </w:r>
    </w:p>
    <w:p w14:paraId="479C68B7"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bookmarkStart w:id="30" w:name="_Hlk184202507"/>
      <w:r w:rsidRPr="00DD7BD1">
        <w:rPr>
          <w:rFonts w:ascii="Calibri" w:hAnsi="Calibri" w:cs="Calibri"/>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409F8FD6"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30"/>
      <w:r w:rsidRPr="00DD7BD1">
        <w:rPr>
          <w:rFonts w:ascii="Calibri" w:hAnsi="Calibri" w:cs="Calibri"/>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608707EB"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Employees ensure compliance with any applicable state or local laws relative the minimum salary thresholds for position exemptions which remain applicable.</w:t>
      </w:r>
    </w:p>
    <w:p w14:paraId="3747B995"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55A76298" w14:textId="77777777" w:rsidR="00590EB9" w:rsidRPr="00DD7BD1" w:rsidRDefault="00590EB9" w:rsidP="00590EB9">
      <w:pPr>
        <w:pStyle w:val="Heading1"/>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DD7BD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AK</w:t>
                  </w:r>
                  <w:r w:rsidRPr="00DD7BD1">
                    <w:rPr>
                      <w:rFonts w:ascii="Calibri" w:hAnsi="Calibri" w:cs="Calibri"/>
                      <w:b w:val="0"/>
                      <w:bCs w:val="0"/>
                      <w:sz w:val="22"/>
                      <w:szCs w:val="22"/>
                    </w:rPr>
                    <w:t>:  as of Jan 1, 2025: $938.40/week $49,796.80 annually</w:t>
                  </w:r>
                </w:p>
                <w:p w14:paraId="31FA482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CA</w:t>
                  </w:r>
                  <w:r w:rsidRPr="00DD7BD1">
                    <w:rPr>
                      <w:rFonts w:ascii="Calibri" w:hAnsi="Calibri" w:cs="Calibri"/>
                      <w:b w:val="0"/>
                      <w:bCs w:val="0"/>
                      <w:sz w:val="22"/>
                      <w:szCs w:val="22"/>
                    </w:rPr>
                    <w:t>:  as of Jan 1, 2025: $1,320/week ($68,640 annually)</w:t>
                  </w:r>
                </w:p>
              </w:tc>
            </w:tr>
          </w:tbl>
          <w:p w14:paraId="60A9AE5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CO</w:t>
                  </w:r>
                  <w:r w:rsidRPr="00DD7BD1">
                    <w:rPr>
                      <w:rFonts w:ascii="Calibri" w:hAnsi="Calibri" w:cs="Calibri"/>
                      <w:b w:val="0"/>
                      <w:bCs w:val="0"/>
                      <w:sz w:val="22"/>
                      <w:szCs w:val="22"/>
                    </w:rPr>
                    <w:t>:  as of Jan 1, 2025: $1,086.25/week ($56,485 annually)</w:t>
                  </w:r>
                </w:p>
                <w:p w14:paraId="44E7732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ME</w:t>
                  </w:r>
                  <w:r w:rsidRPr="00DD7BD1">
                    <w:rPr>
                      <w:rFonts w:ascii="Calibri" w:hAnsi="Calibri" w:cs="Calibri"/>
                      <w:b w:val="0"/>
                      <w:bCs w:val="0"/>
                      <w:sz w:val="22"/>
                      <w:szCs w:val="22"/>
                    </w:rPr>
                    <w:t>:  $845.19/week ($43,950 annually)</w:t>
                  </w:r>
                </w:p>
              </w:tc>
            </w:tr>
          </w:tbl>
          <w:p w14:paraId="62F9E96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NY:</w:t>
                  </w:r>
                  <w:r w:rsidRPr="00DD7BD1">
                    <w:rPr>
                      <w:rFonts w:ascii="Calibri" w:hAnsi="Calibri" w:cs="Calibri"/>
                      <w:b w:val="0"/>
                      <w:bCs w:val="0"/>
                      <w:sz w:val="22"/>
                      <w:szCs w:val="22"/>
                    </w:rPr>
                    <w:t>  as of Jan 1, 2025:</w:t>
                  </w:r>
                </w:p>
                <w:p w14:paraId="7C75C1B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In New York City, Long Island, &amp; Westchester County</w:t>
                  </w:r>
                </w:p>
                <w:p w14:paraId="4C964D52" w14:textId="77777777" w:rsidR="00590EB9" w:rsidRPr="00DD7BD1" w:rsidRDefault="00590EB9">
                  <w:pPr>
                    <w:pStyle w:val="Heading1"/>
                    <w:numPr>
                      <w:ilvl w:val="0"/>
                      <w:numId w:val="104"/>
                    </w:numPr>
                    <w:tabs>
                      <w:tab w:val="clear" w:pos="720"/>
                      <w:tab w:val="num" w:pos="120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$1,237.50/week ($64,350 annually) </w:t>
                  </w:r>
                </w:p>
                <w:p w14:paraId="3D211EB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Remainder of New York State</w:t>
                  </w:r>
                </w:p>
                <w:p w14:paraId="3AA49A8A" w14:textId="77777777" w:rsidR="00590EB9" w:rsidRPr="00DD7BD1" w:rsidRDefault="00590EB9">
                  <w:pPr>
                    <w:pStyle w:val="Heading1"/>
                    <w:numPr>
                      <w:ilvl w:val="0"/>
                      <w:numId w:val="105"/>
                    </w:numPr>
                    <w:tabs>
                      <w:tab w:val="clear" w:pos="72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$1,161.65/week ($60,405.80 annually) </w:t>
                  </w:r>
                </w:p>
              </w:tc>
            </w:tr>
          </w:tbl>
          <w:p w14:paraId="673C586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WA</w:t>
                  </w:r>
                  <w:r w:rsidRPr="00DD7BD1">
                    <w:rPr>
                      <w:rFonts w:ascii="Calibri" w:hAnsi="Calibri" w:cs="Calibri"/>
                      <w:b w:val="0"/>
                      <w:bCs w:val="0"/>
                      <w:sz w:val="22"/>
                      <w:szCs w:val="22"/>
                    </w:rPr>
                    <w:t>:  as of Jan 1, 2025:</w:t>
                  </w:r>
                </w:p>
                <w:p w14:paraId="2D3BA84B"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Small Employer (1-50 EEs) $1,332.80/week ($69,305.60 annually)</w:t>
                  </w:r>
                </w:p>
                <w:p w14:paraId="64B41F75"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with 51 or more Employees $1,499.40/week ($77,968.80 annually)</w:t>
                  </w:r>
                </w:p>
                <w:p w14:paraId="6D27C004" w14:textId="77777777" w:rsidR="00590EB9" w:rsidRPr="00DD7BD1" w:rsidRDefault="00590EB9" w:rsidP="00EB2872">
                  <w:pPr>
                    <w:pStyle w:val="Heading1"/>
                    <w:spacing w:before="0" w:beforeAutospacing="0" w:after="0" w:afterAutospacing="0"/>
                    <w:ind w:left="720"/>
                    <w:rPr>
                      <w:rFonts w:ascii="Calibri" w:hAnsi="Calibri" w:cs="Calibri"/>
                      <w:b w:val="0"/>
                      <w:bCs w:val="0"/>
                      <w:sz w:val="22"/>
                      <w:szCs w:val="22"/>
                    </w:rPr>
                  </w:pPr>
                </w:p>
              </w:tc>
            </w:tr>
          </w:tbl>
          <w:p w14:paraId="3D9A983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bl>
    <w:p w14:paraId="3D5FFF42"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Prohibits Captive Audience Meetings</w:t>
      </w:r>
    </w:p>
    <w:p w14:paraId="26D04C96"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Pr="00DD7BD1" w:rsidRDefault="00590EB9" w:rsidP="00590EB9">
      <w:pPr>
        <w:pStyle w:val="Heading1"/>
        <w:spacing w:before="0" w:beforeAutospacing="0" w:after="0" w:afterAutospacing="0"/>
        <w:jc w:val="both"/>
        <w:rPr>
          <w:rFonts w:ascii="Calibri" w:hAnsi="Calibri" w:cs="Calibri"/>
          <w:b w:val="0"/>
          <w:bCs w:val="0"/>
          <w:i/>
          <w:iCs/>
          <w:color w:val="000000" w:themeColor="text1"/>
          <w:sz w:val="22"/>
          <w:szCs w:val="22"/>
        </w:rPr>
      </w:pPr>
    </w:p>
    <w:p w14:paraId="29962F7E"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i/>
          <w:iCs/>
          <w:color w:val="000000" w:themeColor="text1"/>
          <w:sz w:val="22"/>
          <w:szCs w:val="22"/>
        </w:rPr>
        <w:t>Captive audience meetings</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44644AB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However, the NLRB explained that employers can hold </w:t>
      </w:r>
      <w:r w:rsidRPr="00DD7BD1">
        <w:rPr>
          <w:rFonts w:ascii="Calibri" w:hAnsi="Calibri" w:cs="Calibri"/>
          <w:b w:val="0"/>
          <w:bCs w:val="0"/>
          <w:i/>
          <w:iCs/>
          <w:color w:val="000000" w:themeColor="text1"/>
          <w:sz w:val="22"/>
          <w:szCs w:val="22"/>
        </w:rPr>
        <w:t>voluntary</w:t>
      </w:r>
      <w:r w:rsidRPr="00DD7BD1">
        <w:rPr>
          <w:rFonts w:ascii="Calibri" w:hAnsi="Calibri" w:cs="Calibri"/>
          <w:b w:val="0"/>
          <w:bCs w:val="0"/>
          <w:color w:val="000000" w:themeColor="text1"/>
          <w:sz w:val="22"/>
          <w:szCs w:val="22"/>
        </w:rPr>
        <w:t> workplace meetings to express their views on unionization if, with reasonable advance notice, they inform employees that:</w:t>
      </w:r>
    </w:p>
    <w:p w14:paraId="569281C1"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employer intends to express its views on unionization at a meeting that is voluntary for employees to attend,</w:t>
      </w:r>
    </w:p>
    <w:p w14:paraId="4D88AE6A"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Employees won’t be subject to discipline, discharge, or other adverse action for not attending the meeting or for leaving the meeting, </w:t>
      </w:r>
      <w:r w:rsidRPr="00DD7BD1">
        <w:rPr>
          <w:rFonts w:ascii="Calibri" w:hAnsi="Calibri" w:cs="Calibri"/>
          <w:b w:val="0"/>
          <w:bCs w:val="0"/>
          <w:i/>
          <w:iCs/>
          <w:color w:val="000000" w:themeColor="text1"/>
          <w:sz w:val="22"/>
          <w:szCs w:val="22"/>
        </w:rPr>
        <w:t>and</w:t>
      </w:r>
    </w:p>
    <w:p w14:paraId="0F980887"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employer won’t keep records of which employees attend, fail to attend, or leave the meeting.</w:t>
      </w:r>
    </w:p>
    <w:p w14:paraId="568BEBB9"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50DEF96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In addition to communicating this information, employers have to abide by the above statements in practice as well.</w:t>
      </w:r>
    </w:p>
    <w:p w14:paraId="15123B5C"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6ABC09B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highlight w:val="lightGray"/>
        </w:rPr>
      </w:pPr>
    </w:p>
    <w:p w14:paraId="3CD636B0"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Action Items</w:t>
      </w:r>
    </w:p>
    <w:p w14:paraId="00FCCE57"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Allow employees to opt out of any meeting covered by this decision</w:t>
      </w:r>
    </w:p>
    <w:p w14:paraId="7D848F42"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Make sure supervisors understand these requirements</w:t>
      </w:r>
    </w:p>
    <w:p w14:paraId="5F122329" w14:textId="77777777" w:rsidR="00590EB9" w:rsidRPr="00DD7BD1" w:rsidRDefault="00590EB9" w:rsidP="00590EB9">
      <w:pPr>
        <w:pStyle w:val="Heading1"/>
        <w:jc w:val="center"/>
        <w:rPr>
          <w:rFonts w:ascii="Calibri" w:hAnsi="Calibri" w:cs="Calibri"/>
          <w:color w:val="000000" w:themeColor="text1"/>
          <w:sz w:val="28"/>
          <w:szCs w:val="28"/>
        </w:rPr>
      </w:pPr>
      <w:r w:rsidRPr="00DD7BD1">
        <w:rPr>
          <w:rFonts w:ascii="Calibri" w:hAnsi="Calibri" w:cs="Calibri"/>
          <w:color w:val="000000" w:themeColor="text1"/>
          <w:sz w:val="28"/>
          <w:szCs w:val="28"/>
        </w:rPr>
        <w:t>NLRB Expands Definition of “Unlawful Communication” to Employees Concerning Effects of Unionization on Employer-Employee Relationship</w:t>
      </w:r>
    </w:p>
    <w:p w14:paraId="55DBB848"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31" w:name="_ftnref1"/>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u w:val="none"/>
        </w:rPr>
        <w:t>[1]</w:t>
      </w:r>
      <w:r w:rsidRPr="00DD7BD1">
        <w:rPr>
          <w:rFonts w:ascii="Calibri" w:hAnsi="Calibri" w:cs="Calibri"/>
          <w:b w:val="0"/>
          <w:bCs w:val="0"/>
          <w:color w:val="000000" w:themeColor="text1"/>
          <w:kern w:val="0"/>
          <w:sz w:val="22"/>
          <w:szCs w:val="22"/>
        </w:rPr>
        <w:fldChar w:fldCharType="end"/>
      </w:r>
      <w:bookmarkEnd w:id="31"/>
      <w:r w:rsidRPr="00DD7BD1">
        <w:rPr>
          <w:rFonts w:ascii="Calibri" w:hAnsi="Calibri" w:cs="Calibri"/>
          <w:b w:val="0"/>
          <w:bCs w:val="0"/>
          <w:color w:val="000000" w:themeColor="text1"/>
          <w:kern w:val="0"/>
          <w:sz w:val="22"/>
          <w:szCs w:val="22"/>
        </w:rPr>
        <w:t> In doing so, the Board overturned over forty years of precedent, set by </w:t>
      </w:r>
      <w:r w:rsidRPr="00DD7BD1">
        <w:rPr>
          <w:rFonts w:ascii="Calibri" w:hAnsi="Calibri" w:cs="Calibri"/>
          <w:b w:val="0"/>
          <w:bCs w:val="0"/>
          <w:i/>
          <w:iCs/>
          <w:color w:val="000000" w:themeColor="text1"/>
          <w:kern w:val="0"/>
          <w:sz w:val="22"/>
          <w:szCs w:val="22"/>
        </w:rPr>
        <w:t>Tri-Cast, Inc.</w:t>
      </w:r>
      <w:r w:rsidRPr="00DD7BD1">
        <w:rPr>
          <w:rFonts w:ascii="Calibri" w:hAnsi="Calibri" w:cs="Calibri"/>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5D2019C4"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32" w:name="_ftnref2"/>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[2]</w:t>
      </w:r>
      <w:r w:rsidRPr="00DD7BD1">
        <w:rPr>
          <w:rFonts w:ascii="Calibri" w:hAnsi="Calibri" w:cs="Calibri"/>
          <w:b w:val="0"/>
          <w:bCs w:val="0"/>
          <w:color w:val="000000" w:themeColor="text1"/>
          <w:kern w:val="0"/>
          <w:sz w:val="22"/>
          <w:szCs w:val="22"/>
        </w:rPr>
        <w:fldChar w:fldCharType="end"/>
      </w:r>
      <w:bookmarkEnd w:id="32"/>
      <w:r w:rsidRPr="00DD7BD1">
        <w:rPr>
          <w:rFonts w:ascii="Calibri" w:hAnsi="Calibri" w:cs="Calibri"/>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35AEEBB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33" w:name="_ftn1"/>
    <w:p w14:paraId="129626E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[1]</w:t>
      </w:r>
      <w:r w:rsidRPr="00DD7BD1">
        <w:rPr>
          <w:rFonts w:ascii="Calibri" w:hAnsi="Calibri" w:cs="Calibri"/>
          <w:b w:val="0"/>
          <w:bCs w:val="0"/>
          <w:color w:val="000000" w:themeColor="text1"/>
          <w:sz w:val="16"/>
          <w:szCs w:val="16"/>
        </w:rPr>
        <w:fldChar w:fldCharType="end"/>
      </w:r>
      <w:bookmarkEnd w:id="33"/>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Siren Retail Corp. d/b/a Starbucks</w:t>
      </w:r>
      <w:r w:rsidRPr="00DD7BD1">
        <w:rPr>
          <w:rFonts w:ascii="Calibri" w:hAnsi="Calibri" w:cs="Calibri"/>
          <w:b w:val="0"/>
          <w:bCs w:val="0"/>
          <w:color w:val="000000" w:themeColor="text1"/>
          <w:sz w:val="16"/>
          <w:szCs w:val="16"/>
        </w:rPr>
        <w:t>, 373 NLRB No. 135 (2024).</w:t>
      </w:r>
    </w:p>
    <w:bookmarkStart w:id="34" w:name="_ftn2"/>
    <w:p w14:paraId="7E128BF9" w14:textId="5A16E49A"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[2]</w:t>
      </w:r>
      <w:r w:rsidRPr="00DD7BD1">
        <w:rPr>
          <w:rFonts w:ascii="Calibri" w:hAnsi="Calibri" w:cs="Calibri"/>
          <w:b w:val="0"/>
          <w:bCs w:val="0"/>
          <w:color w:val="000000" w:themeColor="text1"/>
          <w:sz w:val="16"/>
          <w:szCs w:val="16"/>
        </w:rPr>
        <w:fldChar w:fldCharType="end"/>
      </w:r>
      <w:bookmarkEnd w:id="34"/>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NLRB v. Gissel Packing Co.</w:t>
      </w:r>
      <w:r w:rsidRPr="00DD7BD1">
        <w:rPr>
          <w:rFonts w:ascii="Calibri" w:hAnsi="Calibri" w:cs="Calibri"/>
          <w:b w:val="0"/>
          <w:bCs w:val="0"/>
          <w:color w:val="000000" w:themeColor="text1"/>
          <w:sz w:val="16"/>
          <w:szCs w:val="16"/>
        </w:rPr>
        <w:t>, 395 U.S. 575 (1969).</w:t>
      </w:r>
    </w:p>
    <w:p w14:paraId="1B733093" w14:textId="77777777" w:rsidR="00590EB9" w:rsidRPr="00DD7BD1" w:rsidRDefault="00590EB9" w:rsidP="00590EB9">
      <w:pPr>
        <w:pStyle w:val="Heading1"/>
        <w:shd w:val="clear" w:color="auto" w:fill="FFFFFF"/>
        <w:spacing w:before="0" w:beforeAutospacing="0" w:after="0" w:afterAutospacing="0" w:line="264" w:lineRule="atLeast"/>
        <w:rPr>
          <w:rFonts w:ascii="Calibri" w:hAnsi="Calibri" w:cs="Calibri"/>
          <w:sz w:val="22"/>
          <w:szCs w:val="22"/>
        </w:rPr>
      </w:pPr>
    </w:p>
    <w:p w14:paraId="7A899673" w14:textId="45CE6E88"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Compliance Deadline Reminder: Gag Clause Attestation Is Due by Dec. 31, 2024</w:t>
      </w:r>
    </w:p>
    <w:p w14:paraId="0B5DC67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 xml:space="preserve">Effective in 2020, the </w:t>
      </w:r>
      <w:hyperlink r:id="rId326" w:history="1">
        <w:r w:rsidRPr="00DD7BD1">
          <w:rPr>
            <w:rStyle w:val="Hyperlink"/>
            <w:rFonts w:eastAsiaTheme="majorEastAsia" w:cs="Calibri"/>
          </w:rPr>
          <w:t>Consolidated Appropriations Act, 2021 (CAA)</w:t>
        </w:r>
      </w:hyperlink>
      <w:r w:rsidRPr="00DD7BD1">
        <w:rPr>
          <w:rFonts w:cs="Calibri"/>
        </w:rPr>
        <w:t xml:space="preserve"> </w:t>
      </w:r>
      <w:r w:rsidRPr="00DD7BD1">
        <w:rPr>
          <w:rFonts w:cs="Calibri"/>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DD7BD1" w:rsidRDefault="00724B5B" w:rsidP="00724B5B">
      <w:pPr>
        <w:pStyle w:val="BodyText"/>
        <w:spacing w:after="0" w:line="240" w:lineRule="auto"/>
        <w:rPr>
          <w:rFonts w:cs="Calibri"/>
          <w:color w:val="auto"/>
        </w:rPr>
      </w:pPr>
      <w:r w:rsidRPr="00DD7BD1">
        <w:rPr>
          <w:rFonts w:cs="Calibri"/>
          <w:color w:val="auto"/>
        </w:rPr>
        <w:t xml:space="preserve">The attestation requirement applies to </w:t>
      </w:r>
      <w:r w:rsidRPr="00DD7BD1">
        <w:rPr>
          <w:rFonts w:cs="Calibri"/>
          <w:b/>
          <w:bCs/>
          <w:color w:val="auto"/>
        </w:rPr>
        <w:t>fully insured and self-insured group health plans</w:t>
      </w:r>
      <w:r w:rsidRPr="00DD7BD1">
        <w:rPr>
          <w:rFonts w:cs="Calibri"/>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Pr="00DD7BD1" w:rsidRDefault="00724B5B" w:rsidP="00724B5B">
      <w:pPr>
        <w:pStyle w:val="BodyText"/>
        <w:spacing w:after="0" w:line="240" w:lineRule="auto"/>
        <w:ind w:right="274"/>
        <w:rPr>
          <w:rFonts w:cs="Calibri"/>
          <w:b/>
          <w:bCs/>
          <w:color w:val="C00000"/>
        </w:rPr>
      </w:pPr>
      <w:r w:rsidRPr="00DD7BD1">
        <w:rPr>
          <w:rFonts w:cs="Calibri"/>
          <w:b/>
          <w:bCs/>
          <w:color w:val="auto"/>
        </w:rPr>
        <w:t xml:space="preserve">The deadline for submitting the next attestation is </w:t>
      </w:r>
      <w:r w:rsidRPr="00DD7BD1">
        <w:rPr>
          <w:rFonts w:cs="Calibri"/>
          <w:b/>
          <w:bCs/>
          <w:color w:val="C00000"/>
        </w:rPr>
        <w:t>Dec. 31, 2024.</w:t>
      </w:r>
    </w:p>
    <w:p w14:paraId="05E7E395" w14:textId="77777777" w:rsidR="00724B5B" w:rsidRPr="00DD7BD1" w:rsidRDefault="00724B5B" w:rsidP="00724B5B">
      <w:pPr>
        <w:pStyle w:val="BodyText"/>
        <w:spacing w:after="0" w:line="240" w:lineRule="auto"/>
        <w:ind w:right="274"/>
        <w:rPr>
          <w:rFonts w:cs="Calibri"/>
          <w:b/>
          <w:bCs/>
          <w:color w:val="C00000"/>
        </w:rPr>
      </w:pPr>
    </w:p>
    <w:p w14:paraId="167D64BF" w14:textId="77777777" w:rsidR="00724B5B" w:rsidRPr="00DD7BD1" w:rsidRDefault="00724B5B" w:rsidP="00724B5B">
      <w:pPr>
        <w:pStyle w:val="BodyText"/>
        <w:spacing w:after="0" w:line="240" w:lineRule="auto"/>
        <w:ind w:right="274"/>
        <w:rPr>
          <w:rFonts w:cs="Calibri"/>
          <w:color w:val="auto"/>
        </w:rPr>
      </w:pPr>
      <w:r w:rsidRPr="00DD7BD1">
        <w:rPr>
          <w:rFonts w:cs="Calibri"/>
          <w:b/>
          <w:bCs/>
          <w:color w:val="auto"/>
          <w:highlight w:val="lightGray"/>
        </w:rPr>
        <w:t>Employer Takeaway:</w:t>
      </w:r>
      <w:r w:rsidRPr="00DD7BD1">
        <w:rPr>
          <w:rFonts w:cs="Calibri"/>
          <w:color w:val="auto"/>
        </w:rPr>
        <w:t xml:space="preserve"> Employers should review their contracts with issuers, TPAs or other health plan service providers to confirm they do not contain prohibited gag clauses. </w:t>
      </w:r>
    </w:p>
    <w:p w14:paraId="638EB6B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Also, employers should review what actions they may need to take to comply with the gag clause attestation requirement:</w:t>
      </w:r>
    </w:p>
    <w:p w14:paraId="7505A289"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fully insured health plans do not need to provide an attestation if their plan’s issuer provides the attestation; and</w:t>
      </w:r>
    </w:p>
    <w:p w14:paraId="74396A36" w14:textId="77777777" w:rsidR="00724B5B" w:rsidRPr="00DD7BD1" w:rsidRDefault="00724B5B" w:rsidP="00724B5B">
      <w:pPr>
        <w:pStyle w:val="BulletListText"/>
        <w:spacing w:after="0"/>
        <w:ind w:left="540"/>
        <w:rPr>
          <w:rFonts w:cs="Calibri"/>
          <w:color w:val="auto"/>
        </w:rPr>
      </w:pPr>
      <w:r w:rsidRPr="00DD7BD1">
        <w:rPr>
          <w:rFonts w:cs="Calibri"/>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level funded health plans must check with their health plan carrier to see what the carrier is and is not doing for employers as this varies.</w:t>
      </w:r>
    </w:p>
    <w:p w14:paraId="4C42AE4C" w14:textId="77777777" w:rsidR="00724B5B" w:rsidRPr="00DD7BD1" w:rsidRDefault="00724B5B" w:rsidP="00724B5B">
      <w:pPr>
        <w:pStyle w:val="BulletListText"/>
        <w:numPr>
          <w:ilvl w:val="0"/>
          <w:numId w:val="0"/>
        </w:numPr>
        <w:spacing w:after="0"/>
        <w:ind w:left="540"/>
        <w:rPr>
          <w:rFonts w:cs="Calibri"/>
          <w:color w:val="auto"/>
        </w:rPr>
      </w:pPr>
    </w:p>
    <w:p w14:paraId="35256D88"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DD7BD1" w:rsidRDefault="00724B5B" w:rsidP="00724B5B">
      <w:pPr>
        <w:pStyle w:val="BodyText"/>
        <w:spacing w:after="0" w:line="240" w:lineRule="auto"/>
        <w:ind w:right="274"/>
        <w:rPr>
          <w:rFonts w:cs="Calibri"/>
          <w:b/>
          <w:bCs/>
          <w:color w:val="auto"/>
        </w:rPr>
      </w:pPr>
      <w:r w:rsidRPr="00DD7BD1">
        <w:rPr>
          <w:rFonts w:cs="Calibri"/>
          <w:b/>
          <w:bCs/>
          <w:color w:val="auto"/>
          <w:highlight w:val="lightGray"/>
        </w:rPr>
        <w:t>Resources:</w:t>
      </w:r>
    </w:p>
    <w:p w14:paraId="121C3F8C" w14:textId="77777777" w:rsidR="00724B5B" w:rsidRPr="00DD7BD1" w:rsidRDefault="00724B5B" w:rsidP="00724B5B">
      <w:pPr>
        <w:pStyle w:val="BulletListText"/>
        <w:spacing w:after="0"/>
        <w:ind w:left="360"/>
        <w:jc w:val="left"/>
        <w:rPr>
          <w:rFonts w:cs="Calibri"/>
          <w:color w:val="auto"/>
        </w:rPr>
      </w:pPr>
      <w:hyperlink r:id="rId327" w:history="1">
        <w:r w:rsidRPr="00DD7BD1">
          <w:rPr>
            <w:rStyle w:val="Hyperlink"/>
            <w:rFonts w:eastAsiaTheme="majorEastAsia" w:cs="Calibri"/>
          </w:rPr>
          <w:t>FAQs</w:t>
        </w:r>
      </w:hyperlink>
      <w:r w:rsidRPr="00DD7BD1">
        <w:rPr>
          <w:rFonts w:cs="Calibri"/>
        </w:rPr>
        <w:t xml:space="preserve"> </w:t>
      </w:r>
      <w:r w:rsidRPr="00DD7BD1">
        <w:rPr>
          <w:rFonts w:cs="Calibri"/>
          <w:color w:val="auto"/>
        </w:rPr>
        <w:t xml:space="preserve">from the Departments regarding the CAA’s prohibition on gag clauses in provider agreements </w:t>
      </w:r>
    </w:p>
    <w:p w14:paraId="60BE905C" w14:textId="77777777" w:rsidR="00724B5B" w:rsidRPr="00DD7BD1" w:rsidRDefault="00724B5B" w:rsidP="00724B5B">
      <w:pPr>
        <w:pStyle w:val="BulletListText"/>
        <w:spacing w:after="0"/>
        <w:ind w:left="360"/>
        <w:jc w:val="left"/>
        <w:rPr>
          <w:rFonts w:cs="Calibri"/>
          <w:color w:val="auto"/>
        </w:rPr>
      </w:pPr>
      <w:r w:rsidRPr="00DD7BD1">
        <w:rPr>
          <w:rFonts w:cs="Calibri"/>
          <w:color w:val="auto"/>
        </w:rPr>
        <w:t xml:space="preserve">CMS </w:t>
      </w:r>
      <w:hyperlink r:id="rId328" w:history="1">
        <w:r w:rsidRPr="00DD7BD1">
          <w:rPr>
            <w:rStyle w:val="Hyperlink"/>
            <w:rFonts w:eastAsiaTheme="majorEastAsia" w:cs="Calibri"/>
          </w:rPr>
          <w:t>website</w:t>
        </w:r>
      </w:hyperlink>
      <w:r w:rsidRPr="00DD7BD1">
        <w:rPr>
          <w:rFonts w:cs="Calibri"/>
          <w:color w:val="auto"/>
        </w:rPr>
        <w:t xml:space="preserve"> for submitting gag clause attestations </w:t>
      </w:r>
    </w:p>
    <w:p w14:paraId="09B50399" w14:textId="77777777" w:rsidR="00724B5B" w:rsidRPr="00DD7BD1" w:rsidRDefault="00724B5B" w:rsidP="00724B5B">
      <w:pPr>
        <w:pStyle w:val="BulletListText"/>
        <w:spacing w:after="0"/>
        <w:ind w:left="360"/>
        <w:jc w:val="left"/>
        <w:rPr>
          <w:rFonts w:cs="Calibri"/>
        </w:rPr>
      </w:pPr>
      <w:r w:rsidRPr="00DD7BD1">
        <w:rPr>
          <w:rFonts w:cs="Calibri"/>
          <w:color w:val="auto"/>
        </w:rPr>
        <w:t xml:space="preserve">The latest instructions and user manual for submitting attestations available </w:t>
      </w:r>
      <w:hyperlink r:id="rId329" w:history="1">
        <w:r w:rsidRPr="00DD7BD1">
          <w:rPr>
            <w:rStyle w:val="Hyperlink"/>
            <w:rFonts w:eastAsiaTheme="majorEastAsia" w:cs="Calibri"/>
          </w:rPr>
          <w:t>here</w:t>
        </w:r>
      </w:hyperlink>
      <w:r w:rsidRPr="00DD7BD1">
        <w:rPr>
          <w:rFonts w:cs="Calibri"/>
        </w:rPr>
        <w:t xml:space="preserve">  </w:t>
      </w:r>
    </w:p>
    <w:p w14:paraId="5C3C75BB" w14:textId="77777777" w:rsidR="00724B5B" w:rsidRPr="00DD7BD1" w:rsidRDefault="00724B5B" w:rsidP="00724B5B">
      <w:pPr>
        <w:pStyle w:val="BodyText"/>
        <w:spacing w:after="0" w:line="240" w:lineRule="auto"/>
        <w:ind w:right="274"/>
        <w:rPr>
          <w:rFonts w:cs="Calibri"/>
        </w:rPr>
      </w:pPr>
    </w:p>
    <w:p w14:paraId="2B95686A" w14:textId="77777777"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Beneficial Ownership Information (BOI) Reporting – </w:t>
      </w:r>
    </w:p>
    <w:p w14:paraId="1DD366E7" w14:textId="77777777"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color w:val="C00000"/>
          <w:sz w:val="28"/>
          <w:szCs w:val="28"/>
        </w:rPr>
      </w:pPr>
      <w:r w:rsidRPr="00DD7BD1">
        <w:rPr>
          <w:rFonts w:ascii="Calibri" w:hAnsi="Calibri" w:cs="Calibri"/>
          <w:color w:val="C00000"/>
          <w:sz w:val="28"/>
          <w:szCs w:val="28"/>
        </w:rPr>
        <w:t>Jan 1, 2025</w:t>
      </w:r>
    </w:p>
    <w:p w14:paraId="521F6ED4"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Starting January 1, 2024, a new federal requirement is for small entities (</w:t>
      </w:r>
      <w:r w:rsidRPr="00DD7BD1">
        <w:rPr>
          <w:rFonts w:ascii="Calibri" w:eastAsia="Arial" w:hAnsi="Calibri" w:cs="Calibri"/>
          <w:b w:val="0"/>
          <w:bCs w:val="0"/>
          <w:sz w:val="22"/>
          <w:szCs w:val="22"/>
          <w:u w:val="single"/>
        </w:rPr>
        <w:t>less than 20 Full Time employees</w:t>
      </w:r>
      <w:r w:rsidRPr="00DD7BD1">
        <w:rPr>
          <w:rFonts w:ascii="Calibri" w:eastAsia="Arial" w:hAnsi="Calibri" w:cs="Calibri"/>
          <w:b w:val="0"/>
          <w:bCs w:val="0"/>
          <w:sz w:val="22"/>
          <w:szCs w:val="22"/>
        </w:rPr>
        <w:t>) that are NOT one of the 23 exemptions are required to register their business ownership information (BOI) to the Financial Crimes Enforcement Network (FinCen).  The Corporate Transparency Act (“CTA”) went into effect January 1, 2024, requiring most legal entities in the United States to file a beneficial ownership information report (“BOI Report”) with the U.S. Financial Crimes Enforcement Network (“FinCEN”). Before January 1, 2025, </w:t>
      </w:r>
      <w:r w:rsidRPr="00DD7BD1">
        <w:rPr>
          <w:rFonts w:ascii="Calibri" w:eastAsia="Arial" w:hAnsi="Calibri" w:cs="Calibri"/>
          <w:b w:val="0"/>
          <w:bCs w:val="0"/>
          <w:i/>
          <w:iCs/>
          <w:sz w:val="22"/>
          <w:szCs w:val="22"/>
        </w:rPr>
        <w:t>all </w:t>
      </w:r>
      <w:r w:rsidRPr="00DD7BD1">
        <w:rPr>
          <w:rFonts w:ascii="Calibri" w:eastAsia="Arial" w:hAnsi="Calibri" w:cs="Calibri"/>
          <w:b w:val="0"/>
          <w:bCs w:val="0"/>
          <w:sz w:val="22"/>
          <w:szCs w:val="22"/>
        </w:rPr>
        <w:t>covered entities must file a BOI Report through FinCEN’s electronic </w:t>
      </w:r>
      <w:hyperlink r:id="rId330" w:tgtFrame="_blank" w:history="1">
        <w:r w:rsidRPr="00DD7BD1">
          <w:rPr>
            <w:rStyle w:val="Hyperlink"/>
            <w:rFonts w:ascii="Calibri" w:eastAsia="Arial" w:hAnsi="Calibri" w:cs="Calibri"/>
            <w:b w:val="0"/>
            <w:bCs w:val="0"/>
            <w:sz w:val="22"/>
            <w:szCs w:val="22"/>
          </w:rPr>
          <w:t>filing system</w:t>
        </w:r>
      </w:hyperlink>
      <w:r w:rsidRPr="00DD7BD1">
        <w:rPr>
          <w:rFonts w:ascii="Calibri" w:eastAsia="Arial" w:hAnsi="Calibri" w:cs="Calibri"/>
          <w:b w:val="0"/>
          <w:bCs w:val="0"/>
          <w:sz w:val="22"/>
          <w:szCs w:val="22"/>
        </w:rPr>
        <w:t>.</w:t>
      </w:r>
    </w:p>
    <w:p w14:paraId="1AEB9CBA"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Beneficial ownership information reporting is </w:t>
      </w:r>
      <w:r w:rsidRPr="00DD7BD1">
        <w:rPr>
          <w:rFonts w:ascii="Calibri" w:eastAsia="Arial" w:hAnsi="Calibri" w:cs="Calibri"/>
          <w:b w:val="0"/>
          <w:bCs w:val="0"/>
          <w:sz w:val="22"/>
          <w:szCs w:val="22"/>
          <w:u w:val="single"/>
        </w:rPr>
        <w:t>not</w:t>
      </w:r>
      <w:r w:rsidRPr="00DD7BD1">
        <w:rPr>
          <w:rFonts w:ascii="Calibri" w:eastAsia="Arial" w:hAnsi="Calibri" w:cs="Calibri"/>
          <w:b w:val="0"/>
          <w:bCs w:val="0"/>
          <w:sz w:val="22"/>
          <w:szCs w:val="22"/>
        </w:rPr>
        <w:t xml:space="preserve"> an annual requirement. </w:t>
      </w:r>
    </w:p>
    <w:p w14:paraId="5BE839A6"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Unless a company needs to update or correct information, a report only needs to be submitted once. </w:t>
      </w:r>
    </w:p>
    <w:p w14:paraId="76F88A57"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color w:val="0000FF"/>
          <w:sz w:val="22"/>
          <w:szCs w:val="22"/>
          <w:u w:val="single"/>
        </w:rPr>
      </w:pPr>
      <w:r w:rsidRPr="00DD7BD1">
        <w:rPr>
          <w:rFonts w:ascii="Calibri" w:eastAsia="Arial" w:hAnsi="Calibri" w:cs="Calibri"/>
          <w:b w:val="0"/>
          <w:bCs w:val="0"/>
          <w:sz w:val="22"/>
          <w:szCs w:val="22"/>
        </w:rPr>
        <w:t xml:space="preserve">For details on who, when, and how to fulfill this new federal reporting requirement, please visit: </w:t>
      </w:r>
      <w:hyperlink r:id="rId331" w:history="1">
        <w:r w:rsidRPr="00DD7BD1">
          <w:rPr>
            <w:rFonts w:ascii="Calibri" w:hAnsi="Calibri" w:cs="Calibri"/>
            <w:b w:val="0"/>
            <w:bCs w:val="0"/>
            <w:color w:val="0000FF"/>
            <w:sz w:val="22"/>
            <w:szCs w:val="22"/>
            <w:u w:val="single"/>
          </w:rPr>
          <w:t>Beneficial Ownership Information Reporting | FinCEN.gov</w:t>
        </w:r>
      </w:hyperlink>
    </w:p>
    <w:p w14:paraId="1FDA9651" w14:textId="1FC55308"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r w:rsidRPr="00DD7BD1">
        <w:rPr>
          <w:rFonts w:ascii="Calibri" w:hAnsi="Calibri" w:cs="Calibri"/>
          <w:b w:val="0"/>
          <w:bCs w:val="0"/>
          <w:sz w:val="22"/>
          <w:szCs w:val="22"/>
        </w:rPr>
        <w:t>If you find that you need assistance and/or wish to have this obligation completed by a Third Party, ETC can provide employers with the contact details of a party who can assist.</w:t>
      </w:r>
    </w:p>
    <w:p w14:paraId="0DEB69FB"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p>
    <w:p w14:paraId="7B6AAA32" w14:textId="21EFC3A6"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Retirement &amp; Benefit Limits –</w:t>
      </w:r>
      <w:r w:rsidRPr="00DD7BD1">
        <w:rPr>
          <w:rFonts w:ascii="Calibri" w:hAnsi="Calibri" w:cs="Calibri"/>
          <w:color w:val="C00000"/>
          <w:sz w:val="28"/>
          <w:szCs w:val="28"/>
        </w:rPr>
        <w:t xml:space="preserve"> 2025</w:t>
      </w:r>
    </w:p>
    <w:p w14:paraId="46103EF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w:t>
      </w:r>
      <w:r w:rsidRPr="00DD7BD1">
        <w:rPr>
          <w:rFonts w:ascii="Calibri" w:hAnsi="Calibri" w:cs="Calibri"/>
          <w:color w:val="7030A0"/>
          <w:sz w:val="22"/>
          <w:szCs w:val="22"/>
          <w:u w:val="single"/>
        </w:rPr>
        <w:t>Retirement</w:t>
      </w:r>
      <w:r w:rsidRPr="00DD7BD1">
        <w:rPr>
          <w:rFonts w:ascii="Calibri" w:hAnsi="Calibri" w:cs="Calibri"/>
          <w:sz w:val="22"/>
          <w:szCs w:val="22"/>
          <w:u w:val="single"/>
        </w:rPr>
        <w:t xml:space="preserve"> Plan Maximums</w:t>
      </w:r>
    </w:p>
    <w:p w14:paraId="784B8A46"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November 1, 2024, the IRS released the 2025 limits for retirement plans and individual retirement accounts. You can find the full list of the new amounts in </w:t>
      </w:r>
      <w:hyperlink r:id="rId332" w:tgtFrame="_blank" w:history="1">
        <w:r w:rsidRPr="00DD7BD1">
          <w:rPr>
            <w:rStyle w:val="Hyperlink"/>
            <w:rFonts w:ascii="Calibri" w:hAnsi="Calibri" w:cs="Calibri"/>
            <w:b w:val="0"/>
            <w:bCs w:val="0"/>
            <w:sz w:val="22"/>
            <w:szCs w:val="22"/>
          </w:rPr>
          <w:t>IRS Notice 2024-80</w:t>
        </w:r>
      </w:hyperlink>
      <w:r w:rsidRPr="00DD7BD1">
        <w:rPr>
          <w:rFonts w:ascii="Calibri" w:hAnsi="Calibri" w:cs="Calibri"/>
          <w:b w:val="0"/>
          <w:bCs w:val="0"/>
          <w:sz w:val="22"/>
          <w:szCs w:val="22"/>
        </w:rPr>
        <w:t>.</w:t>
      </w:r>
    </w:p>
    <w:p w14:paraId="0504A0C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few of the notable changes include the following:</w:t>
      </w:r>
    </w:p>
    <w:p w14:paraId="1D97F9BC"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annual contribution limit for 401(k) plans will increase nominally to $23,500 (from $23,000)</w:t>
      </w:r>
    </w:p>
    <w:p w14:paraId="6A54712B"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annual catch-up contribution limit remains the same at $7,500 for participants age 50 and over  </w:t>
      </w:r>
    </w:p>
    <w:p w14:paraId="68F44378" w14:textId="1ADDA333" w:rsidR="00A83553"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new category of catch-up contributions, introduced by the SECURE Act 2.0, allows participants between ages 60 to 63 to contribute up to $11,250 annually </w:t>
      </w:r>
    </w:p>
    <w:p w14:paraId="749A0EE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8"/>
          <w:szCs w:val="28"/>
        </w:rPr>
        <w:t xml:space="preserve"> </w:t>
      </w:r>
    </w:p>
    <w:p w14:paraId="553A50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Annual </w:t>
      </w:r>
      <w:r w:rsidRPr="00DD7BD1">
        <w:rPr>
          <w:rFonts w:ascii="Calibri" w:hAnsi="Calibri" w:cs="Calibri"/>
          <w:color w:val="7030A0"/>
          <w:sz w:val="22"/>
          <w:szCs w:val="22"/>
          <w:u w:val="single"/>
        </w:rPr>
        <w:t>Benefit</w:t>
      </w:r>
      <w:r w:rsidRPr="00DD7BD1">
        <w:rPr>
          <w:rFonts w:ascii="Calibri" w:hAnsi="Calibri" w:cs="Calibri"/>
          <w:sz w:val="22"/>
          <w:szCs w:val="22"/>
          <w:u w:val="single"/>
        </w:rPr>
        <w:t xml:space="preserve"> Maximums</w:t>
      </w:r>
    </w:p>
    <w:p w14:paraId="3928074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IRS published the 2025 limits for several types of benefits that have maximums subject to annual change. You can find the full list of the new amounts in the </w:t>
      </w:r>
      <w:hyperlink r:id="rId333" w:tgtFrame="_blank" w:history="1">
        <w:r w:rsidRPr="00DD7BD1">
          <w:rPr>
            <w:rStyle w:val="Hyperlink"/>
            <w:rFonts w:ascii="Calibri" w:hAnsi="Calibri" w:cs="Calibri"/>
            <w:b w:val="0"/>
            <w:bCs w:val="0"/>
            <w:sz w:val="22"/>
            <w:szCs w:val="22"/>
          </w:rPr>
          <w:t>IRS Revenue Procedure 2024-40</w:t>
        </w:r>
      </w:hyperlink>
      <w:r w:rsidRPr="00DD7BD1">
        <w:rPr>
          <w:rFonts w:ascii="Calibri" w:hAnsi="Calibri" w:cs="Calibri"/>
          <w:b w:val="0"/>
          <w:bCs w:val="0"/>
          <w:sz w:val="22"/>
          <w:szCs w:val="22"/>
        </w:rPr>
        <w:t>.</w:t>
      </w:r>
    </w:p>
    <w:p w14:paraId="4FABC5B8"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most commonly asked about limits are below and are applicable to taxable years starting in 2025.</w:t>
      </w:r>
    </w:p>
    <w:p w14:paraId="0BCD1404" w14:textId="77777777" w:rsidR="00724B5B" w:rsidRPr="00DD7BD1" w:rsidRDefault="00724B5B" w:rsidP="00724B5B">
      <w:pPr>
        <w:pStyle w:val="Heading1"/>
        <w:spacing w:before="0" w:beforeAutospacing="0" w:after="0" w:afterAutospacing="0"/>
        <w:rPr>
          <w:rFonts w:ascii="Calibri" w:hAnsi="Calibri" w:cs="Calibri"/>
          <w:b w:val="0"/>
          <w:bCs w:val="0"/>
          <w:i/>
          <w:iCs/>
          <w:sz w:val="12"/>
          <w:szCs w:val="12"/>
        </w:rPr>
      </w:pPr>
    </w:p>
    <w:p w14:paraId="55858DB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Health Flexible Spending Account (HFSA)</w:t>
      </w:r>
    </w:p>
    <w:p w14:paraId="7F9A31B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HFSA contribution limit is $3,300. For HFSAs that include a carryover feature, the maximum carryover is $660.</w:t>
      </w:r>
    </w:p>
    <w:p w14:paraId="5971447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Qualified Small Employer Health Reimbursement Arrangement (QSEHRA)</w:t>
      </w:r>
    </w:p>
    <w:p w14:paraId="695B87AD"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total for all QSEHRA reimbursement and payments is $6,350 for single coverage and $12,800 for family coverage.</w:t>
      </w:r>
    </w:p>
    <w:p w14:paraId="7770F5E0"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4395802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Adoption Assistance Programs</w:t>
      </w:r>
    </w:p>
    <w:p w14:paraId="5961E95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058A1081"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Qualified Commuter Plans—Mass Transit and Parking</w:t>
      </w:r>
    </w:p>
    <w:p w14:paraId="1CA7E0F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monthly limits for both qualified parking and mass transit is $325.</w:t>
      </w:r>
    </w:p>
    <w:p w14:paraId="6F6DE467"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65E0359B" w14:textId="7C45EF06"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575749E"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For more information, see the September HR WIRE</w:t>
      </w:r>
    </w:p>
    <w:p w14:paraId="6607AE28"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4FB12FCA"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520273B3"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431D75E4"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C4079D4"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4" w:history="1">
        <w:r w:rsidRPr="00DD7BD1">
          <w:rPr>
            <w:rStyle w:val="Hyperlink"/>
            <w:rFonts w:ascii="Calibri" w:hAnsi="Calibri" w:cs="Calibri"/>
            <w:b w:val="0"/>
            <w:bCs w:val="0"/>
            <w:sz w:val="22"/>
            <w:szCs w:val="22"/>
          </w:rPr>
          <w:t>Information Reporting by Providers of Minimum Essential Coverage</w:t>
        </w:r>
      </w:hyperlink>
    </w:p>
    <w:p w14:paraId="308E973A"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5" w:anchor="top" w:history="1">
        <w:r w:rsidRPr="00DD7BD1">
          <w:rPr>
            <w:rStyle w:val="Hyperlink"/>
            <w:rFonts w:ascii="Calibri" w:hAnsi="Calibri" w:cs="Calibri"/>
            <w:b w:val="0"/>
            <w:bCs w:val="0"/>
            <w:sz w:val="22"/>
            <w:szCs w:val="22"/>
          </w:rPr>
          <w:t>Q&amp;As: Information Reporting by Health Coverage Providers (Section 6055)</w:t>
        </w:r>
      </w:hyperlink>
    </w:p>
    <w:p w14:paraId="694C6469"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6" w:history="1">
        <w:r w:rsidRPr="00DD7BD1">
          <w:rPr>
            <w:rStyle w:val="Hyperlink"/>
            <w:rFonts w:ascii="Calibri" w:hAnsi="Calibri" w:cs="Calibri"/>
            <w:b w:val="0"/>
            <w:bCs w:val="0"/>
            <w:sz w:val="22"/>
            <w:szCs w:val="22"/>
          </w:rPr>
          <w:t>Information Reporting by Applicable Large Employers</w:t>
        </w:r>
      </w:hyperlink>
    </w:p>
    <w:p w14:paraId="32B4EFE7"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7" w:history="1">
        <w:r w:rsidRPr="00DD7BD1">
          <w:rPr>
            <w:rStyle w:val="Hyperlink"/>
            <w:rFonts w:ascii="Calibri" w:hAnsi="Calibri" w:cs="Calibri"/>
            <w:b w:val="0"/>
            <w:bCs w:val="0"/>
            <w:sz w:val="22"/>
            <w:szCs w:val="22"/>
          </w:rPr>
          <w:t>Q&amp;As: Employer Information Reporting on Form 1094-C and Form 1095-C</w:t>
        </w:r>
      </w:hyperlink>
    </w:p>
    <w:p w14:paraId="62645000"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8" w:history="1">
        <w:r w:rsidRPr="00DD7BD1">
          <w:rPr>
            <w:rStyle w:val="Hyperlink"/>
            <w:rFonts w:ascii="Calibri" w:hAnsi="Calibri" w:cs="Calibri"/>
            <w:b w:val="0"/>
            <w:bCs w:val="0"/>
            <w:sz w:val="22"/>
            <w:szCs w:val="22"/>
          </w:rPr>
          <w:t>Q&amp;As: Reporting of Offers of Health Insurance Coverage by Employers (Section 6056)</w:t>
        </w:r>
      </w:hyperlink>
    </w:p>
    <w:p w14:paraId="3D5DFD19"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59C36D8A" w14:textId="77777777"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p>
    <w:p w14:paraId="394E2F95" w14:textId="4C693C95"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ACA &amp; Affordability - 2025</w:t>
      </w:r>
    </w:p>
    <w:p w14:paraId="078448EA"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39"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5AD28000"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130D2E27"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See the September HR WIRE for more information.</w:t>
      </w:r>
    </w:p>
    <w:p w14:paraId="7BB05892"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3742C10A" w14:textId="4C96B34C"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16F47AF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w:t>
      </w:r>
      <w:r w:rsidRPr="00DD7BD1">
        <w:rPr>
          <w:rFonts w:ascii="Calibri" w:hAnsi="Calibri" w:cs="Calibri"/>
          <w:b w:val="0"/>
          <w:bCs w:val="0"/>
          <w:color w:val="C00000"/>
          <w:sz w:val="22"/>
          <w:szCs w:val="22"/>
        </w:rPr>
        <w:t>December 23, 2024</w:t>
      </w:r>
      <w:r w:rsidRPr="00DD7BD1">
        <w:rPr>
          <w:rFonts w:ascii="Calibri" w:hAnsi="Calibri" w:cs="Calibri"/>
          <w:b w:val="0"/>
          <w:bCs w:val="0"/>
          <w:sz w:val="22"/>
          <w:szCs w:val="22"/>
        </w:rPr>
        <w:t xml:space="preserve">, regulated entities and their business associates must comply with stricter </w:t>
      </w:r>
      <w:hyperlink r:id="rId340"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3C1E49DF"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p>
    <w:p w14:paraId="7104B8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5D1FE02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AE630A0"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5BE42D69"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p>
    <w:p w14:paraId="5BAEF354"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1B9C3B7"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2E963A65"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544AF24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5A3D99D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08436CE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0FEC19FF" w14:textId="497C69F0" w:rsidR="00BB4530"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41"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p>
    <w:p w14:paraId="5A2CF072"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36275EDF" w14:textId="4CCFC7B3" w:rsidR="00E267B1" w:rsidRPr="00DD7BD1" w:rsidRDefault="00E267B1" w:rsidP="00E267B1">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Medicare Part D Notices Are Due Before Oct. 15, 2024</w:t>
      </w:r>
    </w:p>
    <w:p w14:paraId="1F6F6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342" w:history="1">
        <w:r w:rsidRPr="00DD7BD1">
          <w:rPr>
            <w:rStyle w:val="Hyperlink"/>
            <w:rFonts w:ascii="Calibri" w:eastAsiaTheme="minorHAnsi" w:hAnsi="Calibri" w:cs="Calibri"/>
            <w:b w:val="0"/>
            <w:bCs w:val="0"/>
            <w:sz w:val="22"/>
            <w:szCs w:val="22"/>
          </w:rPr>
          <w:t>model disclosure notices</w:t>
        </w:r>
      </w:hyperlink>
      <w:r w:rsidRPr="00DD7BD1">
        <w:rPr>
          <w:rFonts w:ascii="Calibri" w:hAnsi="Calibri" w:cs="Calibri"/>
          <w:b w:val="0"/>
          <w:bCs w:val="0"/>
          <w:color w:val="000000" w:themeColor="text1"/>
          <w:kern w:val="0"/>
          <w:sz w:val="22"/>
          <w:szCs w:val="20"/>
        </w:rPr>
        <w:t xml:space="preserve"> for employers to use.</w:t>
      </w:r>
    </w:p>
    <w:p w14:paraId="1959357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CMS has provided two model notices for employers to use:</w:t>
      </w:r>
    </w:p>
    <w:p w14:paraId="0E656E07"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43" w:history="1">
        <w:r w:rsidRPr="00DD7BD1">
          <w:rPr>
            <w:rStyle w:val="Hyperlink"/>
            <w:rFonts w:ascii="Calibri" w:hAnsi="Calibri" w:cs="Calibri"/>
            <w:b w:val="0"/>
            <w:bCs w:val="0"/>
            <w:sz w:val="22"/>
            <w:szCs w:val="22"/>
          </w:rPr>
          <w:t>Model 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creditable; and</w:t>
      </w:r>
    </w:p>
    <w:p w14:paraId="643ABAD0"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44" w:history="1">
        <w:r w:rsidRPr="00DD7BD1">
          <w:rPr>
            <w:rStyle w:val="Hyperlink"/>
            <w:rFonts w:ascii="Calibri" w:hAnsi="Calibri" w:cs="Calibri"/>
            <w:b w:val="0"/>
            <w:bCs w:val="0"/>
            <w:sz w:val="22"/>
            <w:szCs w:val="22"/>
          </w:rPr>
          <w:t>Model Non-creditable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not creditable.</w:t>
      </w:r>
    </w:p>
    <w:p w14:paraId="3C1DA736"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These model notices are also available in Spanish on CMS’ </w:t>
      </w:r>
      <w:hyperlink r:id="rId345" w:history="1">
        <w:r w:rsidRPr="00DD7BD1">
          <w:rPr>
            <w:rStyle w:val="Hyperlink"/>
            <w:rFonts w:ascii="Calibri" w:hAnsi="Calibri" w:cs="Calibri"/>
            <w:b w:val="0"/>
            <w:bCs w:val="0"/>
            <w:sz w:val="22"/>
            <w:szCs w:val="22"/>
          </w:rPr>
          <w:t>website</w:t>
        </w:r>
      </w:hyperlink>
      <w:r w:rsidRPr="00DD7BD1">
        <w:rPr>
          <w:rFonts w:ascii="Calibri" w:hAnsi="Calibri" w:cs="Calibri"/>
          <w:b w:val="0"/>
          <w:bCs w:val="0"/>
          <w:color w:val="000000" w:themeColor="text1"/>
          <w:sz w:val="22"/>
          <w:szCs w:val="22"/>
        </w:rPr>
        <w:t>.</w:t>
      </w:r>
    </w:p>
    <w:p w14:paraId="58A4A0CD"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760B359F" w14:textId="09113E21" w:rsidR="00434AFC" w:rsidRPr="00DD7BD1" w:rsidRDefault="00E267B1" w:rsidP="00636C2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p>
    <w:p w14:paraId="6BC9FC65" w14:textId="77777777" w:rsidR="00434AFC" w:rsidRPr="00DD7BD1" w:rsidRDefault="00434AFC" w:rsidP="00E267B1">
      <w:pPr>
        <w:pStyle w:val="Heading1"/>
        <w:shd w:val="clear" w:color="auto" w:fill="FFFFFF"/>
        <w:spacing w:before="0" w:beforeAutospacing="0" w:after="0" w:afterAutospacing="0"/>
        <w:jc w:val="center"/>
        <w:rPr>
          <w:rFonts w:ascii="Calibri" w:hAnsi="Calibri" w:cs="Calibri"/>
          <w:sz w:val="28"/>
          <w:szCs w:val="28"/>
        </w:rPr>
      </w:pPr>
    </w:p>
    <w:p w14:paraId="03499641" w14:textId="271500B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Voting Leave Compliance Obligations</w:t>
      </w:r>
    </w:p>
    <w:p w14:paraId="3915DD6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r w:rsidRPr="00DD7BD1">
        <w:rPr>
          <w:rFonts w:ascii="Calibri" w:hAnsi="Calibri" w:cs="Calibri"/>
          <w:color w:val="000000" w:themeColor="text1"/>
          <w:kern w:val="0"/>
          <w:sz w:val="22"/>
          <w:szCs w:val="22"/>
          <w:u w:val="single"/>
        </w:rPr>
        <w:t>Voting Leave:</w:t>
      </w:r>
    </w:p>
    <w:p w14:paraId="16DBB58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employees about their need for leave, so employers should be prepared to grant last-minute requests to leave work to vote.</w:t>
      </w:r>
    </w:p>
    <w:p w14:paraId="05D0B9B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p>
    <w:p w14:paraId="46F932D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Required Notices:</w:t>
      </w:r>
    </w:p>
    <w:p w14:paraId="611FB1A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833B5B8"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California</w:t>
      </w:r>
    </w:p>
    <w:p w14:paraId="62CF2105"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346"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and in other languages </w:t>
      </w:r>
      <w:hyperlink r:id="rId347"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F329A1A"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134EB6C2"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The District of Columbia</w:t>
      </w:r>
    </w:p>
    <w:p w14:paraId="4DC5E5C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DC requires that employers post a voting leave notice created by the DC Board of Elections (DCBOE) at least 60 days before the November 5 election—which is September 6. If you provide this notice electronically for remote employees, you need to get their acknowledgment of receipt. This election’s notice can be found in English and in other languages </w:t>
      </w:r>
      <w:hyperlink r:id="rId348"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The DCBOE has a </w:t>
      </w:r>
      <w:hyperlink r:id="rId349" w:tgtFrame="_blank" w:history="1">
        <w:r w:rsidRPr="00DD7BD1">
          <w:rPr>
            <w:rStyle w:val="Hyperlink"/>
            <w:rFonts w:ascii="Calibri" w:hAnsi="Calibri" w:cs="Calibri"/>
            <w:b w:val="0"/>
            <w:bCs w:val="0"/>
            <w:sz w:val="22"/>
            <w:szCs w:val="22"/>
          </w:rPr>
          <w:t>web page</w:t>
        </w:r>
      </w:hyperlink>
      <w:r w:rsidRPr="00DD7BD1">
        <w:rPr>
          <w:rFonts w:ascii="Calibri" w:hAnsi="Calibri" w:cs="Calibri"/>
          <w:b w:val="0"/>
          <w:bCs w:val="0"/>
          <w:color w:val="000000" w:themeColor="text1"/>
          <w:sz w:val="22"/>
          <w:szCs w:val="22"/>
        </w:rPr>
        <w:t> with additional information.</w:t>
      </w:r>
    </w:p>
    <w:p w14:paraId="3C0BD636"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D2598D4"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New York</w:t>
      </w:r>
    </w:p>
    <w:p w14:paraId="282A7EDD" w14:textId="11D27289" w:rsidR="00636C21" w:rsidRPr="00DD7BD1" w:rsidRDefault="00E267B1" w:rsidP="000C0E84">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350"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65F75A9" w14:textId="77777777" w:rsidR="00636C21" w:rsidRPr="00DD7BD1" w:rsidRDefault="00636C21" w:rsidP="00E267B1">
      <w:pPr>
        <w:pStyle w:val="Heading1"/>
        <w:shd w:val="clear" w:color="auto" w:fill="FFFFFF"/>
        <w:spacing w:before="0" w:beforeAutospacing="0" w:after="0" w:afterAutospacing="0"/>
        <w:jc w:val="center"/>
        <w:rPr>
          <w:rFonts w:ascii="Calibri" w:hAnsi="Calibri" w:cs="Calibri"/>
          <w:sz w:val="28"/>
          <w:szCs w:val="28"/>
        </w:rPr>
      </w:pPr>
    </w:p>
    <w:p w14:paraId="5E6573A6" w14:textId="0151B37D"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Navigating Election Season as an Employer</w:t>
      </w:r>
    </w:p>
    <w:p w14:paraId="75128EC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may encounter a number of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DD7BD1" w:rsidRDefault="00E267B1" w:rsidP="00E267B1">
      <w:pPr>
        <w:pStyle w:val="BodyText"/>
        <w:spacing w:after="0" w:line="240" w:lineRule="auto"/>
        <w:ind w:right="270"/>
        <w:rPr>
          <w:rFonts w:cs="Calibri"/>
          <w:color w:val="auto"/>
          <w:szCs w:val="22"/>
        </w:rPr>
      </w:pPr>
      <w:r w:rsidRPr="00DD7BD1">
        <w:rPr>
          <w:rFonts w:cs="Calibri"/>
          <w:color w:val="auto"/>
          <w:szCs w:val="22"/>
        </w:rPr>
        <w:t>Among the issues employers may want to consider in the lead-up to the election include:</w:t>
      </w:r>
    </w:p>
    <w:p w14:paraId="645E8C06"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and restrictions with respect to political speech in the workplace;</w:t>
      </w:r>
    </w:p>
    <w:p w14:paraId="1A2EAE3B"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regarding off-duty conduct, including social media use and other political activity;</w:t>
      </w:r>
    </w:p>
    <w:p w14:paraId="0BDEBE11"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Employer rights to and restrictions on political speech and activities; and</w:t>
      </w:r>
    </w:p>
    <w:p w14:paraId="7B2E413A"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voting leave rights</w:t>
      </w:r>
    </w:p>
    <w:p w14:paraId="388950F9" w14:textId="77777777" w:rsidR="00E267B1" w:rsidRPr="00DD7BD1" w:rsidRDefault="00E267B1" w:rsidP="00E267B1">
      <w:pPr>
        <w:pStyle w:val="BulletListText"/>
        <w:numPr>
          <w:ilvl w:val="0"/>
          <w:numId w:val="0"/>
        </w:numPr>
        <w:spacing w:after="0"/>
        <w:ind w:left="720" w:hanging="360"/>
        <w:contextualSpacing/>
        <w:rPr>
          <w:rFonts w:cs="Calibri"/>
          <w:color w:val="auto"/>
          <w:szCs w:val="22"/>
        </w:rPr>
      </w:pPr>
      <w:r w:rsidRPr="00DD7BD1">
        <w:rPr>
          <w:rFonts w:cs="Calibri"/>
          <w:color w:val="auto"/>
          <w:szCs w:val="22"/>
        </w:rPr>
        <w:t>See the attached, stand-alone resource which walks through each of the above considerations.</w:t>
      </w:r>
    </w:p>
    <w:p w14:paraId="06F4208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E9073C5" w14:textId="37794955"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6B6242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351" w:history="1">
        <w:r w:rsidRPr="00DD7BD1">
          <w:rPr>
            <w:rStyle w:val="Hyperlink"/>
            <w:rFonts w:ascii="Calibri" w:hAnsi="Calibri" w:cs="Calibri"/>
            <w:b w:val="0"/>
            <w:bCs w:val="0"/>
            <w:sz w:val="22"/>
            <w:szCs w:val="22"/>
          </w:rPr>
          <w:t>1094-B</w:t>
        </w:r>
      </w:hyperlink>
      <w:r w:rsidRPr="00DD7BD1">
        <w:rPr>
          <w:rFonts w:ascii="Calibri" w:hAnsi="Calibri" w:cs="Calibri"/>
          <w:b w:val="0"/>
          <w:bCs w:val="0"/>
          <w:color w:val="000000" w:themeColor="text1"/>
          <w:sz w:val="22"/>
          <w:szCs w:val="22"/>
        </w:rPr>
        <w:t xml:space="preserve"> and </w:t>
      </w:r>
      <w:hyperlink r:id="rId352" w:history="1">
        <w:r w:rsidRPr="00DD7BD1">
          <w:rPr>
            <w:rStyle w:val="Hyperlink"/>
            <w:rFonts w:ascii="Calibri" w:hAnsi="Calibri" w:cs="Calibri"/>
            <w:b w:val="0"/>
            <w:bCs w:val="0"/>
            <w:sz w:val="22"/>
            <w:szCs w:val="22"/>
          </w:rPr>
          <w:t>1095-B</w:t>
        </w:r>
      </w:hyperlink>
      <w:r w:rsidRPr="00DD7BD1">
        <w:rPr>
          <w:rFonts w:ascii="Calibri" w:hAnsi="Calibri" w:cs="Calibri"/>
          <w:b w:val="0"/>
          <w:bCs w:val="0"/>
          <w:color w:val="000000" w:themeColor="text1"/>
          <w:sz w:val="22"/>
          <w:szCs w:val="22"/>
        </w:rPr>
        <w:t xml:space="preserve"> (and related </w:t>
      </w:r>
      <w:hyperlink r:id="rId353"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354" w:history="1">
        <w:r w:rsidRPr="00DD7BD1">
          <w:rPr>
            <w:rStyle w:val="Hyperlink"/>
            <w:rFonts w:ascii="Calibri" w:hAnsi="Calibri" w:cs="Calibri"/>
            <w:b w:val="0"/>
            <w:bCs w:val="0"/>
            <w:sz w:val="22"/>
            <w:szCs w:val="22"/>
          </w:rPr>
          <w:t>1094-C</w:t>
        </w:r>
      </w:hyperlink>
      <w:r w:rsidRPr="00DD7BD1">
        <w:rPr>
          <w:rFonts w:ascii="Calibri" w:hAnsi="Calibri" w:cs="Calibri"/>
          <w:b w:val="0"/>
          <w:bCs w:val="0"/>
          <w:color w:val="000000" w:themeColor="text1"/>
          <w:sz w:val="22"/>
          <w:szCs w:val="22"/>
        </w:rPr>
        <w:t xml:space="preserve"> and </w:t>
      </w:r>
      <w:hyperlink r:id="rId355" w:history="1">
        <w:r w:rsidRPr="00DD7BD1">
          <w:rPr>
            <w:rStyle w:val="Hyperlink"/>
            <w:rFonts w:ascii="Calibri" w:hAnsi="Calibri" w:cs="Calibri"/>
            <w:b w:val="0"/>
            <w:bCs w:val="0"/>
            <w:sz w:val="22"/>
            <w:szCs w:val="22"/>
          </w:rPr>
          <w:t>1095-C</w:t>
        </w:r>
      </w:hyperlink>
      <w:r w:rsidRPr="00DD7BD1">
        <w:rPr>
          <w:rFonts w:ascii="Calibri" w:hAnsi="Calibri" w:cs="Calibri"/>
          <w:b w:val="0"/>
          <w:bCs w:val="0"/>
          <w:color w:val="000000" w:themeColor="text1"/>
          <w:sz w:val="22"/>
          <w:szCs w:val="22"/>
        </w:rPr>
        <w:t xml:space="preserve"> (and related </w:t>
      </w:r>
      <w:hyperlink r:id="rId356"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can be used by ALEs to report under Section 6056 as well as for combined Section 6055 and 6056 reporting by ALEs that sponsor self-insured plans.</w:t>
      </w:r>
    </w:p>
    <w:p w14:paraId="1DB713F9" w14:textId="4DEC2203"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rPr>
        <w:t>To date, no major changes were made to the draft forms or instructions for 2024 reporting</w:t>
      </w:r>
      <w:r w:rsidRPr="00DD7BD1">
        <w:rPr>
          <w:rFonts w:ascii="Calibri" w:hAnsi="Calibri" w:cs="Calibri"/>
          <w:b w:val="0"/>
          <w:bCs w:val="0"/>
          <w:sz w:val="22"/>
          <w:szCs w:val="22"/>
        </w:rPr>
        <w:t xml:space="preserve">. </w:t>
      </w:r>
    </w:p>
    <w:p w14:paraId="1385FF9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p>
    <w:p w14:paraId="16AC00C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Electronic Filing Requirement</w:t>
      </w:r>
    </w:p>
    <w:p w14:paraId="5FA79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54F776A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Employers should become familiar with the draft forms and instructions for 2024 calendar year reporting.. Employers should also monitor future developments for the release of the final forms and instructions.</w:t>
      </w:r>
    </w:p>
    <w:p w14:paraId="34901A7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1753543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72D2A2C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657D66A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6D8596F"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04EBAA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FF30CEB"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57" w:history="1">
        <w:r w:rsidRPr="00DD7BD1">
          <w:rPr>
            <w:rStyle w:val="Hyperlink"/>
            <w:rFonts w:ascii="Calibri" w:hAnsi="Calibri" w:cs="Calibri"/>
            <w:b w:val="0"/>
            <w:bCs w:val="0"/>
            <w:sz w:val="22"/>
            <w:szCs w:val="22"/>
          </w:rPr>
          <w:t>Information Reporting by Providers of Minimum Essential Coverage</w:t>
        </w:r>
      </w:hyperlink>
    </w:p>
    <w:p w14:paraId="0A43857E"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58" w:anchor="top" w:history="1">
        <w:r w:rsidRPr="00DD7BD1">
          <w:rPr>
            <w:rStyle w:val="Hyperlink"/>
            <w:rFonts w:ascii="Calibri" w:hAnsi="Calibri" w:cs="Calibri"/>
            <w:b w:val="0"/>
            <w:bCs w:val="0"/>
            <w:sz w:val="22"/>
            <w:szCs w:val="22"/>
          </w:rPr>
          <w:t>Q&amp;As: Information Reporting by Health Coverage Providers (Section 6055)</w:t>
        </w:r>
      </w:hyperlink>
    </w:p>
    <w:p w14:paraId="5B64D863"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59" w:history="1">
        <w:r w:rsidRPr="00DD7BD1">
          <w:rPr>
            <w:rStyle w:val="Hyperlink"/>
            <w:rFonts w:ascii="Calibri" w:hAnsi="Calibri" w:cs="Calibri"/>
            <w:b w:val="0"/>
            <w:bCs w:val="0"/>
            <w:sz w:val="22"/>
            <w:szCs w:val="22"/>
          </w:rPr>
          <w:t>Information Reporting by Applicable Large Employers</w:t>
        </w:r>
      </w:hyperlink>
    </w:p>
    <w:p w14:paraId="46CE2ED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60" w:history="1">
        <w:r w:rsidRPr="00DD7BD1">
          <w:rPr>
            <w:rStyle w:val="Hyperlink"/>
            <w:rFonts w:ascii="Calibri" w:hAnsi="Calibri" w:cs="Calibri"/>
            <w:b w:val="0"/>
            <w:bCs w:val="0"/>
            <w:sz w:val="22"/>
            <w:szCs w:val="22"/>
          </w:rPr>
          <w:t>Q&amp;As: Employer Information Reporting on Form 1094-C and Form 1095-C</w:t>
        </w:r>
      </w:hyperlink>
    </w:p>
    <w:p w14:paraId="6EE80F5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61" w:history="1">
        <w:r w:rsidRPr="00DD7BD1">
          <w:rPr>
            <w:rStyle w:val="Hyperlink"/>
            <w:rFonts w:ascii="Calibri" w:hAnsi="Calibri" w:cs="Calibri"/>
            <w:b w:val="0"/>
            <w:bCs w:val="0"/>
            <w:sz w:val="22"/>
            <w:szCs w:val="22"/>
          </w:rPr>
          <w:t>Q&amp;As: Reporting of Offers of Health Insurance Coverage by Employers (Section 6056)</w:t>
        </w:r>
      </w:hyperlink>
    </w:p>
    <w:p w14:paraId="57A1C55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741C65C1"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36C4A530"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2F4911F6" w14:textId="400FBCA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2025 ACA &amp; Affordability</w:t>
      </w:r>
    </w:p>
    <w:p w14:paraId="2142E9D4"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62"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DD7BD1" w:rsidRDefault="00E267B1" w:rsidP="00E267B1">
      <w:pPr>
        <w:pStyle w:val="Heading1"/>
        <w:spacing w:after="0"/>
        <w:jc w:val="center"/>
        <w:rPr>
          <w:rFonts w:ascii="Calibri" w:hAnsi="Calibri" w:cs="Calibri"/>
          <w:b w:val="0"/>
          <w:bCs w:val="0"/>
          <w:sz w:val="22"/>
          <w:szCs w:val="22"/>
        </w:rPr>
      </w:pPr>
      <w:r w:rsidRPr="00DD7BD1">
        <w:rPr>
          <w:rFonts w:ascii="Calibri" w:hAnsi="Calibri" w:cs="Calibri"/>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363"/>
                    <a:stretch>
                      <a:fillRect/>
                    </a:stretch>
                  </pic:blipFill>
                  <pic:spPr>
                    <a:xfrm>
                      <a:off x="0" y="0"/>
                      <a:ext cx="3501452" cy="3653218"/>
                    </a:xfrm>
                    <a:prstGeom prst="rect">
                      <a:avLst/>
                    </a:prstGeom>
                  </pic:spPr>
                </pic:pic>
              </a:graphicData>
            </a:graphic>
          </wp:inline>
        </w:drawing>
      </w:r>
    </w:p>
    <w:p w14:paraId="2E1E6A2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Takeaways:</w:t>
      </w:r>
    </w:p>
    <w:p w14:paraId="5FDA59BD"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rPr>
        <w:t>​</w:t>
      </w:r>
      <w:r w:rsidRPr="00DD7BD1">
        <w:rPr>
          <w:rFonts w:ascii="Calibri" w:hAnsi="Calibri" w:cs="Calibri"/>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such, Applicable Large Employers should do the following in preparation for 2025:</w:t>
      </w:r>
    </w:p>
    <w:p w14:paraId="7698F0F0"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​Familiarize themselves with the updated, increased affordability percentage for plan years beginning in 2025.</w:t>
      </w:r>
    </w:p>
    <w:p w14:paraId="646030FB"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​Be prepared to file forms 1094-C and 1095-C with the IRS electronically in 2025</w:t>
      </w:r>
    </w:p>
    <w:p w14:paraId="1D3C2044"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B0827FA" w14:textId="37F0B13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DOL Issues “AI &amp; Inclusive Hiring Framework”</w:t>
      </w:r>
    </w:p>
    <w:p w14:paraId="12F277B1"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September 24, 2024, the U.S. Department of Labor (DOL) </w:t>
      </w:r>
      <w:hyperlink r:id="rId364" w:tgtFrame="_blank" w:history="1">
        <w:r w:rsidRPr="00DD7BD1">
          <w:rPr>
            <w:rStyle w:val="Hyperlink"/>
            <w:rFonts w:ascii="Calibri" w:hAnsi="Calibri" w:cs="Calibri"/>
            <w:b w:val="0"/>
            <w:bCs w:val="0"/>
            <w:sz w:val="22"/>
            <w:szCs w:val="22"/>
          </w:rPr>
          <w:t>announced </w:t>
        </w:r>
      </w:hyperlink>
      <w:r w:rsidRPr="00DD7BD1">
        <w:rPr>
          <w:rFonts w:ascii="Calibri" w:hAnsi="Calibri" w:cs="Calibri"/>
          <w:b w:val="0"/>
          <w:bCs w:val="0"/>
          <w:sz w:val="22"/>
          <w:szCs w:val="22"/>
        </w:rPr>
        <w:t>publication of its “</w:t>
      </w:r>
      <w:hyperlink r:id="rId365" w:tgtFrame="_blank" w:history="1">
        <w:r w:rsidRPr="00DD7BD1">
          <w:rPr>
            <w:rStyle w:val="Hyperlink"/>
            <w:rFonts w:ascii="Calibri" w:hAnsi="Calibri" w:cs="Calibri"/>
            <w:b w:val="0"/>
            <w:bCs w:val="0"/>
            <w:sz w:val="22"/>
            <w:szCs w:val="22"/>
          </w:rPr>
          <w:t>AI &amp; Inclusive Hiring Framework</w:t>
        </w:r>
      </w:hyperlink>
      <w:r w:rsidRPr="00DD7BD1">
        <w:rPr>
          <w:rFonts w:ascii="Calibri" w:hAnsi="Calibri" w:cs="Calibri"/>
          <w:b w:val="0"/>
          <w:bCs w:val="0"/>
          <w:sz w:val="22"/>
          <w:szCs w:val="22"/>
        </w:rPr>
        <w:t>” website, described as “a new tool designed to support the inclusive use of artificial intelligence in employers’ hiring technology and increase benefits to disabled job seekers.” Previously, DOL released </w:t>
      </w:r>
      <w:hyperlink r:id="rId366" w:tgtFrame="_blank" w:history="1">
        <w:r w:rsidRPr="00DD7BD1">
          <w:rPr>
            <w:rStyle w:val="Hyperlink"/>
            <w:rFonts w:ascii="Calibri" w:hAnsi="Calibri" w:cs="Calibri"/>
            <w:b w:val="0"/>
            <w:bCs w:val="0"/>
            <w:sz w:val="22"/>
            <w:szCs w:val="22"/>
          </w:rPr>
          <w:t>AI Principles</w:t>
        </w:r>
      </w:hyperlink>
      <w:r w:rsidRPr="00DD7BD1">
        <w:rPr>
          <w:rFonts w:ascii="Calibri" w:hAnsi="Calibri" w:cs="Calibri"/>
          <w:b w:val="0"/>
          <w:bCs w:val="0"/>
          <w:sz w:val="22"/>
          <w:szCs w:val="22"/>
        </w:rPr>
        <w:t>, with guidance for employers and AI developers about designing and implementing AI systems in the workplace. DOL issued these AI Principles at the direction of President Biden’s </w:t>
      </w:r>
      <w:hyperlink r:id="rId367" w:tgtFrame="_blank" w:history="1">
        <w:r w:rsidRPr="00DD7BD1">
          <w:rPr>
            <w:rStyle w:val="Hyperlink"/>
            <w:rFonts w:ascii="Calibri" w:hAnsi="Calibri" w:cs="Calibri"/>
            <w:b w:val="0"/>
            <w:bCs w:val="0"/>
            <w:sz w:val="22"/>
            <w:szCs w:val="22"/>
          </w:rPr>
          <w:t>Executive Order on the Safe, Secure, and Trustworthy Development and Use of Artificial Intelligence</w:t>
        </w:r>
      </w:hyperlink>
      <w:r w:rsidRPr="00DD7BD1">
        <w:rPr>
          <w:rFonts w:ascii="Calibri" w:hAnsi="Calibri" w:cs="Calibri"/>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Within the AI Framework website, however, PEAT attempts to provide employers with resources to consider when implementing AI systems.</w:t>
      </w:r>
    </w:p>
    <w:p w14:paraId="77067D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F041327" w14:textId="77777777" w:rsidR="00E267B1" w:rsidRPr="00DD7BD1" w:rsidRDefault="00E267B1" w:rsidP="00E267B1">
      <w:pPr>
        <w:pStyle w:val="Heading1"/>
        <w:spacing w:before="0" w:beforeAutospacing="0" w:after="0" w:afterAutospacing="0"/>
        <w:jc w:val="both"/>
        <w:rPr>
          <w:rFonts w:ascii="Calibri" w:hAnsi="Calibri" w:cs="Calibri"/>
          <w:sz w:val="22"/>
          <w:szCs w:val="22"/>
        </w:rPr>
      </w:pPr>
      <w:r w:rsidRPr="00DD7BD1">
        <w:rPr>
          <w:rFonts w:ascii="Calibri" w:hAnsi="Calibri" w:cs="Calibri"/>
          <w:sz w:val="22"/>
          <w:szCs w:val="22"/>
          <w:highlight w:val="lightGray"/>
        </w:rPr>
        <w:t>Employers Takeaways:</w:t>
      </w:r>
      <w:r w:rsidRPr="00DD7BD1">
        <w:rPr>
          <w:rFonts w:ascii="Calibri" w:hAnsi="Calibri" w:cs="Calibri"/>
          <w:sz w:val="22"/>
          <w:szCs w:val="22"/>
        </w:rPr>
        <w:t xml:space="preserve"> </w:t>
      </w:r>
      <w:r w:rsidRPr="00DD7BD1">
        <w:rPr>
          <w:rFonts w:ascii="Calibri" w:hAnsi="Calibri" w:cs="Calibri"/>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735D924A" w14:textId="54A0CD4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67C20D74"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December 23, 2024, regulated entities and their business associates must comply with stricter </w:t>
      </w:r>
      <w:hyperlink r:id="rId368"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1A8AFCA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610A45AA"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21F65CB"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6991112F"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7D4D1C4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241BDD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7F1C7482"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1AEA12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new privacy protections impact:</w:t>
      </w:r>
    </w:p>
    <w:p w14:paraId="23692DCF"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 with self-insured health plans</w:t>
      </w:r>
      <w:r w:rsidRPr="00DD7BD1">
        <w:rPr>
          <w:rFonts w:ascii="Calibri" w:hAnsi="Calibri" w:cs="Calibri"/>
          <w:b w:val="0"/>
          <w:bCs w:val="0"/>
          <w:sz w:val="22"/>
          <w:szCs w:val="22"/>
        </w:rPr>
        <w:t>; and</w:t>
      </w:r>
    </w:p>
    <w:p w14:paraId="150F3379"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w:t>
      </w:r>
      <w:r w:rsidRPr="00DD7BD1">
        <w:rPr>
          <w:rFonts w:ascii="Calibri" w:hAnsi="Calibri" w:cs="Calibri"/>
          <w:b w:val="0"/>
          <w:bCs w:val="0"/>
          <w:sz w:val="22"/>
          <w:szCs w:val="22"/>
        </w:rPr>
        <w:t xml:space="preserve"> with fully insured health plans that have </w:t>
      </w:r>
      <w:r w:rsidRPr="00DD7BD1">
        <w:rPr>
          <w:rFonts w:ascii="Calibri" w:hAnsi="Calibri" w:cs="Calibri"/>
          <w:sz w:val="22"/>
          <w:szCs w:val="22"/>
        </w:rPr>
        <w:t>access to PHI (other than enrollment information, summary health information and information released pursuant to a HIPAA authorization) from their issuers</w:t>
      </w:r>
      <w:r w:rsidRPr="00DD7BD1">
        <w:rPr>
          <w:rFonts w:ascii="Calibri" w:hAnsi="Calibri" w:cs="Calibri"/>
          <w:b w:val="0"/>
          <w:bCs w:val="0"/>
          <w:sz w:val="22"/>
          <w:szCs w:val="22"/>
        </w:rPr>
        <w:t xml:space="preserve">. </w:t>
      </w:r>
    </w:p>
    <w:p w14:paraId="03366833"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59482BB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40C103DD" w14:textId="77777777" w:rsidR="00E267B1" w:rsidRPr="00DD7BD1" w:rsidRDefault="00E267B1" w:rsidP="00E267B1">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605CFB8C" w14:textId="24F940CE"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69"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r w:rsidRPr="00DD7BD1">
        <w:rPr>
          <w:rFonts w:ascii="Calibri" w:hAnsi="Calibri" w:cs="Calibri"/>
          <w:sz w:val="22"/>
          <w:szCs w:val="22"/>
        </w:rPr>
        <w:t>Health plans</w:t>
      </w:r>
      <w:r w:rsidRPr="00DD7BD1">
        <w:rPr>
          <w:rFonts w:ascii="Calibri" w:hAnsi="Calibri" w:cs="Calibri"/>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1125459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86AB8C5" w14:textId="436F6EC4"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213F34EF"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ETC will continue to monitor as HHS is likely to publish Model HIPAA Notice of Privacy Practice (NPPs) inclusive of references to the regulatory changes.</w:t>
      </w:r>
    </w:p>
    <w:p w14:paraId="10DE86B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3E32F23" w14:textId="02E5C2D1"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EBSA Releases Updated Cybersecurity Guidance for Employee Benefit Plans</w:t>
      </w:r>
    </w:p>
    <w:p w14:paraId="7D9439F0" w14:textId="77777777" w:rsidR="00E267B1" w:rsidRPr="00DD7BD1" w:rsidRDefault="00E267B1" w:rsidP="00E267B1">
      <w:pPr>
        <w:pStyle w:val="Highlight"/>
        <w:spacing w:after="0" w:line="240" w:lineRule="auto"/>
        <w:rPr>
          <w:rFonts w:ascii="Calibri" w:hAnsi="Calibri" w:cs="Calibri"/>
        </w:rPr>
      </w:pPr>
      <w:r w:rsidRPr="00DD7BD1">
        <w:rPr>
          <w:rFonts w:ascii="Calibri" w:hAnsi="Calibri" w:cs="Calibri"/>
        </w:rPr>
        <w:t xml:space="preserve">Plan fiduciaries (Employers) of ERISA-covered </w:t>
      </w:r>
      <w:r w:rsidRPr="00DD7BD1">
        <w:rPr>
          <w:rFonts w:ascii="Calibri" w:hAnsi="Calibri" w:cs="Calibri"/>
          <w:i/>
          <w:iCs/>
        </w:rPr>
        <w:t>pension and health and welfare plans</w:t>
      </w:r>
      <w:r w:rsidRPr="00DD7BD1">
        <w:rPr>
          <w:rFonts w:ascii="Calibri" w:hAnsi="Calibri" w:cs="Calibri"/>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DD7BD1" w:rsidRDefault="00E267B1" w:rsidP="00E267B1">
      <w:pPr>
        <w:pStyle w:val="Highlight"/>
        <w:spacing w:after="0" w:line="240" w:lineRule="auto"/>
        <w:rPr>
          <w:rFonts w:ascii="Calibri" w:hAnsi="Calibri" w:cs="Calibri"/>
        </w:rPr>
      </w:pPr>
    </w:p>
    <w:p w14:paraId="1364EC0D" w14:textId="1C0B91D1"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The Compliance Release, </w:t>
      </w:r>
      <w:hyperlink r:id="rId370" w:history="1">
        <w:r w:rsidRPr="00DD7BD1">
          <w:rPr>
            <w:rStyle w:val="Hyperlink"/>
            <w:rFonts w:ascii="Calibri" w:hAnsi="Calibri" w:cs="Calibri"/>
          </w:rPr>
          <w:t>Compliance Assistance Release No. 2024-01</w:t>
        </w:r>
      </w:hyperlink>
      <w:r w:rsidRPr="00DD7BD1">
        <w:rPr>
          <w:rFonts w:ascii="Calibri" w:hAnsi="Calibri" w:cs="Calibri"/>
        </w:rPr>
        <w:t xml:space="preserve">, issued by DOL Employee Benefits Security Administration (EBSA),  clarifies that the cybersecurity guidance </w:t>
      </w:r>
      <w:r w:rsidRPr="00DD7BD1">
        <w:rPr>
          <w:rFonts w:ascii="Calibri" w:hAnsi="Calibri" w:cs="Calibri"/>
          <w:b/>
          <w:bCs/>
        </w:rPr>
        <w:t>applies to all types of plans covered by the Employee Retirement Income Security Act of 1974 (ERISA), including health and welfare plans and all employee pension benefit plans</w:t>
      </w:r>
      <w:r w:rsidRPr="00DD7BD1">
        <w:rPr>
          <w:rFonts w:ascii="Calibri" w:hAnsi="Calibri" w:cs="Calibri"/>
        </w:rPr>
        <w:t xml:space="preserve">. </w:t>
      </w:r>
    </w:p>
    <w:p w14:paraId="21C05A4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EBSA is providing the following updated guidance:</w:t>
      </w:r>
    </w:p>
    <w:p w14:paraId="6B535DE8" w14:textId="77777777" w:rsidR="00E267B1" w:rsidRPr="00DD7BD1" w:rsidRDefault="00E267B1" w:rsidP="00E267B1">
      <w:pPr>
        <w:pStyle w:val="NList1"/>
        <w:spacing w:before="0" w:after="0" w:line="240" w:lineRule="auto"/>
        <w:rPr>
          <w:rFonts w:ascii="Calibri" w:hAnsi="Calibri" w:cs="Calibri"/>
          <w:lang w:val="en-US"/>
        </w:rPr>
      </w:pPr>
      <w:hyperlink r:id="rId371" w:history="1">
        <w:r w:rsidRPr="00DD7BD1">
          <w:rPr>
            <w:rStyle w:val="Hyperlink"/>
            <w:rFonts w:ascii="Calibri" w:hAnsi="Calibri" w:cs="Calibri"/>
            <w:b/>
            <w:bCs/>
            <w:lang w:val="en-US"/>
          </w:rPr>
          <w:t>Tips for Hiring a Service Provider</w:t>
        </w:r>
      </w:hyperlink>
      <w:r w:rsidRPr="00DD7BD1">
        <w:rPr>
          <w:rFonts w:ascii="Calibri" w:hAnsi="Calibri" w:cs="Calibri"/>
          <w:lang w:val="en-US"/>
        </w:rPr>
        <w:t>: This guidance helps plan sponsors and fiduciaries prudently select a service provider with strong cybersecurity practices and monitor their activities, as required by ERISA.</w:t>
      </w:r>
    </w:p>
    <w:p w14:paraId="78467581" w14:textId="77777777" w:rsidR="00E267B1" w:rsidRPr="00DD7BD1" w:rsidRDefault="00E267B1" w:rsidP="00E267B1">
      <w:pPr>
        <w:pStyle w:val="NList1"/>
        <w:numPr>
          <w:ilvl w:val="0"/>
          <w:numId w:val="0"/>
        </w:numPr>
        <w:spacing w:before="0" w:after="0" w:line="240" w:lineRule="auto"/>
        <w:ind w:left="720"/>
        <w:rPr>
          <w:rFonts w:ascii="Calibri" w:hAnsi="Calibri" w:cs="Calibri"/>
          <w:lang w:val="en-US"/>
        </w:rPr>
      </w:pPr>
    </w:p>
    <w:p w14:paraId="4216C92E" w14:textId="77777777" w:rsidR="00E267B1" w:rsidRPr="00DD7BD1" w:rsidRDefault="00E267B1" w:rsidP="00E267B1">
      <w:pPr>
        <w:pStyle w:val="NList1"/>
        <w:spacing w:before="0" w:after="0" w:line="240" w:lineRule="auto"/>
        <w:rPr>
          <w:rFonts w:ascii="Calibri" w:hAnsi="Calibri" w:cs="Calibri"/>
          <w:lang w:val="en-US"/>
        </w:rPr>
      </w:pPr>
      <w:hyperlink r:id="rId372" w:history="1">
        <w:r w:rsidRPr="00DD7BD1">
          <w:rPr>
            <w:rStyle w:val="Hyperlink"/>
            <w:rFonts w:ascii="Calibri" w:hAnsi="Calibri" w:cs="Calibri"/>
            <w:b/>
            <w:bCs/>
            <w:lang w:val="en-US"/>
          </w:rPr>
          <w:t>Cybersecurity Program Best Practices</w:t>
        </w:r>
      </w:hyperlink>
      <w:r w:rsidRPr="00DD7BD1">
        <w:rPr>
          <w:rFonts w:ascii="Calibri" w:hAnsi="Calibri" w:cs="Calibri"/>
          <w:lang w:val="en-US"/>
        </w:rPr>
        <w:t>: This guidance assists plan fiduciaries and recordkeepers in their responsibilities to manage cybersecurity risks.</w:t>
      </w:r>
    </w:p>
    <w:p w14:paraId="7F30B22A" w14:textId="77777777" w:rsidR="00E267B1" w:rsidRPr="00DD7BD1" w:rsidRDefault="00E267B1" w:rsidP="00E267B1">
      <w:pPr>
        <w:pStyle w:val="NList1"/>
        <w:numPr>
          <w:ilvl w:val="0"/>
          <w:numId w:val="0"/>
        </w:numPr>
        <w:spacing w:before="0" w:after="0" w:line="240" w:lineRule="auto"/>
        <w:rPr>
          <w:rFonts w:ascii="Calibri" w:hAnsi="Calibri" w:cs="Calibri"/>
          <w:lang w:val="en-US"/>
        </w:rPr>
      </w:pPr>
    </w:p>
    <w:p w14:paraId="6AE03918" w14:textId="532DB87E" w:rsidR="00E267B1" w:rsidRPr="00DD7BD1" w:rsidRDefault="00E267B1" w:rsidP="00E267B1">
      <w:pPr>
        <w:pStyle w:val="NList1"/>
        <w:spacing w:before="0" w:after="0" w:line="240" w:lineRule="auto"/>
        <w:rPr>
          <w:rFonts w:ascii="Calibri" w:hAnsi="Calibri" w:cs="Calibri"/>
          <w:lang w:val="en-US"/>
        </w:rPr>
      </w:pPr>
      <w:hyperlink r:id="rId373" w:history="1">
        <w:r w:rsidRPr="00DD7BD1">
          <w:rPr>
            <w:rStyle w:val="Hyperlink"/>
            <w:rFonts w:ascii="Calibri" w:hAnsi="Calibri" w:cs="Calibri"/>
            <w:b/>
            <w:bCs/>
            <w:lang w:val="en-US"/>
          </w:rPr>
          <w:t>Online Security Tips</w:t>
        </w:r>
      </w:hyperlink>
      <w:r w:rsidRPr="00DD7BD1">
        <w:rPr>
          <w:rFonts w:ascii="Calibri" w:hAnsi="Calibri" w:cs="Calibri"/>
          <w:lang w:val="en-US"/>
        </w:rPr>
        <w:t>: This guidance offers plan participants and beneficiaries who check their retirement accounts or other employee benefit information online basic rules to reduce the risk of fraud and loss.</w:t>
      </w:r>
    </w:p>
    <w:p w14:paraId="7141699F" w14:textId="77777777" w:rsidR="009D5684" w:rsidRPr="00DD7BD1" w:rsidRDefault="009D5684" w:rsidP="00E267B1">
      <w:pPr>
        <w:pStyle w:val="ColorSubheading"/>
        <w:rPr>
          <w:rFonts w:ascii="Calibri" w:hAnsi="Calibri" w:cs="Calibri"/>
          <w:sz w:val="22"/>
          <w:szCs w:val="22"/>
        </w:rPr>
      </w:pPr>
    </w:p>
    <w:p w14:paraId="36FB460E" w14:textId="24948866"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Additional Resources</w:t>
      </w:r>
    </w:p>
    <w:p w14:paraId="60BB562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The U.S. Department of Health and Human Services also offers publications that may help health plans and their service providers maintain good cybersecurity practices, as follows:</w:t>
      </w:r>
    </w:p>
    <w:p w14:paraId="0DE44865" w14:textId="77777777" w:rsidR="00E267B1" w:rsidRPr="00DD7BD1" w:rsidRDefault="00E267B1" w:rsidP="00E267B1">
      <w:pPr>
        <w:pStyle w:val="BList1"/>
        <w:spacing w:before="0" w:after="0" w:line="240" w:lineRule="auto"/>
        <w:rPr>
          <w:rFonts w:ascii="Calibri" w:hAnsi="Calibri" w:cs="Calibri"/>
        </w:rPr>
      </w:pPr>
      <w:hyperlink r:id="rId374" w:history="1">
        <w:r w:rsidRPr="00DD7BD1">
          <w:rPr>
            <w:rStyle w:val="Hyperlink"/>
            <w:rFonts w:ascii="Calibri" w:hAnsi="Calibri" w:cs="Calibri"/>
          </w:rPr>
          <w:t>Health Industry Cybersecurity Practices: Managing Threats and Protecting Patients</w:t>
        </w:r>
      </w:hyperlink>
    </w:p>
    <w:p w14:paraId="09BA0FB4" w14:textId="77777777" w:rsidR="00E267B1" w:rsidRPr="00DD7BD1" w:rsidRDefault="00E267B1" w:rsidP="00E267B1">
      <w:pPr>
        <w:pStyle w:val="BList1"/>
        <w:spacing w:before="0" w:after="0" w:line="240" w:lineRule="auto"/>
        <w:rPr>
          <w:rFonts w:ascii="Calibri" w:hAnsi="Calibri" w:cs="Calibri"/>
        </w:rPr>
      </w:pPr>
      <w:hyperlink r:id="rId375" w:history="1">
        <w:r w:rsidRPr="00DD7BD1">
          <w:rPr>
            <w:rStyle w:val="Hyperlink"/>
            <w:rFonts w:ascii="Calibri" w:hAnsi="Calibri" w:cs="Calibri"/>
          </w:rPr>
          <w:t>Technical Volume 1: Cybersecurity Practices for Small Healthcare Organizations</w:t>
        </w:r>
      </w:hyperlink>
    </w:p>
    <w:p w14:paraId="41F92B08" w14:textId="77777777" w:rsidR="00E267B1" w:rsidRPr="00DD7BD1" w:rsidRDefault="00E267B1" w:rsidP="00E267B1">
      <w:pPr>
        <w:pStyle w:val="BList1"/>
        <w:spacing w:before="0" w:after="0" w:line="240" w:lineRule="auto"/>
        <w:rPr>
          <w:rFonts w:ascii="Calibri" w:hAnsi="Calibri" w:cs="Calibri"/>
        </w:rPr>
      </w:pPr>
      <w:hyperlink r:id="rId376" w:history="1">
        <w:r w:rsidRPr="00DD7BD1">
          <w:rPr>
            <w:rStyle w:val="Hyperlink"/>
            <w:rFonts w:ascii="Calibri" w:hAnsi="Calibri" w:cs="Calibri"/>
          </w:rPr>
          <w:t>Technical Volume 2: Cybersecurity Practices for Medium and Large Healthcare Organizations</w:t>
        </w:r>
      </w:hyperlink>
      <w:r w:rsidRPr="00DD7BD1">
        <w:rPr>
          <w:rFonts w:ascii="Calibri" w:hAnsi="Calibri" w:cs="Calibri"/>
        </w:rPr>
        <w:t xml:space="preserve"> </w:t>
      </w:r>
    </w:p>
    <w:p w14:paraId="0EF4A60E" w14:textId="77777777" w:rsidR="00E267B1" w:rsidRPr="00DD7BD1" w:rsidRDefault="00E267B1" w:rsidP="00E267B1">
      <w:pPr>
        <w:pStyle w:val="ParagraphBasic"/>
        <w:spacing w:after="0" w:line="240" w:lineRule="auto"/>
        <w:rPr>
          <w:rFonts w:ascii="Calibri" w:eastAsia="Times New Roman" w:hAnsi="Calibri" w:cs="Calibri"/>
          <w:b/>
          <w:bCs/>
          <w:kern w:val="36"/>
          <w:sz w:val="28"/>
          <w:szCs w:val="28"/>
        </w:rPr>
      </w:pPr>
    </w:p>
    <w:p w14:paraId="5A9319E3" w14:textId="37F4A938"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5th Circuit Upholds DOL’s Authority to Set Minimum Salary Requirement for White-collar FLSA Exemptions</w:t>
      </w:r>
    </w:p>
    <w:p w14:paraId="5854F92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If you have been following current federal cases potentially impacting employers, On Sept. 11, 2024, in </w:t>
      </w:r>
      <w:r w:rsidRPr="00DD7BD1">
        <w:rPr>
          <w:rFonts w:ascii="Calibri" w:hAnsi="Calibri" w:cs="Calibri"/>
          <w:b w:val="0"/>
          <w:bCs w:val="0"/>
          <w:i/>
          <w:iCs/>
          <w:sz w:val="22"/>
          <w:szCs w:val="22"/>
        </w:rPr>
        <w:t>Mayfield v. U.S. Department of Labor</w:t>
      </w:r>
      <w:r w:rsidRPr="00DD7BD1">
        <w:rPr>
          <w:rFonts w:ascii="Calibri" w:hAnsi="Calibri" w:cs="Calibri"/>
          <w:b w:val="0"/>
          <w:bCs w:val="0"/>
          <w:sz w:val="22"/>
          <w:szCs w:val="22"/>
        </w:rPr>
        <w:t xml:space="preserve">, the U.S. Court of Appeals for the 5th Circuit </w:t>
      </w:r>
      <w:hyperlink r:id="rId377" w:history="1">
        <w:r w:rsidRPr="00DD7BD1">
          <w:rPr>
            <w:rStyle w:val="Hyperlink"/>
            <w:rFonts w:ascii="Calibri" w:hAnsi="Calibri" w:cs="Calibri"/>
            <w:b w:val="0"/>
            <w:bCs w:val="0"/>
            <w:sz w:val="22"/>
            <w:szCs w:val="22"/>
          </w:rPr>
          <w:t>held</w:t>
        </w:r>
      </w:hyperlink>
      <w:r w:rsidRPr="00DD7BD1">
        <w:rPr>
          <w:rFonts w:ascii="Calibri" w:hAnsi="Calibri" w:cs="Calibri"/>
          <w:b w:val="0"/>
          <w:bCs w:val="0"/>
          <w:sz w:val="22"/>
          <w:szCs w:val="22"/>
        </w:rPr>
        <w:t xml:space="preserve"> that the U.S. Department of Labor’s (DOL) </w:t>
      </w:r>
      <w:r w:rsidRPr="00DD7BD1">
        <w:rPr>
          <w:rFonts w:ascii="Calibri" w:hAnsi="Calibri" w:cs="Calibri"/>
          <w:sz w:val="22"/>
          <w:szCs w:val="22"/>
        </w:rPr>
        <w:t xml:space="preserve">has </w:t>
      </w:r>
      <w:r w:rsidRPr="00DD7BD1">
        <w:rPr>
          <w:rFonts w:ascii="Calibri" w:hAnsi="Calibri" w:cs="Calibri"/>
          <w:b w:val="0"/>
          <w:bCs w:val="0"/>
          <w:sz w:val="22"/>
          <w:szCs w:val="22"/>
        </w:rPr>
        <w:t>the authority to define and delimit the terms of the executive, administrative and professional (EAP) exemptions including the power to set a minimum salary for exemption under the Fair Labor Standards Act (FLSA).</w:t>
      </w:r>
    </w:p>
    <w:p w14:paraId="4EE6FE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ECE6E9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w:t>
      </w:r>
      <w:r w:rsidRPr="00DD7BD1">
        <w:rPr>
          <w:rFonts w:ascii="Calibri" w:hAnsi="Calibri" w:cs="Calibri"/>
          <w:b w:val="0"/>
          <w:bCs w:val="0"/>
          <w:i/>
          <w:iCs/>
          <w:sz w:val="22"/>
          <w:szCs w:val="22"/>
        </w:rPr>
        <w:t>Mayfield</w:t>
      </w:r>
      <w:r w:rsidRPr="00DD7BD1">
        <w:rPr>
          <w:rFonts w:ascii="Calibri" w:hAnsi="Calibri" w:cs="Calibri"/>
          <w:b w:val="0"/>
          <w:bCs w:val="0"/>
          <w:sz w:val="22"/>
          <w:szCs w:val="22"/>
        </w:rPr>
        <w:t>, the plaintiff, a small business owner, challenged the DOL’s 2019 final rule, arguing that the agency lacks the authority to define the FLSA executive, administrative and professional (EAP) exemptions  in terms of salary level.</w:t>
      </w:r>
    </w:p>
    <w:p w14:paraId="20755BF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42DADEEB" w14:textId="4CB0DBFF"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Decision Impact:</w:t>
      </w:r>
      <w:r w:rsidRPr="00DD7BD1">
        <w:rPr>
          <w:rFonts w:ascii="Calibri" w:hAnsi="Calibri" w:cs="Calibri"/>
          <w:b w:val="0"/>
          <w:bCs w:val="0"/>
          <w:sz w:val="22"/>
          <w:szCs w:val="22"/>
        </w:rPr>
        <w:t xml:space="preserve"> The 5th Circuit’s ruling is significant, as it provides support for the DOL’s authority to implement its </w:t>
      </w:r>
      <w:hyperlink r:id="rId378" w:history="1">
        <w:r w:rsidRPr="00DD7BD1">
          <w:rPr>
            <w:rStyle w:val="Hyperlink"/>
            <w:rFonts w:ascii="Calibri" w:hAnsi="Calibri" w:cs="Calibri"/>
            <w:b w:val="0"/>
            <w:bCs w:val="0"/>
            <w:sz w:val="22"/>
            <w:szCs w:val="22"/>
          </w:rPr>
          <w:t>2024 final rule</w:t>
        </w:r>
      </w:hyperlink>
      <w:r w:rsidRPr="00DD7BD1">
        <w:rPr>
          <w:rFonts w:ascii="Calibri" w:hAnsi="Calibri" w:cs="Calibri"/>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The DOL’s 2024 final rule is currently facing several other legal challenges from businesses in multiple jurisdictions.  ETC will continue to monitor and report developments as there remain several other legal challenges to the upcoming increased salary threshold effective Jan 1, 2025.</w:t>
      </w:r>
    </w:p>
    <w:p w14:paraId="61A6B6E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C3E4CE" w14:textId="4922876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OSHA Releases New Online Severe Injury Report Dashboard</w:t>
      </w:r>
    </w:p>
    <w:p w14:paraId="1D2D9CB6"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On Sept. 4, 2024, OSHA released an online </w:t>
      </w:r>
      <w:hyperlink r:id="rId379" w:history="1">
        <w:r w:rsidRPr="00DD7BD1">
          <w:rPr>
            <w:rStyle w:val="Hyperlink"/>
            <w:rFonts w:ascii="Calibri" w:hAnsi="Calibri" w:cs="Calibri"/>
          </w:rPr>
          <w:t>tool</w:t>
        </w:r>
      </w:hyperlink>
      <w:r w:rsidRPr="00DD7BD1">
        <w:rPr>
          <w:rFonts w:ascii="Calibri" w:hAnsi="Calibri" w:cs="Calibri"/>
        </w:rPr>
        <w:t xml:space="preserve"> giving users the ability to search its severe injury report (SIR) database and view trends related to workplace injuries occurring in states covered by federal OSHA. </w:t>
      </w:r>
    </w:p>
    <w:p w14:paraId="79E1BED7"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  </w:t>
      </w:r>
    </w:p>
    <w:p w14:paraId="74B4ABC5"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OSHA states that the data will be updated periodically, and it represents incidents under federal OSHA jurisdiction only. The online tool does not include incidents under state plan jurisdictions.</w:t>
      </w:r>
    </w:p>
    <w:p w14:paraId="60184678" w14:textId="77777777" w:rsidR="00E267B1" w:rsidRPr="00DD7BD1" w:rsidRDefault="00E267B1" w:rsidP="00E267B1">
      <w:pPr>
        <w:pStyle w:val="ColorSubheading"/>
        <w:rPr>
          <w:rFonts w:ascii="Calibri" w:hAnsi="Calibri" w:cs="Calibri"/>
          <w:sz w:val="22"/>
          <w:szCs w:val="22"/>
        </w:rPr>
      </w:pPr>
    </w:p>
    <w:p w14:paraId="1E545F62" w14:textId="77777777"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 xml:space="preserve">Employer Takeaway: </w:t>
      </w:r>
      <w:r w:rsidRPr="00DD7BD1">
        <w:rPr>
          <w:rFonts w:ascii="Calibri" w:hAnsi="Calibri" w:cs="Calibri"/>
          <w:b w:val="0"/>
          <w:bCs w:val="0"/>
          <w:sz w:val="22"/>
          <w:szCs w:val="22"/>
        </w:rPr>
        <w:t>Be aware that employer establishment data is searchable and the data pulled shows establishment names. Employers are encouraged to use the dashboard to learn how severe injuries happen in their industries.</w:t>
      </w:r>
      <w:r w:rsidRPr="00DD7BD1">
        <w:rPr>
          <w:rFonts w:ascii="Calibri" w:hAnsi="Calibri" w:cs="Calibri"/>
          <w:sz w:val="22"/>
          <w:szCs w:val="22"/>
        </w:rPr>
        <w:t xml:space="preserve"> </w:t>
      </w:r>
    </w:p>
    <w:p w14:paraId="25DBFAC2" w14:textId="77777777" w:rsidR="00E267B1" w:rsidRPr="00DD7BD1" w:rsidRDefault="00E267B1" w:rsidP="00E267B1">
      <w:pPr>
        <w:pStyle w:val="BodyText"/>
        <w:spacing w:after="0" w:line="240" w:lineRule="auto"/>
        <w:ind w:right="274"/>
        <w:rPr>
          <w:rFonts w:eastAsiaTheme="minorHAnsi" w:cs="Calibri"/>
          <w:b/>
          <w:color w:val="auto"/>
          <w:sz w:val="20"/>
        </w:rPr>
      </w:pPr>
    </w:p>
    <w:p w14:paraId="032FBB3F" w14:textId="77777777" w:rsidR="00E267B1" w:rsidRPr="00DD7BD1" w:rsidRDefault="00E267B1" w:rsidP="00E267B1">
      <w:pPr>
        <w:pStyle w:val="BodyText"/>
        <w:spacing w:after="0" w:line="240" w:lineRule="auto"/>
        <w:ind w:right="274"/>
        <w:jc w:val="center"/>
        <w:rPr>
          <w:rFonts w:eastAsiaTheme="minorHAnsi" w:cs="Calibri"/>
          <w:b/>
          <w:color w:val="auto"/>
          <w:sz w:val="28"/>
          <w:szCs w:val="28"/>
        </w:rPr>
      </w:pPr>
      <w:r w:rsidRPr="00DD7BD1">
        <w:rPr>
          <w:rFonts w:eastAsiaTheme="minorHAnsi" w:cs="Calibri"/>
          <w:b/>
          <w:color w:val="C00000"/>
          <w:sz w:val="28"/>
          <w:szCs w:val="28"/>
        </w:rPr>
        <w:t xml:space="preserve">IN THE NEWS!  </w:t>
      </w:r>
      <w:r w:rsidRPr="00DD7BD1">
        <w:rPr>
          <w:rFonts w:eastAsiaTheme="minorHAnsi" w:cs="Calibri"/>
          <w:b/>
          <w:color w:val="auto"/>
          <w:sz w:val="28"/>
          <w:szCs w:val="28"/>
        </w:rPr>
        <w:t>Legal Cases to Watch – Fall 2024</w:t>
      </w:r>
    </w:p>
    <w:p w14:paraId="592F2066" w14:textId="77777777" w:rsidR="00E267B1" w:rsidRPr="00DD7BD1" w:rsidRDefault="00E267B1" w:rsidP="00E267B1">
      <w:pPr>
        <w:pStyle w:val="BodyText"/>
        <w:rPr>
          <w:rFonts w:cs="Calibri"/>
          <w:color w:val="000000" w:themeColor="text1"/>
        </w:rPr>
      </w:pPr>
      <w:r w:rsidRPr="00DD7BD1">
        <w:rPr>
          <w:rFonts w:cs="Calibri"/>
          <w:color w:val="000000" w:themeColor="text1"/>
        </w:rPr>
        <w:t xml:space="preserve">The Supreme Court’s next term, which starts </w:t>
      </w:r>
      <w:r w:rsidRPr="00DD7BD1">
        <w:rPr>
          <w:rFonts w:cs="Calibri"/>
          <w:b/>
          <w:bCs/>
          <w:color w:val="000000" w:themeColor="text1"/>
        </w:rPr>
        <w:t>Oct. 7, 2024</w:t>
      </w:r>
      <w:r w:rsidRPr="00DD7BD1">
        <w:rPr>
          <w:rFonts w:cs="Calibri"/>
          <w:color w:val="000000" w:themeColor="text1"/>
        </w:rPr>
        <w:t>, will also decide cases that will impact the workplace with topics including:</w:t>
      </w:r>
    </w:p>
    <w:p w14:paraId="7FFAD1F4" w14:textId="0162B7A1"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Employee misclassification</w:t>
      </w:r>
      <w:r w:rsidRPr="00DD7BD1">
        <w:rPr>
          <w:rFonts w:cs="Calibri"/>
          <w:color w:val="000000" w:themeColor="text1"/>
        </w:rPr>
        <w:t xml:space="preserve">—The court will decide the burden of proof employers must satisfy to establish an exemption from minimum wage and overtime requirements under the Fair Labor Standards Act (FLSA). </w:t>
      </w:r>
      <w:r w:rsidRPr="00DD7BD1">
        <w:rPr>
          <w:rFonts w:cs="Calibri"/>
          <w:b/>
          <w:bCs/>
          <w:i/>
          <w:iCs/>
          <w:color w:val="000000" w:themeColor="text1"/>
        </w:rPr>
        <w:t>E.M.D. Sales Inc. v. Carrera</w:t>
      </w:r>
    </w:p>
    <w:p w14:paraId="545579DF" w14:textId="77777777"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Post-employment ADA discrimination</w:t>
      </w:r>
      <w:r w:rsidRPr="00DD7BD1">
        <w:rPr>
          <w:rFonts w:cs="Calibri"/>
          <w:color w:val="000000" w:themeColor="text1"/>
        </w:rPr>
        <w:t xml:space="preserve">—The court will decide whether a former employee has the right to sue their former employer under the Americans with Disabilities Act (ADA). </w:t>
      </w:r>
      <w:r w:rsidRPr="00DD7BD1">
        <w:rPr>
          <w:rFonts w:cs="Calibri"/>
          <w:b/>
          <w:bCs/>
          <w:i/>
          <w:iCs/>
          <w:color w:val="000000" w:themeColor="text1"/>
        </w:rPr>
        <w:t>Stanley v. City of Sanford, Florida</w:t>
      </w:r>
    </w:p>
    <w:p w14:paraId="0A6C4CEE" w14:textId="100C7649" w:rsidR="00E267B1" w:rsidRPr="00DD7BD1" w:rsidRDefault="00E267B1" w:rsidP="00E267B1">
      <w:pPr>
        <w:pStyle w:val="BodyText"/>
        <w:spacing w:after="0" w:line="240" w:lineRule="auto"/>
        <w:ind w:right="274"/>
        <w:rPr>
          <w:rFonts w:cs="Calibri"/>
          <w:color w:val="auto"/>
        </w:rPr>
      </w:pPr>
      <w:r w:rsidRPr="00DD7BD1">
        <w:rPr>
          <w:rFonts w:cs="Calibri"/>
          <w:color w:val="auto"/>
        </w:rPr>
        <w:t>More to come as decisions and rulings are announced.</w:t>
      </w:r>
    </w:p>
    <w:p w14:paraId="34F115E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AB2A27" w14:textId="2F2A9CDD"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USCIS has extended the expiration date of the current Form I-9 to May 31, 2027.</w:t>
      </w:r>
    </w:p>
    <w:p w14:paraId="687D010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that use the Form I-9 with the expiration date of July 31, 2026, can continue using it until that date. </w:t>
      </w:r>
    </w:p>
    <w:p w14:paraId="1E9DEBE6" w14:textId="77777777" w:rsidR="00ED58D7" w:rsidRPr="00DD7BD1" w:rsidRDefault="00ED58D7" w:rsidP="00ED58D7">
      <w:pPr>
        <w:pStyle w:val="Heading1"/>
        <w:spacing w:before="0" w:beforeAutospacing="0" w:after="0" w:afterAutospacing="0"/>
        <w:rPr>
          <w:rFonts w:ascii="Calibri" w:hAnsi="Calibri" w:cs="Calibri"/>
          <w:b w:val="0"/>
          <w:bCs w:val="0"/>
          <w:sz w:val="22"/>
          <w:szCs w:val="22"/>
          <w:u w:val="single"/>
        </w:rPr>
      </w:pPr>
      <w:r w:rsidRPr="00DD7BD1">
        <w:rPr>
          <w:rFonts w:ascii="Calibri" w:hAnsi="Calibri" w:cs="Calibri"/>
          <w:b w:val="0"/>
          <w:bCs w:val="0"/>
          <w:sz w:val="22"/>
          <w:szCs w:val="22"/>
          <w:u w:val="single"/>
        </w:rPr>
        <w:t>Effective July 31, 2026, only Form I-9 (Rev. 08/01/23) with the expiration date of May 31, 2027, will be accepted.</w:t>
      </w:r>
    </w:p>
    <w:p w14:paraId="2B6F956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Form I-9 with the updated expiration date can be found on the USCIS </w:t>
      </w:r>
      <w:hyperlink r:id="rId380" w:tgtFrame="_blank" w:history="1">
        <w:r w:rsidRPr="00DD7BD1">
          <w:rPr>
            <w:rStyle w:val="Hyperlink"/>
            <w:rFonts w:ascii="Calibri" w:hAnsi="Calibri" w:cs="Calibri"/>
            <w:b w:val="0"/>
            <w:bCs w:val="0"/>
            <w:sz w:val="22"/>
            <w:szCs w:val="22"/>
            <w:u w:val="none"/>
          </w:rPr>
          <w:t>website</w:t>
        </w:r>
      </w:hyperlink>
      <w:r w:rsidRPr="00DD7BD1">
        <w:rPr>
          <w:rFonts w:ascii="Calibri" w:hAnsi="Calibri" w:cs="Calibri"/>
          <w:b w:val="0"/>
          <w:bCs w:val="0"/>
          <w:sz w:val="22"/>
          <w:szCs w:val="22"/>
        </w:rPr>
        <w:t>.</w:t>
      </w:r>
    </w:p>
    <w:p w14:paraId="72C412E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USCIS </w:t>
      </w:r>
      <w:hyperlink r:id="rId381" w:tgtFrame="_blank" w:history="1">
        <w:r w:rsidRPr="00DD7BD1">
          <w:rPr>
            <w:rStyle w:val="Hyperlink"/>
            <w:rFonts w:ascii="Calibri" w:hAnsi="Calibri" w:cs="Calibri"/>
            <w:b w:val="0"/>
            <w:bCs w:val="0"/>
            <w:sz w:val="22"/>
            <w:szCs w:val="22"/>
            <w:u w:val="none"/>
          </w:rPr>
          <w:t>announced</w:t>
        </w:r>
      </w:hyperlink>
      <w:r w:rsidRPr="00DD7BD1">
        <w:rPr>
          <w:rFonts w:ascii="Calibri" w:hAnsi="Calibri" w:cs="Calibri"/>
          <w:b w:val="0"/>
          <w:bCs w:val="0"/>
          <w:sz w:val="22"/>
          <w:szCs w:val="22"/>
        </w:rPr>
        <w:t> Form I-9’s new expiration date on August 2, 2024.</w:t>
      </w:r>
    </w:p>
    <w:p w14:paraId="2778D1EB" w14:textId="77777777" w:rsidR="005A061B" w:rsidRPr="00DD7BD1" w:rsidRDefault="005A061B" w:rsidP="00ED58D7">
      <w:pPr>
        <w:pStyle w:val="Heading1"/>
        <w:spacing w:before="0" w:beforeAutospacing="0" w:after="0" w:afterAutospacing="0"/>
        <w:rPr>
          <w:rFonts w:ascii="Calibri" w:hAnsi="Calibri" w:cs="Calibri"/>
          <w:b w:val="0"/>
          <w:bCs w:val="0"/>
          <w:sz w:val="22"/>
          <w:szCs w:val="22"/>
        </w:rPr>
      </w:pPr>
    </w:p>
    <w:p w14:paraId="1E23826D" w14:textId="77777777"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FTC Noncompete Ban Struck Down Nationwide</w:t>
      </w:r>
    </w:p>
    <w:p w14:paraId="534F46D2"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District Court for the Northern District of Texas’s decision in </w:t>
      </w:r>
      <w:r w:rsidRPr="00DD7BD1">
        <w:rPr>
          <w:rFonts w:ascii="Calibri" w:hAnsi="Calibri" w:cs="Calibri"/>
          <w:b w:val="0"/>
          <w:bCs w:val="0"/>
          <w:i/>
          <w:iCs/>
          <w:sz w:val="22"/>
          <w:szCs w:val="22"/>
        </w:rPr>
        <w:t>Ryan v. Federal Trade Commission</w:t>
      </w:r>
      <w:r w:rsidRPr="00DD7BD1">
        <w:rPr>
          <w:rFonts w:ascii="Calibri" w:hAnsi="Calibri" w:cs="Calibri"/>
          <w:b w:val="0"/>
          <w:bCs w:val="0"/>
          <w:sz w:val="22"/>
          <w:szCs w:val="22"/>
        </w:rPr>
        <w:t xml:space="preserve"> was issued on August 20, 2024, with a federal judge </w:t>
      </w:r>
      <w:r w:rsidRPr="00DD7BD1">
        <w:rPr>
          <w:rFonts w:ascii="Calibri" w:hAnsi="Calibri" w:cs="Calibri"/>
          <w:b w:val="0"/>
          <w:bCs w:val="0"/>
          <w:sz w:val="22"/>
          <w:szCs w:val="22"/>
          <w:u w:val="single"/>
        </w:rPr>
        <w:t xml:space="preserve">striking down the Federal Trade Commission (FTC)’s rule that banned virtually all noncompete clauses. </w:t>
      </w:r>
      <w:r w:rsidRPr="00DD7BD1">
        <w:rPr>
          <w:rFonts w:ascii="Calibri" w:hAnsi="Calibri" w:cs="Calibri"/>
          <w:b w:val="0"/>
          <w:bCs w:val="0"/>
          <w:sz w:val="22"/>
          <w:szCs w:val="22"/>
        </w:rPr>
        <w:t>The court concluded that the FTC exceeded its authority when it issued the rule and that the rule itself was overbroad because it applied to </w:t>
      </w:r>
      <w:r w:rsidRPr="00DD7BD1">
        <w:rPr>
          <w:rFonts w:ascii="Calibri" w:hAnsi="Calibri" w:cs="Calibri"/>
          <w:b w:val="0"/>
          <w:bCs w:val="0"/>
          <w:i/>
          <w:iCs/>
          <w:sz w:val="22"/>
          <w:szCs w:val="22"/>
        </w:rPr>
        <w:t>all </w:t>
      </w:r>
      <w:r w:rsidRPr="00DD7BD1">
        <w:rPr>
          <w:rFonts w:ascii="Calibri" w:hAnsi="Calibri" w:cs="Calibri"/>
          <w:b w:val="0"/>
          <w:bCs w:val="0"/>
          <w:sz w:val="22"/>
          <w:szCs w:val="22"/>
        </w:rPr>
        <w:t>noncompete clauses rather than targeting those that were harmful.</w:t>
      </w:r>
    </w:p>
    <w:p w14:paraId="235CBB1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Access the federal </w:t>
      </w:r>
      <w:hyperlink r:id="rId382" w:history="1">
        <w:r w:rsidRPr="00DD7BD1">
          <w:rPr>
            <w:rStyle w:val="Hyperlink"/>
            <w:rFonts w:ascii="Calibri" w:hAnsi="Calibri" w:cs="Calibri"/>
            <w:b w:val="0"/>
            <w:bCs w:val="0"/>
            <w:sz w:val="22"/>
            <w:szCs w:val="22"/>
          </w:rPr>
          <w:t>order</w:t>
        </w:r>
      </w:hyperlink>
      <w:r w:rsidRPr="00DD7BD1">
        <w:rPr>
          <w:rFonts w:ascii="Calibri" w:hAnsi="Calibri" w:cs="Calibri"/>
          <w:b w:val="0"/>
          <w:bCs w:val="0"/>
          <w:sz w:val="22"/>
          <w:szCs w:val="22"/>
        </w:rPr>
        <w:t>.</w:t>
      </w:r>
    </w:p>
    <w:p w14:paraId="3782EC53" w14:textId="77777777" w:rsidR="00ED58D7" w:rsidRPr="00DD7BD1" w:rsidRDefault="00ED58D7" w:rsidP="00ED58D7">
      <w:pPr>
        <w:pStyle w:val="Heading1"/>
        <w:spacing w:after="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Pr="00DD7BD1" w:rsidRDefault="00ED58D7" w:rsidP="00ED58D7">
      <w:pPr>
        <w:pStyle w:val="MainTitle"/>
        <w:tabs>
          <w:tab w:val="left" w:pos="3969"/>
        </w:tabs>
        <w:spacing w:after="0" w:line="240" w:lineRule="auto"/>
        <w:ind w:right="274"/>
        <w:jc w:val="center"/>
        <w:rPr>
          <w:rFonts w:ascii="Calibri" w:hAnsi="Calibri" w:cs="Calibri"/>
          <w:color w:val="auto"/>
          <w:sz w:val="28"/>
          <w:szCs w:val="28"/>
        </w:rPr>
      </w:pPr>
      <w:r w:rsidRPr="00DD7BD1">
        <w:rPr>
          <w:rFonts w:ascii="Calibri" w:hAnsi="Calibri" w:cs="Calibri"/>
          <w:color w:val="auto"/>
          <w:sz w:val="28"/>
          <w:szCs w:val="28"/>
        </w:rPr>
        <w:t>Increased Civil Penalty Amounts for SBC, MSP, HIPAA Violations</w:t>
      </w:r>
    </w:p>
    <w:p w14:paraId="0750C6A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Aug. 8, 2024, the U.S. Department of Health and Human Services (HHS) published a </w:t>
      </w:r>
      <w:hyperlink r:id="rId383" w:history="1">
        <w:r w:rsidRPr="00DD7BD1">
          <w:rPr>
            <w:rStyle w:val="Hyperlink"/>
            <w:rFonts w:ascii="Calibri" w:eastAsia="Times New Roman" w:hAnsi="Calibri" w:cs="Calibri"/>
            <w:b w:val="0"/>
            <w:kern w:val="36"/>
            <w:sz w:val="22"/>
            <w:szCs w:val="22"/>
            <w:u w:val="none"/>
          </w:rPr>
          <w:t>final rule</w:t>
        </w:r>
      </w:hyperlink>
      <w:r w:rsidRPr="00DD7BD1">
        <w:rPr>
          <w:rFonts w:ascii="Calibri" w:hAnsi="Calibri" w:cs="Calibri"/>
          <w:b w:val="0"/>
          <w:bCs/>
          <w:color w:val="auto"/>
          <w:sz w:val="22"/>
          <w:szCs w:val="22"/>
        </w:rPr>
        <w:t xml:space="preserve"> increasing key penalties affecting group health plans. </w:t>
      </w:r>
    </w:p>
    <w:p w14:paraId="40E212EB"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HHS adjusts these penalty amounts for inflation each year to improve their effectiveness and maintain their deterrent effect. </w:t>
      </w:r>
    </w:p>
    <w:p w14:paraId="3BFC8CD3"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p>
    <w:p w14:paraId="62B3511E"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color w:val="auto"/>
          <w:sz w:val="22"/>
          <w:szCs w:val="22"/>
          <w:highlight w:val="lightGray"/>
        </w:rPr>
        <w:t>Employer Takeaway</w:t>
      </w:r>
      <w:r w:rsidRPr="00DD7BD1">
        <w:rPr>
          <w:rFonts w:ascii="Calibri" w:hAnsi="Calibri" w:cs="Calibri"/>
          <w:b w:val="0"/>
          <w:bCs/>
          <w:color w:val="auto"/>
          <w:sz w:val="22"/>
          <w:szCs w:val="22"/>
        </w:rPr>
        <w:t>: Because these penalties are substantial, employers with group health plans should periodically review their benefit plan administration protocols to ensure full compliance.</w:t>
      </w:r>
    </w:p>
    <w:p w14:paraId="143BDD45"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16"/>
          <w:szCs w:val="16"/>
          <w:u w:val="single"/>
        </w:rPr>
      </w:pPr>
    </w:p>
    <w:p w14:paraId="57A44CB9"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Summary of Benefits and Coverage (SBC) (Typically distributed at Open Enrollment)</w:t>
      </w:r>
    </w:p>
    <w:p w14:paraId="552038F0"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117F2DE"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Medicare Secondary Payer (MSP)</w:t>
      </w:r>
    </w:p>
    <w:p w14:paraId="2ECCE19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996D2C4"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HIPAA Privacy and Security Rules</w:t>
      </w:r>
    </w:p>
    <w:p w14:paraId="1A2074CF"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DD7BD1" w:rsidRDefault="00ED58D7" w:rsidP="00ED58D7">
      <w:pPr>
        <w:pStyle w:val="MainTitle"/>
        <w:tabs>
          <w:tab w:val="left" w:pos="3969"/>
        </w:tabs>
        <w:spacing w:after="0" w:line="240" w:lineRule="auto"/>
        <w:ind w:right="274"/>
        <w:rPr>
          <w:rFonts w:ascii="Calibri" w:hAnsi="Calibri" w:cs="Calibri"/>
          <w:color w:val="C00000"/>
          <w:sz w:val="22"/>
          <w:szCs w:val="22"/>
        </w:rPr>
      </w:pPr>
    </w:p>
    <w:p w14:paraId="7F55FAC0" w14:textId="77777777" w:rsidR="00ED58D7" w:rsidRPr="00DD7BD1" w:rsidRDefault="00ED58D7" w:rsidP="00ED58D7">
      <w:pPr>
        <w:pStyle w:val="MainTitle"/>
        <w:tabs>
          <w:tab w:val="left" w:pos="3969"/>
        </w:tabs>
        <w:spacing w:after="0" w:line="240" w:lineRule="auto"/>
        <w:ind w:right="274"/>
        <w:jc w:val="center"/>
        <w:rPr>
          <w:rFonts w:ascii="Calibri" w:hAnsi="Calibri" w:cs="Calibri"/>
          <w:sz w:val="28"/>
          <w:szCs w:val="28"/>
        </w:rPr>
      </w:pPr>
      <w:r w:rsidRPr="00DD7BD1">
        <w:rPr>
          <w:rFonts w:ascii="Calibri" w:hAnsi="Calibri" w:cs="Calibri"/>
          <w:color w:val="C00000"/>
          <w:sz w:val="28"/>
          <w:szCs w:val="28"/>
        </w:rPr>
        <w:t xml:space="preserve">Compliance Reminder: </w:t>
      </w:r>
      <w:r w:rsidRPr="00DD7BD1">
        <w:rPr>
          <w:rFonts w:ascii="Calibri" w:hAnsi="Calibri" w:cs="Calibri"/>
          <w:color w:val="auto"/>
          <w:sz w:val="28"/>
          <w:szCs w:val="28"/>
        </w:rPr>
        <w:t xml:space="preserve">SAR </w:t>
      </w:r>
      <w:r w:rsidRPr="00DD7BD1">
        <w:rPr>
          <w:rFonts w:ascii="Calibri" w:eastAsia="Times New Roman" w:hAnsi="Calibri" w:cs="Calibri"/>
          <w:bCs/>
          <w:color w:val="auto"/>
          <w:kern w:val="36"/>
          <w:sz w:val="28"/>
          <w:szCs w:val="28"/>
        </w:rPr>
        <w:t xml:space="preserve">Is Due by </w:t>
      </w:r>
      <w:r w:rsidRPr="00DD7BD1">
        <w:rPr>
          <w:rFonts w:ascii="Calibri" w:eastAsia="Times New Roman" w:hAnsi="Calibri" w:cs="Calibri"/>
          <w:bCs/>
          <w:color w:val="C00000"/>
          <w:kern w:val="36"/>
          <w:sz w:val="28"/>
          <w:szCs w:val="28"/>
        </w:rPr>
        <w:t xml:space="preserve">Sept. 30 </w:t>
      </w:r>
      <w:r w:rsidRPr="00DD7BD1">
        <w:rPr>
          <w:rFonts w:ascii="Calibri" w:eastAsia="Times New Roman" w:hAnsi="Calibri" w:cs="Calibri"/>
          <w:bCs/>
          <w:color w:val="auto"/>
          <w:kern w:val="36"/>
          <w:sz w:val="28"/>
          <w:szCs w:val="28"/>
        </w:rPr>
        <w:t xml:space="preserve">for Calendar Year Plans </w:t>
      </w:r>
      <w:r w:rsidRPr="00DD7BD1">
        <w:rPr>
          <w:rFonts w:ascii="Calibri" w:eastAsia="Times New Roman" w:hAnsi="Calibri" w:cs="Calibri"/>
          <w:bCs/>
          <w:i/>
          <w:iCs/>
          <w:color w:val="auto"/>
          <w:kern w:val="36"/>
          <w:sz w:val="20"/>
          <w:szCs w:val="20"/>
        </w:rPr>
        <w:t>(for Some Employers)</w:t>
      </w:r>
    </w:p>
    <w:p w14:paraId="20819B54" w14:textId="77777777" w:rsidR="00ED58D7" w:rsidRPr="00DD7BD1" w:rsidRDefault="00ED58D7" w:rsidP="00ED58D7">
      <w:pPr>
        <w:pStyle w:val="BulletListText"/>
        <w:numPr>
          <w:ilvl w:val="0"/>
          <w:numId w:val="0"/>
        </w:numPr>
        <w:spacing w:after="120"/>
        <w:rPr>
          <w:rFonts w:cs="Calibri"/>
        </w:rPr>
      </w:pPr>
      <w:r w:rsidRPr="00DD7BD1">
        <w:rPr>
          <w:rFonts w:cs="Calibri"/>
          <w:color w:val="auto"/>
        </w:rPr>
        <w:t>Many employers that must file Form 5500 on behalf of their employee benefit plans must also provide plan participants with a summary annual report (SAR). The SAR is a summary of the information included in the Form 5500. (Reminder: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Covered Employers with plans that operate on a calendar year basis and have Form 5500 compliance obligations must provide the SAR by </w:t>
      </w:r>
      <w:r w:rsidRPr="00DD7BD1">
        <w:rPr>
          <w:rFonts w:cs="Calibri"/>
          <w:b/>
          <w:bCs/>
          <w:color w:val="auto"/>
        </w:rPr>
        <w:t>Sept. 30, 2024</w:t>
      </w:r>
      <w:r w:rsidRPr="00DD7BD1">
        <w:rPr>
          <w:rFonts w:cs="Calibri"/>
          <w:color w:val="auto"/>
        </w:rPr>
        <w:t xml:space="preserve">. </w:t>
      </w:r>
    </w:p>
    <w:p w14:paraId="0E309C89"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SAR requirement only applies to plans that must file a Form 5500. Also, self-insured welfare plans, regardless of size, are not required to provide a SAR if they are unfunded.</w:t>
      </w:r>
    </w:p>
    <w:p w14:paraId="79F1EC7D"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DOL has released a </w:t>
      </w:r>
      <w:hyperlink r:id="rId384" w:history="1">
        <w:r w:rsidRPr="00DD7BD1">
          <w:rPr>
            <w:rStyle w:val="Hyperlink"/>
            <w:rFonts w:eastAsiaTheme="majorEastAsia" w:cs="Calibri"/>
          </w:rPr>
          <w:t>model SAR</w:t>
        </w:r>
      </w:hyperlink>
      <w:r w:rsidRPr="00DD7BD1">
        <w:rPr>
          <w:rFonts w:cs="Calibri"/>
        </w:rPr>
        <w:t xml:space="preserve"> </w:t>
      </w:r>
      <w:r w:rsidRPr="00DD7BD1">
        <w:rPr>
          <w:rFonts w:cs="Calibri"/>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DD7BD1" w:rsidRDefault="00ED58D7" w:rsidP="00ED58D7">
      <w:pPr>
        <w:pStyle w:val="BodyText"/>
        <w:spacing w:after="0" w:line="240" w:lineRule="auto"/>
        <w:ind w:right="274"/>
        <w:rPr>
          <w:rFonts w:cs="Calibri"/>
          <w:color w:val="auto"/>
          <w:sz w:val="16"/>
          <w:szCs w:val="16"/>
        </w:rPr>
      </w:pPr>
    </w:p>
    <w:p w14:paraId="16BE94B0" w14:textId="77777777" w:rsidR="00ED58D7" w:rsidRPr="00DD7BD1" w:rsidRDefault="00ED58D7" w:rsidP="00ED58D7">
      <w:pPr>
        <w:pStyle w:val="BodyText"/>
        <w:spacing w:line="240" w:lineRule="auto"/>
        <w:ind w:right="274"/>
        <w:jc w:val="center"/>
        <w:rPr>
          <w:rFonts w:eastAsiaTheme="minorHAnsi" w:cs="Calibri"/>
          <w:b/>
          <w:color w:val="auto"/>
          <w:sz w:val="28"/>
          <w:szCs w:val="28"/>
        </w:rPr>
      </w:pPr>
      <w:r w:rsidRPr="00DD7BD1">
        <w:rPr>
          <w:rFonts w:eastAsiaTheme="minorHAnsi" w:cs="Calibri"/>
          <w:b/>
          <w:color w:val="C00000"/>
          <w:sz w:val="28"/>
          <w:szCs w:val="28"/>
        </w:rPr>
        <w:t>IN THE NEWS!</w:t>
      </w:r>
      <w:r w:rsidRPr="00DD7BD1">
        <w:rPr>
          <w:rFonts w:cs="Calibri"/>
          <w:color w:val="auto"/>
        </w:rPr>
        <w:t xml:space="preserve"> </w:t>
      </w:r>
      <w:r w:rsidRPr="00DD7BD1">
        <w:rPr>
          <w:rFonts w:eastAsiaTheme="minorHAnsi" w:cs="Calibri"/>
          <w:b/>
          <w:color w:val="auto"/>
          <w:sz w:val="28"/>
          <w:szCs w:val="28"/>
        </w:rPr>
        <w:t>Fifth Circuit Strikes Down the DOL Tip Credit Rule</w:t>
      </w:r>
    </w:p>
    <w:p w14:paraId="285AE607"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On August 23, 2024, in </w:t>
      </w:r>
      <w:r w:rsidRPr="00DD7BD1">
        <w:rPr>
          <w:rFonts w:cs="Calibri"/>
          <w:i/>
          <w:iCs/>
          <w:color w:val="auto"/>
        </w:rPr>
        <w:t>Restaurant Law Center v. U.S. Department of Labor</w:t>
      </w:r>
      <w:r w:rsidRPr="00DD7BD1">
        <w:rPr>
          <w:rFonts w:cs="Calibri"/>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Pr="00DD7BD1" w:rsidRDefault="00ED58D7" w:rsidP="00ED58D7">
      <w:pPr>
        <w:pStyle w:val="BodyText"/>
        <w:spacing w:after="0" w:line="240" w:lineRule="auto"/>
        <w:ind w:right="274"/>
        <w:rPr>
          <w:rFonts w:cs="Calibri"/>
          <w:b/>
          <w:bCs/>
          <w:color w:val="auto"/>
        </w:rPr>
      </w:pPr>
    </w:p>
    <w:p w14:paraId="5FE999C7"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FLSA and Tip Credits</w:t>
      </w:r>
    </w:p>
    <w:p w14:paraId="1FBD5836"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Pr="00DD7BD1" w:rsidRDefault="00ED58D7" w:rsidP="00ED58D7">
      <w:pPr>
        <w:pStyle w:val="BodyText"/>
        <w:spacing w:after="0" w:line="240" w:lineRule="auto"/>
        <w:ind w:right="274"/>
        <w:rPr>
          <w:rFonts w:cs="Calibri"/>
          <w:b/>
          <w:bCs/>
          <w:color w:val="auto"/>
        </w:rPr>
      </w:pPr>
    </w:p>
    <w:p w14:paraId="699830E4"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Tip Credit Rule</w:t>
      </w:r>
    </w:p>
    <w:p w14:paraId="0E988FB8"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DD7BD1" w:rsidRDefault="00ED58D7" w:rsidP="00ED58D7">
      <w:pPr>
        <w:pStyle w:val="BodyText"/>
        <w:spacing w:after="0" w:line="240" w:lineRule="auto"/>
        <w:ind w:right="274"/>
        <w:rPr>
          <w:rFonts w:cs="Calibri"/>
          <w:color w:val="auto"/>
        </w:rPr>
      </w:pPr>
    </w:p>
    <w:p w14:paraId="3D8AB8A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(2) directly supporting work (i.e., setting tables); and </w:t>
      </w:r>
    </w:p>
    <w:p w14:paraId="2D6C0F83"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(3) work not part of the tipped occupation (i.e., preparing food). </w:t>
      </w:r>
    </w:p>
    <w:p w14:paraId="259BE48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Tip Credit Rule also stated that an employee must be paid the full minimum wage if they spend more than 30 minutes on “directly supporting work” at any given time.</w:t>
      </w:r>
    </w:p>
    <w:p w14:paraId="689B54B4" w14:textId="77777777" w:rsidR="00ED58D7" w:rsidRPr="00DD7BD1" w:rsidRDefault="00ED58D7" w:rsidP="00ED58D7">
      <w:pPr>
        <w:pStyle w:val="BodyText"/>
        <w:spacing w:after="0" w:line="240" w:lineRule="auto"/>
        <w:ind w:right="274"/>
        <w:rPr>
          <w:rFonts w:cs="Calibri"/>
          <w:b/>
          <w:bCs/>
          <w:color w:val="auto"/>
        </w:rPr>
      </w:pPr>
    </w:p>
    <w:p w14:paraId="2A0D5DAD"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Employer Takeaway</w:t>
      </w:r>
    </w:p>
    <w:p w14:paraId="5DCF78FB"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w:t>
      </w:r>
      <w:r w:rsidRPr="00DD7BD1">
        <w:rPr>
          <w:rFonts w:cs="Calibri"/>
          <w:i/>
          <w:iCs/>
          <w:color w:val="auto"/>
        </w:rPr>
        <w:t>Restaurant Law Center v. U.S. Department of Labor </w:t>
      </w:r>
      <w:r w:rsidRPr="00DD7BD1">
        <w:rPr>
          <w:rFonts w:cs="Calibri"/>
          <w:color w:val="auto"/>
        </w:rPr>
        <w:t xml:space="preserve">decision is seen as a big win for hospitality employers. </w:t>
      </w:r>
      <w:r w:rsidRPr="00DD7BD1">
        <w:rPr>
          <w:rFonts w:cs="Calibri"/>
          <w:b/>
          <w:bCs/>
          <w:color w:val="auto"/>
          <w:u w:val="single"/>
        </w:rPr>
        <w:t>Employers no longer need to distinguish between tip-producing and tip-supporting work or monitor the time spent performing tip-supporting duties.</w:t>
      </w:r>
      <w:r w:rsidRPr="00DD7BD1">
        <w:rPr>
          <w:rFonts w:cs="Calibri"/>
          <w:color w:val="auto"/>
        </w:rPr>
        <w:t xml:space="preserve"> However, employers are still subject to local or state laws that are more beneficial to employees or that prohibit tip credits entirely. And as was the case before, employers can’t take a tip credit when an employee performs tasks </w:t>
      </w:r>
      <w:r w:rsidRPr="00DD7BD1">
        <w:rPr>
          <w:rFonts w:cs="Calibri"/>
          <w:i/>
          <w:iCs/>
          <w:color w:val="auto"/>
        </w:rPr>
        <w:t>unrelated</w:t>
      </w:r>
      <w:r w:rsidRPr="00DD7BD1">
        <w:rPr>
          <w:rFonts w:cs="Calibri"/>
          <w:color w:val="auto"/>
        </w:rPr>
        <w:t xml:space="preserve"> to their tipped occupation. </w:t>
      </w:r>
    </w:p>
    <w:p w14:paraId="6AC6966C" w14:textId="3C22496D" w:rsidR="00636C21" w:rsidRPr="00DD7BD1" w:rsidRDefault="00ED58D7" w:rsidP="000C0E84">
      <w:pPr>
        <w:pStyle w:val="BodyText"/>
        <w:spacing w:after="0" w:line="240" w:lineRule="auto"/>
        <w:ind w:right="274"/>
        <w:rPr>
          <w:rFonts w:cs="Calibri"/>
          <w:color w:val="auto"/>
        </w:rPr>
      </w:pPr>
      <w:r w:rsidRPr="00DD7BD1">
        <w:rPr>
          <w:rFonts w:cs="Calibri"/>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668D85C4" w14:textId="77777777" w:rsidR="00EC23F8" w:rsidRPr="00EC23F8" w:rsidRDefault="00EC23F8"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4"/>
          <w:szCs w:val="24"/>
        </w:rPr>
      </w:pPr>
    </w:p>
    <w:p w14:paraId="0D3FC47E" w14:textId="0C063E3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32"/>
          <w:szCs w:val="32"/>
        </w:rPr>
        <w:t>Compliance Reminder - Form 5500 Reporting</w:t>
      </w:r>
    </w:p>
    <w:p w14:paraId="6261BF22" w14:textId="77777777" w:rsidR="001C5F42" w:rsidRPr="00DD7BD1" w:rsidRDefault="001C5F42" w:rsidP="001C5F42">
      <w:pPr>
        <w:ind w:left="91"/>
        <w:rPr>
          <w:rFonts w:ascii="Calibri" w:eastAsia="Arial" w:hAnsi="Calibri" w:cs="Calibri"/>
          <w:b/>
          <w:u w:val="single"/>
        </w:rPr>
      </w:pPr>
      <w:bookmarkStart w:id="35" w:name="_Hlk175057571"/>
      <w:r w:rsidRPr="00DD7BD1">
        <w:rPr>
          <w:rFonts w:ascii="Calibri" w:eastAsia="Arial" w:hAnsi="Calibri" w:cs="Calibri"/>
        </w:rPr>
        <w:t xml:space="preserve">For employers with </w:t>
      </w:r>
      <w:r w:rsidRPr="00DD7BD1">
        <w:rPr>
          <w:rFonts w:ascii="Calibri" w:eastAsia="Arial" w:hAnsi="Calibri" w:cs="Calibri"/>
          <w:b/>
          <w:bCs/>
          <w:color w:val="C00000"/>
          <w:u w:val="single"/>
        </w:rPr>
        <w:t xml:space="preserve">calendar-year benefit plans </w:t>
      </w:r>
      <w:r w:rsidRPr="00DD7BD1">
        <w:rPr>
          <w:rFonts w:ascii="Calibri" w:eastAsia="Arial" w:hAnsi="Calibri" w:cs="Calibri"/>
        </w:rPr>
        <w:t>who</w:t>
      </w:r>
      <w:r w:rsidRPr="00DD7BD1">
        <w:rPr>
          <w:rFonts w:ascii="Calibri" w:eastAsia="Arial" w:hAnsi="Calibri" w:cs="Calibri"/>
          <w:u w:val="single"/>
        </w:rPr>
        <w:t xml:space="preserve"> </w:t>
      </w:r>
      <w:r w:rsidRPr="00DD7BD1">
        <w:rPr>
          <w:rFonts w:ascii="Calibri" w:eastAsia="Arial" w:hAnsi="Calibri" w:cs="Calibri"/>
          <w:color w:val="C00000"/>
          <w:u w:val="single"/>
        </w:rPr>
        <w:t>ALSO</w:t>
      </w:r>
      <w:r w:rsidRPr="00DD7BD1">
        <w:rPr>
          <w:rFonts w:ascii="Calibri" w:eastAsia="Arial" w:hAnsi="Calibri" w:cs="Calibri"/>
        </w:rPr>
        <w:t xml:space="preserve"> had </w:t>
      </w:r>
      <w:r w:rsidRPr="00DD7BD1">
        <w:rPr>
          <w:rFonts w:ascii="Calibri" w:eastAsia="Arial" w:hAnsi="Calibri" w:cs="Calibri"/>
          <w:b/>
          <w:bCs/>
          <w:color w:val="C00000"/>
          <w:u w:val="single"/>
        </w:rPr>
        <w:t>at least 100 covered employee participants</w:t>
      </w:r>
      <w:r w:rsidRPr="00DD7BD1">
        <w:rPr>
          <w:rFonts w:ascii="Calibri" w:eastAsia="Arial" w:hAnsi="Calibri" w:cs="Calibri"/>
          <w:color w:val="C00000"/>
          <w:u w:val="single"/>
        </w:rPr>
        <w:t xml:space="preserve"> </w:t>
      </w:r>
      <w:r w:rsidRPr="00DD7BD1">
        <w:rPr>
          <w:rFonts w:ascii="Calibri" w:eastAsia="Arial" w:hAnsi="Calibri" w:cs="Calibri"/>
          <w:u w:val="single"/>
        </w:rPr>
        <w:t>(covered employees and former employees on COBRA) on the first day of the plan year….</w:t>
      </w:r>
      <w:r w:rsidRPr="00DD7BD1">
        <w:rPr>
          <w:rFonts w:ascii="Calibri" w:eastAsia="Arial" w:hAnsi="Calibri" w:cs="Calibri"/>
        </w:rPr>
        <w:t xml:space="preserve">Form 5500 is due by July 31st, unless an extension is requested. </w:t>
      </w:r>
    </w:p>
    <w:p w14:paraId="05CDF8E3" w14:textId="27E870C7" w:rsidR="001C5F42" w:rsidRPr="00DD7BD1" w:rsidRDefault="001C5F42" w:rsidP="001C5F42">
      <w:pPr>
        <w:ind w:left="91"/>
        <w:rPr>
          <w:rFonts w:ascii="Calibri" w:eastAsia="Arial" w:hAnsi="Calibri" w:cs="Calibri"/>
        </w:rPr>
      </w:pPr>
      <w:bookmarkStart w:id="36" w:name="_Hlk175057610"/>
      <w:bookmarkEnd w:id="35"/>
      <w:r w:rsidRPr="00DD7BD1">
        <w:rPr>
          <w:rFonts w:ascii="Calibri" w:eastAsia="Arial" w:hAnsi="Calibri" w:cs="Calibri"/>
        </w:rPr>
        <w:t xml:space="preserve">Most benefit plans with less than 100 covered participants will </w:t>
      </w:r>
      <w:r w:rsidRPr="00DD7BD1">
        <w:rPr>
          <w:rFonts w:ascii="Calibri" w:eastAsia="Arial" w:hAnsi="Calibri" w:cs="Calibri"/>
          <w:u w:val="single"/>
        </w:rPr>
        <w:t>not</w:t>
      </w:r>
      <w:r w:rsidRPr="00DD7BD1">
        <w:rPr>
          <w:rFonts w:ascii="Calibri" w:eastAsia="Arial" w:hAnsi="Calibri" w:cs="Calibri"/>
        </w:rPr>
        <w:t xml:space="preserve"> be subject to Form 5500 reporting, </w:t>
      </w:r>
      <w:bookmarkEnd w:id="36"/>
      <w:r w:rsidRPr="00DD7BD1">
        <w:rPr>
          <w:rFonts w:ascii="Calibri" w:eastAsia="Arial" w:hAnsi="Calibri" w:cs="Calibri"/>
        </w:rPr>
        <w:t>but you should contact your Health &amp; Welfare Broker to ensure you qualify for this exception. See also ETC’s Compliance Clander Resource.  If you are need of Form 5500 Services, please reach out to ETC today at hr_help@etctracking.com</w:t>
      </w:r>
    </w:p>
    <w:p w14:paraId="49D1DE7A" w14:textId="41CB1B70"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OSHA Issues Proposed Health Rule (Indoor &amp; outdoor) Work </w:t>
      </w:r>
    </w:p>
    <w:p w14:paraId="1350C92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Occupational Safety and Health Administration announced its long-anticipated </w:t>
      </w:r>
      <w:r w:rsidRPr="00DD7BD1">
        <w:rPr>
          <w:rFonts w:ascii="Calibri" w:eastAsiaTheme="minorHAnsi" w:hAnsi="Calibri" w:cs="Calibri"/>
          <w:i/>
          <w:iCs/>
          <w:kern w:val="0"/>
          <w:sz w:val="22"/>
          <w:szCs w:val="22"/>
        </w:rPr>
        <w:t>proposed rule</w:t>
      </w:r>
      <w:r w:rsidRPr="00DD7BD1">
        <w:rPr>
          <w:rFonts w:ascii="Calibri" w:eastAsiaTheme="minorHAnsi" w:hAnsi="Calibri" w:cs="Calibri"/>
          <w:b w:val="0"/>
          <w:bCs w:val="0"/>
          <w:kern w:val="0"/>
          <w:sz w:val="22"/>
          <w:szCs w:val="22"/>
        </w:rPr>
        <w:t xml:space="preserve"> Heat Injury and Illness Prevention in Outdoor and Indoor Work Settings on July 2, 2024. </w:t>
      </w:r>
    </w:p>
    <w:p w14:paraId="1D40FCE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bookmarkStart w:id="37" w:name="_Hlk175057661"/>
      <w:r w:rsidRPr="00DD7BD1">
        <w:rPr>
          <w:rFonts w:ascii="Calibri" w:eastAsiaTheme="minorHAnsi" w:hAnsi="Calibri" w:cs="Calibri"/>
          <w:b w:val="0"/>
          <w:bCs w:val="0"/>
          <w:kern w:val="0"/>
          <w:sz w:val="22"/>
          <w:szCs w:val="22"/>
        </w:rPr>
        <w:t>The proposed rule takes a large-scale approach to regulating heat injury and illness issues</w:t>
      </w:r>
      <w:bookmarkEnd w:id="37"/>
      <w:r w:rsidRPr="00DD7BD1">
        <w:rPr>
          <w:rFonts w:ascii="Calibri" w:eastAsiaTheme="minorHAnsi" w:hAnsi="Calibri" w:cs="Calibr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p>
    <w:p w14:paraId="61325AA4"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63CC3F09"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Under the new Rule:</w:t>
      </w:r>
    </w:p>
    <w:p w14:paraId="2D9B26F8"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w:t>
      </w:r>
      <w:hyperlink r:id="rId385" w:tgtFrame="_blank" w:history="1">
        <w:r w:rsidRPr="00DD7BD1">
          <w:rPr>
            <w:rStyle w:val="Hyperlink"/>
            <w:rFonts w:ascii="Calibri" w:eastAsiaTheme="minorHAnsi" w:hAnsi="Calibri" w:cs="Calibri"/>
            <w:b w:val="0"/>
            <w:bCs w:val="0"/>
            <w:kern w:val="0"/>
            <w:sz w:val="22"/>
            <w:szCs w:val="22"/>
          </w:rPr>
          <w:t>proposed rule</w:t>
        </w:r>
      </w:hyperlink>
      <w:r w:rsidRPr="00DD7BD1">
        <w:rPr>
          <w:rFonts w:ascii="Calibri" w:eastAsiaTheme="minorHAnsi" w:hAnsi="Calibri" w:cs="Calibri"/>
          <w:b w:val="0"/>
          <w:bCs w:val="0"/>
          <w:kern w:val="0"/>
          <w:sz w:val="22"/>
          <w:szCs w:val="22"/>
        </w:rPr>
        <w:t> applies to all employers with a “reasonable expectation” of employee exposure to certain heat thresholds, it provides for some limited exceptions.</w:t>
      </w:r>
    </w:p>
    <w:p w14:paraId="3432C4BF"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There are two, defined applicable heat thresholds &amp; detailed employer procedures</w:t>
      </w:r>
    </w:p>
    <w:p w14:paraId="1AB2A643"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must develop a Prevention Plan, conduct training as well as perform monitoring requirements</w:t>
      </w:r>
    </w:p>
    <w:p w14:paraId="52A107C5"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6B3E99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Once published in the Federal Register, the public is encouraged to submit written comments on the rule.</w:t>
      </w:r>
    </w:p>
    <w:p w14:paraId="3F14CAE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To learn more, access the July 10</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Morgan Lewis article </w:t>
      </w:r>
      <w:hyperlink r:id="rId386" w:history="1">
        <w:r w:rsidRPr="00DD7BD1">
          <w:rPr>
            <w:rStyle w:val="Hyperlink"/>
            <w:rFonts w:ascii="Calibri" w:eastAsiaTheme="minorHAnsi" w:hAnsi="Calibri" w:cs="Calibri"/>
            <w:b w:val="0"/>
            <w:bCs w:val="0"/>
            <w:kern w:val="0"/>
            <w:sz w:val="22"/>
            <w:szCs w:val="22"/>
          </w:rPr>
          <w:t>HERE</w:t>
        </w:r>
      </w:hyperlink>
    </w:p>
    <w:p w14:paraId="1BB7D3BC" w14:textId="7777777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429D66" w14:textId="2E6708D8"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NLRB Voluntarily Withdraws Joint-employer Rule Appeal</w:t>
      </w:r>
    </w:p>
    <w:p w14:paraId="749D448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u w:val="single"/>
        </w:rPr>
      </w:pPr>
      <w:r w:rsidRPr="00DD7BD1">
        <w:rPr>
          <w:rFonts w:ascii="Calibri" w:eastAsiaTheme="minorHAnsi" w:hAnsi="Calibri" w:cs="Calibri"/>
          <w:kern w:val="0"/>
          <w:sz w:val="22"/>
          <w:szCs w:val="22"/>
          <w:u w:val="single"/>
        </w:rPr>
        <w:t>Timeline</w:t>
      </w:r>
    </w:p>
    <w:p w14:paraId="505B7750"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May 7, 2024, the NLRB appealed the federal judge’s decision to the U.S. Court of Appeals for the 5th Circuit.</w:t>
      </w:r>
    </w:p>
    <w:p w14:paraId="0E5EF1A8"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19, 2024, the NLRB voluntarily </w:t>
      </w:r>
      <w:r w:rsidRPr="00DD7BD1">
        <w:rPr>
          <w:rFonts w:ascii="Calibri" w:hAnsi="Calibri" w:cs="Calibri"/>
          <w:b w:val="0"/>
          <w:bCs w:val="0"/>
          <w:sz w:val="22"/>
          <w:szCs w:val="22"/>
          <w:u w:val="single"/>
        </w:rPr>
        <w:t>dismissed its appeal.</w:t>
      </w:r>
    </w:p>
    <w:p w14:paraId="6B6979F1"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sz w:val="22"/>
          <w:szCs w:val="22"/>
        </w:rPr>
      </w:pPr>
      <w:r w:rsidRPr="00DD7BD1">
        <w:rPr>
          <w:rFonts w:ascii="Calibri" w:hAnsi="Calibri" w:cs="Calibri"/>
          <w:sz w:val="22"/>
          <w:szCs w:val="22"/>
        </w:rPr>
        <w:t xml:space="preserve">The 2020 joint-employer rule remains in effect. </w:t>
      </w:r>
    </w:p>
    <w:p w14:paraId="4878106E"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should rely on the 2020 joint-employer rule to determine where joint employment exists. </w:t>
      </w:r>
    </w:p>
    <w:p w14:paraId="411B2BC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16"/>
          <w:szCs w:val="16"/>
          <w:u w:val="single"/>
        </w:rPr>
      </w:pPr>
    </w:p>
    <w:p w14:paraId="4A6BF0CC"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387" w:history="1">
        <w:r w:rsidRPr="00DD7BD1">
          <w:rPr>
            <w:rStyle w:val="Hyperlink"/>
            <w:rFonts w:ascii="Calibri" w:eastAsiaTheme="minorHAnsi" w:hAnsi="Calibri" w:cs="Calibri"/>
            <w:b w:val="0"/>
            <w:bCs w:val="0"/>
            <w:kern w:val="0"/>
            <w:sz w:val="22"/>
            <w:szCs w:val="22"/>
            <w:u w:val="none"/>
          </w:rPr>
          <w:t>2023 joint-employer rule</w:t>
        </w:r>
      </w:hyperlink>
      <w:r w:rsidRPr="00DD7BD1">
        <w:rPr>
          <w:rFonts w:ascii="Calibri" w:eastAsiaTheme="minorHAnsi" w:hAnsi="Calibri" w:cs="Calibri"/>
          <w:b w:val="0"/>
          <w:bCs w:val="0"/>
          <w:kern w:val="0"/>
          <w:sz w:val="22"/>
          <w:szCs w:val="22"/>
        </w:rPr>
        <w:t xml:space="preserve">.  The rule, which had been set to take effect on March 11, 2024, </w:t>
      </w:r>
      <w:r w:rsidRPr="00DD7BD1">
        <w:rPr>
          <w:rFonts w:ascii="Calibri" w:eastAsiaTheme="minorHAnsi" w:hAnsi="Calibri" w:cs="Calibri"/>
          <w:i/>
          <w:iCs/>
          <w:kern w:val="0"/>
          <w:sz w:val="22"/>
          <w:szCs w:val="22"/>
        </w:rPr>
        <w:t>would have expanded</w:t>
      </w:r>
      <w:r w:rsidRPr="00DD7BD1">
        <w:rPr>
          <w:rFonts w:ascii="Calibri" w:eastAsiaTheme="minorHAnsi" w:hAnsi="Calibri" w:cs="Calibri"/>
          <w:b w:val="0"/>
          <w:bCs w:val="0"/>
          <w:kern w:val="0"/>
          <w:sz w:val="22"/>
          <w:szCs w:val="22"/>
        </w:rPr>
        <w:t xml:space="preserve"> the types of control over job terms and conditions that trigger joint employment.</w:t>
      </w:r>
    </w:p>
    <w:p w14:paraId="2A01AB1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16"/>
          <w:szCs w:val="16"/>
        </w:rPr>
      </w:pPr>
    </w:p>
    <w:p w14:paraId="1D0D30D4" w14:textId="77777777" w:rsidR="001C5F42" w:rsidRPr="00DD7BD1" w:rsidRDefault="001C5F42" w:rsidP="001C5F42">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2020 Joint-employer Standard Recap: </w:t>
      </w:r>
    </w:p>
    <w:p w14:paraId="1E16F395"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2020 standard considers the </w:t>
      </w:r>
      <w:bookmarkStart w:id="38" w:name="_Hlk175057883"/>
      <w:r w:rsidRPr="00DD7BD1">
        <w:rPr>
          <w:rFonts w:ascii="Calibri" w:hAnsi="Calibri" w:cs="Calibri"/>
          <w:b w:val="0"/>
          <w:bCs w:val="0"/>
          <w:sz w:val="22"/>
          <w:szCs w:val="22"/>
        </w:rPr>
        <w:t>“</w:t>
      </w:r>
      <w:r w:rsidRPr="00DD7BD1">
        <w:rPr>
          <w:rFonts w:ascii="Calibri" w:hAnsi="Calibri" w:cs="Calibri"/>
          <w:sz w:val="22"/>
          <w:szCs w:val="22"/>
          <w:u w:val="single"/>
        </w:rPr>
        <w:t>substantial direct and immediate control</w:t>
      </w:r>
      <w:r w:rsidRPr="00DD7BD1">
        <w:rPr>
          <w:rFonts w:ascii="Calibri" w:hAnsi="Calibri" w:cs="Calibri"/>
          <w:b w:val="0"/>
          <w:bCs w:val="0"/>
          <w:sz w:val="22"/>
          <w:szCs w:val="22"/>
          <w:u w:val="single"/>
        </w:rPr>
        <w:t xml:space="preserve">” </w:t>
      </w:r>
      <w:bookmarkStart w:id="39" w:name="_Hlk175057893"/>
      <w:bookmarkEnd w:id="38"/>
      <w:r w:rsidRPr="00DD7BD1">
        <w:rPr>
          <w:rFonts w:ascii="Calibri" w:hAnsi="Calibri" w:cs="Calibri"/>
          <w:b w:val="0"/>
          <w:bCs w:val="0"/>
          <w:sz w:val="22"/>
          <w:szCs w:val="22"/>
          <w:u w:val="single"/>
        </w:rPr>
        <w:t>employers have over essential terms and conditions of employment for individuals who are employed by another organization</w:t>
      </w:r>
      <w:r w:rsidRPr="00DD7BD1">
        <w:rPr>
          <w:rFonts w:ascii="Calibri" w:hAnsi="Calibri" w:cs="Calibri"/>
          <w:b w:val="0"/>
          <w:bCs w:val="0"/>
          <w:sz w:val="22"/>
          <w:szCs w:val="22"/>
        </w:rPr>
        <w:t xml:space="preserve">. </w:t>
      </w:r>
      <w:bookmarkEnd w:id="39"/>
    </w:p>
    <w:p w14:paraId="718B684D"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bookmarkStart w:id="40" w:name="_Hlk175057917"/>
      <w:r w:rsidRPr="00DD7BD1">
        <w:rPr>
          <w:rFonts w:ascii="Calibri" w:hAnsi="Calibri" w:cs="Calibri"/>
          <w:b w:val="0"/>
          <w:bCs w:val="0"/>
          <w:sz w:val="22"/>
          <w:szCs w:val="22"/>
        </w:rPr>
        <w:t xml:space="preserve">Specifically, the 2020 joint-employer standard </w:t>
      </w:r>
      <w:r w:rsidRPr="00DD7BD1">
        <w:rPr>
          <w:rFonts w:ascii="Calibri" w:hAnsi="Calibri" w:cs="Calibri"/>
          <w:b w:val="0"/>
          <w:bCs w:val="0"/>
          <w:sz w:val="22"/>
          <w:szCs w:val="22"/>
          <w:u w:val="single"/>
        </w:rPr>
        <w:t xml:space="preserve">indicates that a business is a joint employer of another employer’s employees </w:t>
      </w:r>
      <w:r w:rsidRPr="00DD7BD1">
        <w:rPr>
          <w:rFonts w:ascii="Calibri" w:hAnsi="Calibri" w:cs="Calibri"/>
          <w:sz w:val="22"/>
          <w:szCs w:val="22"/>
          <w:u w:val="single"/>
        </w:rPr>
        <w:t>only if</w:t>
      </w:r>
      <w:r w:rsidRPr="00DD7BD1">
        <w:rPr>
          <w:rFonts w:ascii="Calibri" w:hAnsi="Calibri" w:cs="Calibri"/>
          <w:b w:val="0"/>
          <w:bCs w:val="0"/>
          <w:sz w:val="22"/>
          <w:szCs w:val="22"/>
          <w:u w:val="single"/>
        </w:rPr>
        <w:t xml:space="preserve"> the degree of joint control is of sufficient magnitude to conclude that the joint employer meaningfully affects matters relating to the employment relationship</w:t>
      </w:r>
      <w:r w:rsidRPr="00DD7BD1">
        <w:rPr>
          <w:rFonts w:ascii="Calibri" w:hAnsi="Calibri" w:cs="Calibri"/>
          <w:b w:val="0"/>
          <w:bCs w:val="0"/>
          <w:sz w:val="22"/>
          <w:szCs w:val="22"/>
        </w:rPr>
        <w:t>.</w:t>
      </w:r>
    </w:p>
    <w:bookmarkEnd w:id="40"/>
    <w:p w14:paraId="0C2D55A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246749F0" w14:textId="40B8BF5B" w:rsidR="00636C21" w:rsidRPr="00DD7BD1" w:rsidRDefault="001C5F42" w:rsidP="000C0E84">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Employers should ensure they rely on the 2020 joint-employer standard to determine where joint employment exists.</w:t>
      </w:r>
    </w:p>
    <w:p w14:paraId="17F6FB5C" w14:textId="77777777" w:rsidR="000C0E84" w:rsidRPr="00DD7BD1" w:rsidRDefault="000C0E84" w:rsidP="000C0E84">
      <w:pPr>
        <w:shd w:val="clear" w:color="auto" w:fill="FFFFFF"/>
        <w:spacing w:after="0" w:line="240" w:lineRule="auto"/>
        <w:rPr>
          <w:rFonts w:ascii="Calibri" w:eastAsia="Times New Roman" w:hAnsi="Calibri" w:cs="Calibri"/>
        </w:rPr>
      </w:pPr>
    </w:p>
    <w:p w14:paraId="5856D1B2" w14:textId="5F85A066" w:rsidR="001C5F42" w:rsidRPr="00DD7BD1" w:rsidRDefault="001C5F42" w:rsidP="001C5F42">
      <w:pPr>
        <w:spacing w:after="0" w:line="240" w:lineRule="auto"/>
        <w:jc w:val="center"/>
        <w:rPr>
          <w:rFonts w:ascii="Calibri" w:hAnsi="Calibri" w:cs="Calibri"/>
          <w:b/>
          <w:bCs/>
          <w:sz w:val="28"/>
          <w:szCs w:val="28"/>
        </w:rPr>
      </w:pPr>
      <w:r w:rsidRPr="00DD7BD1">
        <w:rPr>
          <w:rFonts w:ascii="Calibri" w:hAnsi="Calibri" w:cs="Calibri"/>
          <w:b/>
          <w:bCs/>
          <w:sz w:val="28"/>
          <w:szCs w:val="28"/>
        </w:rPr>
        <w:t>Labor and Employment Issues in a Post-Chevron World</w:t>
      </w:r>
    </w:p>
    <w:p w14:paraId="15B7839E" w14:textId="77777777" w:rsidR="001C5F42" w:rsidRPr="00DD7BD1" w:rsidRDefault="001C5F42" w:rsidP="001C5F42">
      <w:pPr>
        <w:spacing w:after="0" w:line="240" w:lineRule="auto"/>
        <w:rPr>
          <w:rFonts w:ascii="Calibri" w:hAnsi="Calibri" w:cs="Calibri"/>
        </w:rPr>
      </w:pPr>
      <w:r w:rsidRPr="00DD7BD1">
        <w:rPr>
          <w:rFonts w:ascii="Calibri" w:hAnsi="Calibri" w:cs="Calibri"/>
        </w:rPr>
        <w:t>With the US Supreme Court’s June 28 decision in </w:t>
      </w:r>
      <w:r w:rsidRPr="00DD7BD1">
        <w:rPr>
          <w:rFonts w:ascii="Calibri" w:hAnsi="Calibri" w:cs="Calibri"/>
          <w:i/>
          <w:iCs/>
        </w:rPr>
        <w:t>Loper Bright Enterprises v. Raimondo </w:t>
      </w:r>
      <w:r w:rsidRPr="00DD7BD1">
        <w:rPr>
          <w:rFonts w:ascii="Calibri" w:hAnsi="Calibri" w:cs="Calibri"/>
        </w:rPr>
        <w:t>and </w:t>
      </w:r>
      <w:r w:rsidRPr="00DD7BD1">
        <w:rPr>
          <w:rFonts w:ascii="Calibri" w:hAnsi="Calibri" w:cs="Calibri"/>
          <w:i/>
          <w:iCs/>
        </w:rPr>
        <w:t>Relentless v. Department of Commerce</w:t>
      </w:r>
      <w:r w:rsidRPr="00DD7BD1">
        <w:rPr>
          <w:rFonts w:ascii="Calibri" w:hAnsi="Calibri" w:cs="Calibri"/>
        </w:rPr>
        <w:t>, the four-decades </w:t>
      </w:r>
      <w:r w:rsidRPr="00DD7BD1">
        <w:rPr>
          <w:rFonts w:ascii="Calibri" w:hAnsi="Calibri" w:cs="Calibri"/>
          <w:i/>
          <w:iCs/>
        </w:rPr>
        <w:t>Chevron </w:t>
      </w:r>
      <w:r w:rsidRPr="00DD7BD1">
        <w:rPr>
          <w:rFonts w:ascii="Calibri" w:hAnsi="Calibri" w:cs="Calibri"/>
        </w:rPr>
        <w:t xml:space="preserve">doctrine is no longer. While the Court’s decision has altered </w:t>
      </w:r>
      <w:r w:rsidRPr="00DD7BD1">
        <w:rPr>
          <w:rFonts w:ascii="Calibri" w:hAnsi="Calibri" w:cs="Calibri"/>
          <w:b/>
          <w:bCs/>
        </w:rPr>
        <w:t>administrative jurisprudence</w:t>
      </w:r>
      <w:r w:rsidRPr="00DD7BD1">
        <w:rPr>
          <w:rFonts w:ascii="Calibri" w:hAnsi="Calibri" w:cs="Calibri"/>
        </w:rPr>
        <w:t xml:space="preserve"> as we have come to know it, its impact on labor and employment agency action may vary from sweeping change to a continuation of the status quo. </w:t>
      </w:r>
    </w:p>
    <w:p w14:paraId="3C40F1BB" w14:textId="77777777" w:rsidR="001C5F42" w:rsidRPr="00DD7BD1" w:rsidRDefault="001C5F42" w:rsidP="001C5F42">
      <w:pPr>
        <w:spacing w:after="0" w:line="240" w:lineRule="auto"/>
        <w:rPr>
          <w:rFonts w:ascii="Calibri" w:hAnsi="Calibri" w:cs="Calibri"/>
        </w:rPr>
      </w:pPr>
    </w:p>
    <w:p w14:paraId="228668A7" w14:textId="77777777" w:rsidR="001C5F42" w:rsidRPr="00DD7BD1" w:rsidRDefault="001C5F42" w:rsidP="001C5F42">
      <w:pPr>
        <w:spacing w:after="0" w:line="240" w:lineRule="auto"/>
        <w:rPr>
          <w:rFonts w:ascii="Calibri" w:hAnsi="Calibri" w:cs="Calibri"/>
          <w:u w:val="single"/>
        </w:rPr>
      </w:pPr>
      <w:r w:rsidRPr="00DD7BD1">
        <w:rPr>
          <w:rFonts w:ascii="Calibri" w:hAnsi="Calibri" w:cs="Calibri"/>
        </w:rPr>
        <w:t>With </w:t>
      </w:r>
      <w:r w:rsidRPr="00DD7BD1">
        <w:rPr>
          <w:rFonts w:ascii="Calibri" w:hAnsi="Calibri" w:cs="Calibri"/>
          <w:i/>
          <w:iCs/>
        </w:rPr>
        <w:t>Loper Bright</w:t>
      </w:r>
      <w:r w:rsidRPr="00DD7BD1">
        <w:rPr>
          <w:rFonts w:ascii="Calibri" w:hAnsi="Calibri" w:cs="Calibri"/>
        </w:rPr>
        <w:t xml:space="preserve">, </w:t>
      </w:r>
      <w:r w:rsidRPr="00DD7BD1">
        <w:rPr>
          <w:rFonts w:ascii="Calibri" w:hAnsi="Calibri" w:cs="Calibri"/>
          <w:u w:val="single"/>
        </w:rPr>
        <w:t>federal courts have been directed not to defer to administrative agencies’ interpretations</w:t>
      </w:r>
      <w:r w:rsidRPr="00DD7BD1">
        <w:rPr>
          <w:rFonts w:ascii="Calibri" w:hAnsi="Calibri" w:cs="Calibri"/>
        </w:rPr>
        <w:t xml:space="preserve"> of ambiguous or broad statutes, save for narrow exceptions such as express delegations. Instead, </w:t>
      </w:r>
      <w:r w:rsidRPr="00DD7BD1">
        <w:rPr>
          <w:rFonts w:ascii="Calibri" w:hAnsi="Calibri" w:cs="Calibri"/>
          <w:u w:val="single"/>
        </w:rPr>
        <w:t>federal courts must exercise independent judgment when reviewing statutory text and use traditional tools of statutory construction to find the “best meaning” of the statute</w:t>
      </w:r>
      <w:r w:rsidRPr="00DD7BD1">
        <w:rPr>
          <w:rFonts w:ascii="Calibri" w:hAnsi="Calibri" w:cs="Calibri"/>
        </w:rPr>
        <w:t xml:space="preserve">. </w:t>
      </w:r>
      <w:r w:rsidRPr="00DD7BD1">
        <w:rPr>
          <w:rFonts w:ascii="Calibri" w:hAnsi="Calibri" w:cs="Calibri"/>
          <w:u w:val="single"/>
        </w:rPr>
        <w:t>The agency simply presenting a “reasonable” or “permissible” construction of an ambiguous statute is not sufficient for it to prevail.</w:t>
      </w:r>
    </w:p>
    <w:p w14:paraId="1969A0B8" w14:textId="77777777" w:rsidR="001C5F42" w:rsidRPr="00DD7BD1" w:rsidRDefault="001C5F42" w:rsidP="001C5F42">
      <w:pPr>
        <w:spacing w:after="0" w:line="240" w:lineRule="auto"/>
        <w:rPr>
          <w:rFonts w:ascii="Calibri" w:hAnsi="Calibri" w:cs="Calibri"/>
        </w:rPr>
      </w:pPr>
    </w:p>
    <w:p w14:paraId="0447625A" w14:textId="77777777" w:rsidR="001C5F42" w:rsidRPr="00DD7BD1" w:rsidRDefault="001C5F42" w:rsidP="001C5F42">
      <w:pPr>
        <w:spacing w:after="0" w:line="240" w:lineRule="auto"/>
        <w:rPr>
          <w:rFonts w:ascii="Calibri" w:hAnsi="Calibri" w:cs="Calibri"/>
        </w:rPr>
      </w:pPr>
      <w:r w:rsidRPr="00DD7BD1">
        <w:rPr>
          <w:rFonts w:ascii="Calibri" w:hAnsi="Calibri" w:cs="Calibri"/>
        </w:rPr>
        <w:t>That said, the Supreme Court made clear in </w:t>
      </w:r>
      <w:r w:rsidRPr="00DD7BD1">
        <w:rPr>
          <w:rFonts w:ascii="Calibri" w:hAnsi="Calibri" w:cs="Calibri"/>
          <w:i/>
          <w:iCs/>
        </w:rPr>
        <w:t>Loper Bright</w:t>
      </w:r>
      <w:r w:rsidRPr="00DD7BD1">
        <w:rPr>
          <w:rFonts w:ascii="Calibri" w:hAnsi="Calibri" w:cs="Calibri"/>
        </w:rPr>
        <w:t> that all existing judicial decisions upholding agency rules and orders are not automatically overruled by the new decision, even if courts relied on </w:t>
      </w:r>
      <w:r w:rsidRPr="00DD7BD1">
        <w:rPr>
          <w:rFonts w:ascii="Calibri" w:hAnsi="Calibri" w:cs="Calibri"/>
          <w:i/>
          <w:iCs/>
        </w:rPr>
        <w:t>Chevron</w:t>
      </w:r>
      <w:r w:rsidRPr="00DD7BD1">
        <w:rPr>
          <w:rFonts w:ascii="Calibri" w:hAnsi="Calibri" w:cs="Calibri"/>
        </w:rPr>
        <w:t> in those earlier decisions.</w:t>
      </w:r>
    </w:p>
    <w:p w14:paraId="4194D051" w14:textId="77777777" w:rsidR="001C5F42" w:rsidRPr="00DD7BD1" w:rsidRDefault="001C5F42" w:rsidP="001C5F42">
      <w:pPr>
        <w:spacing w:after="0" w:line="240" w:lineRule="auto"/>
        <w:rPr>
          <w:rFonts w:ascii="Calibri" w:hAnsi="Calibri" w:cs="Calibri"/>
        </w:rPr>
      </w:pPr>
      <w:r w:rsidRPr="00DD7BD1">
        <w:rPr>
          <w:rFonts w:ascii="Calibri" w:hAnsi="Calibri" w:cs="Calibri"/>
        </w:rPr>
        <w:t>Time will certainly provide greater insight into the implications of the recent Decision.</w:t>
      </w:r>
    </w:p>
    <w:p w14:paraId="0508810E" w14:textId="77777777" w:rsidR="001C5F42" w:rsidRPr="00DD7BD1" w:rsidRDefault="001C5F42" w:rsidP="001C5F42">
      <w:pPr>
        <w:shd w:val="clear" w:color="auto" w:fill="FFFFFF"/>
        <w:spacing w:after="0" w:line="240" w:lineRule="auto"/>
        <w:rPr>
          <w:rFonts w:ascii="Calibri" w:eastAsia="Times New Roman" w:hAnsi="Calibri" w:cs="Calibri"/>
        </w:rPr>
      </w:pPr>
    </w:p>
    <w:p w14:paraId="324BB075" w14:textId="77777777" w:rsidR="001C5F42" w:rsidRPr="00DD7BD1" w:rsidRDefault="001C5F42" w:rsidP="001C5F42">
      <w:pPr>
        <w:shd w:val="clear" w:color="auto" w:fill="FFFFFF"/>
        <w:spacing w:after="0" w:line="240" w:lineRule="auto"/>
        <w:jc w:val="center"/>
        <w:rPr>
          <w:rFonts w:ascii="Calibri" w:eastAsia="Times New Roman" w:hAnsi="Calibri" w:cs="Calibri"/>
          <w:b/>
          <w:bCs/>
          <w:sz w:val="28"/>
          <w:szCs w:val="28"/>
        </w:rPr>
      </w:pPr>
      <w:r w:rsidRPr="00DD7BD1">
        <w:rPr>
          <w:rFonts w:ascii="Calibri" w:eastAsia="Times New Roman" w:hAnsi="Calibri" w:cs="Calibri"/>
          <w:b/>
          <w:bCs/>
          <w:color w:val="C00000"/>
          <w:sz w:val="28"/>
          <w:szCs w:val="28"/>
        </w:rPr>
        <w:t xml:space="preserve">IN THE NEWS - </w:t>
      </w:r>
      <w:r w:rsidRPr="00DD7BD1">
        <w:rPr>
          <w:rFonts w:ascii="Calibri" w:eastAsia="Times New Roman" w:hAnsi="Calibri" w:cs="Calibri"/>
          <w:b/>
          <w:bCs/>
          <w:sz w:val="28"/>
          <w:szCs w:val="28"/>
        </w:rPr>
        <w:t>Texas Federal District Court Partially Blocks the FTC’s Employer Noncompete Ban</w:t>
      </w:r>
    </w:p>
    <w:p w14:paraId="1CBD3F17" w14:textId="77777777" w:rsidR="001C5F42" w:rsidRPr="00DD7BD1" w:rsidRDefault="001C5F42" w:rsidP="001C5F42">
      <w:pPr>
        <w:shd w:val="clear" w:color="auto" w:fill="FFFFFF"/>
        <w:spacing w:after="0" w:line="240" w:lineRule="auto"/>
        <w:rPr>
          <w:rFonts w:ascii="Calibri" w:eastAsia="Times New Roman" w:hAnsi="Calibri" w:cs="Calibri"/>
          <w:b/>
          <w:bCs/>
          <w:u w:val="single"/>
        </w:rPr>
      </w:pPr>
      <w:r w:rsidRPr="00DD7BD1">
        <w:rPr>
          <w:rFonts w:ascii="Calibri" w:eastAsia="Times New Roman" w:hAnsi="Calibri" w:cs="Calibri"/>
          <w:b/>
          <w:bCs/>
          <w:u w:val="single"/>
        </w:rPr>
        <w:t>Timeline:</w:t>
      </w:r>
    </w:p>
    <w:p w14:paraId="232A0CE1"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In April, the Federal Trade Commission (FTC) issued an administrative rule that will essentially ban all noncompete agreements effective September 4, 2024.</w:t>
      </w:r>
    </w:p>
    <w:p w14:paraId="1F3CDE12"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On July 3, 2024, the Northern District of Texas put the FTC noncompete ban on hold, only with respect to the plaintiffs, until it issues a final decision in a case challenging the ban’s validity.</w:t>
      </w:r>
    </w:p>
    <w:p w14:paraId="7D201334"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For all other employers, </w:t>
      </w:r>
      <w:r w:rsidRPr="00DD7BD1">
        <w:rPr>
          <w:rFonts w:ascii="Calibri" w:eastAsia="Times New Roman" w:hAnsi="Calibri" w:cs="Calibri"/>
          <w:u w:val="single"/>
        </w:rPr>
        <w:t xml:space="preserve">the noncompete ban is still scheduled to take effect on </w:t>
      </w:r>
      <w:r w:rsidRPr="00DD7BD1">
        <w:rPr>
          <w:rFonts w:ascii="Calibri" w:eastAsia="Times New Roman" w:hAnsi="Calibri" w:cs="Calibri"/>
          <w:b/>
          <w:bCs/>
          <w:u w:val="single"/>
        </w:rPr>
        <w:t>Sept. 4, 2024</w:t>
      </w:r>
      <w:r w:rsidRPr="00DD7BD1">
        <w:rPr>
          <w:rFonts w:ascii="Calibri" w:eastAsia="Times New Roman" w:hAnsi="Calibri" w:cs="Calibri"/>
          <w:u w:val="single"/>
        </w:rPr>
        <w:t>.</w:t>
      </w:r>
    </w:p>
    <w:p w14:paraId="528DBAB5"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court stated that </w:t>
      </w:r>
      <w:r w:rsidRPr="00DD7BD1">
        <w:rPr>
          <w:rFonts w:ascii="Calibri" w:eastAsia="Times New Roman" w:hAnsi="Calibri" w:cs="Calibri"/>
          <w:u w:val="single"/>
        </w:rPr>
        <w:t xml:space="preserve">it intends to rule on the merits of the case on or before </w:t>
      </w:r>
      <w:r w:rsidRPr="00DD7BD1">
        <w:rPr>
          <w:rFonts w:ascii="Calibri" w:eastAsia="Times New Roman" w:hAnsi="Calibri" w:cs="Calibri"/>
          <w:b/>
          <w:bCs/>
          <w:u w:val="single"/>
        </w:rPr>
        <w:t>Aug. 30, 2024</w:t>
      </w:r>
      <w:r w:rsidRPr="00DD7BD1">
        <w:rPr>
          <w:rFonts w:ascii="Calibri" w:eastAsia="Times New Roman" w:hAnsi="Calibri" w:cs="Calibri"/>
          <w:b/>
          <w:bCs/>
        </w:rPr>
        <w:t>.</w:t>
      </w:r>
      <w:r w:rsidRPr="00DD7BD1">
        <w:rPr>
          <w:rFonts w:ascii="Calibri" w:eastAsia="Times New Roman" w:hAnsi="Calibri" w:cs="Calibri"/>
        </w:rPr>
        <w:t xml:space="preserve"> </w:t>
      </w:r>
    </w:p>
    <w:p w14:paraId="2240A5AC"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Depending on the outcome, the ruling could affect the ban’s effective date nationwide, so employers should continue to monitor for updates. </w:t>
      </w:r>
    </w:p>
    <w:p w14:paraId="25206AE3"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On July 3, 2024, the U.S. District Court for the Northern District of Texas </w:t>
      </w:r>
      <w:hyperlink r:id="rId388" w:history="1">
        <w:r w:rsidRPr="00DD7BD1">
          <w:rPr>
            <w:rStyle w:val="Hyperlink"/>
            <w:rFonts w:ascii="Calibri" w:hAnsi="Calibri" w:cs="Calibri"/>
          </w:rPr>
          <w:t>granted</w:t>
        </w:r>
      </w:hyperlink>
      <w:r w:rsidRPr="00DD7BD1">
        <w:rPr>
          <w:rFonts w:ascii="Calibri" w:hAnsi="Calibri" w:cs="Calibri"/>
        </w:rPr>
        <w:t xml:space="preserve"> the plaintiffs’ motion in </w:t>
      </w:r>
      <w:r w:rsidRPr="00DD7BD1">
        <w:rPr>
          <w:rFonts w:ascii="Calibri" w:hAnsi="Calibri" w:cs="Calibri"/>
          <w:b/>
          <w:bCs/>
          <w:i/>
          <w:iCs/>
        </w:rPr>
        <w:t>Ryan LLC v. FTC</w:t>
      </w:r>
      <w:r w:rsidRPr="00DD7BD1">
        <w:rPr>
          <w:rFonts w:ascii="Calibri" w:hAnsi="Calibri" w:cs="Calibri"/>
        </w:rPr>
        <w:t xml:space="preserve"> for a </w:t>
      </w:r>
      <w:r w:rsidRPr="00DD7BD1">
        <w:rPr>
          <w:rFonts w:ascii="Calibri" w:hAnsi="Calibri" w:cs="Calibri"/>
          <w:u w:val="single"/>
        </w:rPr>
        <w:t>preliminary injunction to block the Federal Trade Commission’s (FTC) noncompete ban</w:t>
      </w:r>
      <w:r w:rsidRPr="00DD7BD1">
        <w:rPr>
          <w:rFonts w:ascii="Calibri" w:hAnsi="Calibri" w:cs="Calibri"/>
        </w:rPr>
        <w:t xml:space="preserve"> while the court considers the merit of the case. The injunction applies </w:t>
      </w:r>
      <w:r w:rsidRPr="00DD7BD1">
        <w:rPr>
          <w:rFonts w:ascii="Calibri" w:hAnsi="Calibri" w:cs="Calibri"/>
          <w:u w:val="single"/>
        </w:rPr>
        <w:t>only to the plaintiffs in the case</w:t>
      </w:r>
      <w:r w:rsidRPr="00DD7BD1">
        <w:rPr>
          <w:rFonts w:ascii="Calibri" w:hAnsi="Calibri" w:cs="Calibri"/>
        </w:rPr>
        <w:t xml:space="preserve">: a Texas employer, the U.S. Chamber of Commerce and other business organizations.  As such, </w:t>
      </w:r>
      <w:r w:rsidRPr="00DD7BD1">
        <w:rPr>
          <w:rFonts w:ascii="Calibri" w:hAnsi="Calibri" w:cs="Calibri"/>
          <w:b/>
          <w:bCs/>
        </w:rPr>
        <w:t>employers who are NOT parties to the suit are not covered under the injunction</w:t>
      </w:r>
      <w:r w:rsidRPr="00DD7BD1">
        <w:rPr>
          <w:rFonts w:ascii="Calibri" w:hAnsi="Calibri" w:cs="Calibri"/>
        </w:rPr>
        <w:t xml:space="preserve">. The court intends to rule on the merits of the case by Aug. 30, 2024, before the ban’s scheduled effective date of Sept. 4, 2024. </w:t>
      </w:r>
    </w:p>
    <w:p w14:paraId="67B1512B" w14:textId="77777777" w:rsidR="001C5F42" w:rsidRPr="00DD7BD1" w:rsidRDefault="001C5F42" w:rsidP="001C5F42">
      <w:pPr>
        <w:pStyle w:val="ParagraphBasic"/>
        <w:spacing w:after="80"/>
        <w:rPr>
          <w:rFonts w:ascii="Calibri" w:hAnsi="Calibri" w:cs="Calibri"/>
          <w:b/>
          <w:bCs/>
        </w:rPr>
      </w:pPr>
      <w:r w:rsidRPr="00DD7BD1">
        <w:rPr>
          <w:rFonts w:ascii="Calibri" w:hAnsi="Calibri" w:cs="Calibri"/>
          <w:b/>
          <w:bCs/>
          <w:highlight w:val="lightGray"/>
        </w:rPr>
        <w:t>Impact on Employers:</w:t>
      </w:r>
    </w:p>
    <w:p w14:paraId="1883BC22"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Per the court’s decision, </w:t>
      </w:r>
      <w:r w:rsidRPr="00DD7BD1">
        <w:rPr>
          <w:rFonts w:ascii="Calibri" w:hAnsi="Calibri" w:cs="Calibri"/>
          <w:u w:val="single"/>
        </w:rPr>
        <w:t>the effective date of the noncompete ban is stayed only for the plaintiffs; it does not apply nationwide</w:t>
      </w:r>
      <w:r w:rsidRPr="00DD7BD1">
        <w:rPr>
          <w:rFonts w:ascii="Calibri" w:hAnsi="Calibri" w:cs="Calibri"/>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Pr="00DD7BD1" w:rsidRDefault="001C5F42" w:rsidP="001C5F42">
      <w:pPr>
        <w:pStyle w:val="ParagraphBasic"/>
        <w:spacing w:after="0" w:line="240" w:lineRule="auto"/>
        <w:rPr>
          <w:rFonts w:ascii="Calibri" w:hAnsi="Calibri" w:cs="Calibri"/>
        </w:rPr>
      </w:pPr>
      <w:r w:rsidRPr="00DD7BD1">
        <w:rPr>
          <w:rFonts w:ascii="Calibri" w:hAnsi="Calibri" w:cs="Calibri"/>
        </w:rPr>
        <w:t>In addition, the U.S. District Court for the Eastern District of Pennsylvania scheduled a hearing in a separate case seeking a preliminary injunction of the noncompete ban on July 10, 2024, and is expected to issue a ruling by July 23, 2024. Employers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Pr="00DD7BD1" w:rsidRDefault="001C5F42" w:rsidP="001C5F42">
      <w:pPr>
        <w:pStyle w:val="ParagraphBasic"/>
        <w:spacing w:after="0" w:line="240" w:lineRule="auto"/>
        <w:rPr>
          <w:rFonts w:ascii="Calibri" w:hAnsi="Calibri" w:cs="Calibri"/>
        </w:rPr>
      </w:pPr>
    </w:p>
    <w:p w14:paraId="7CA6A262" w14:textId="48BE48DF" w:rsidR="00CD70B8" w:rsidRPr="00DD7BD1" w:rsidRDefault="001C5F42" w:rsidP="00503F70">
      <w:pPr>
        <w:pStyle w:val="ParagraphBasic"/>
        <w:spacing w:after="0" w:line="240" w:lineRule="auto"/>
        <w:rPr>
          <w:rFonts w:ascii="Calibri" w:hAnsi="Calibri" w:cs="Calibri"/>
        </w:rPr>
      </w:pPr>
      <w:r w:rsidRPr="00DD7BD1">
        <w:rPr>
          <w:rFonts w:ascii="Calibri" w:hAnsi="Calibri" w:cs="Calibri"/>
        </w:rPr>
        <w:t>Additionally, on April 23</w:t>
      </w:r>
      <w:r w:rsidRPr="00DD7BD1">
        <w:rPr>
          <w:rFonts w:ascii="Calibri" w:hAnsi="Calibri" w:cs="Calibri"/>
          <w:vertAlign w:val="superscript"/>
        </w:rPr>
        <w:t>rd</w:t>
      </w:r>
      <w:r w:rsidRPr="00DD7BD1">
        <w:rPr>
          <w:rFonts w:ascii="Calibri" w:hAnsi="Calibri" w:cs="Calibri"/>
        </w:rPr>
        <w:t>, the same day of the filing of the Ryan LLC lawsuit, the U.S. Chamber of Commerce (the nation’s largest business advocacy group) filed a similar lawsuit in the Eastern District of Texas seeking to do the same. Since then, another lawsuit was filed in the Eastern District of Pennsylvania (</w:t>
      </w:r>
      <w:r w:rsidRPr="00DD7BD1">
        <w:rPr>
          <w:rFonts w:ascii="Calibri" w:hAnsi="Calibri" w:cs="Calibri"/>
          <w:i/>
          <w:iCs/>
        </w:rPr>
        <w:t>ATS Tree Services, LLC v. Federal Trade Commission et al.</w:t>
      </w:r>
      <w:r w:rsidRPr="00DD7BD1">
        <w:rPr>
          <w:rFonts w:ascii="Calibri" w:hAnsi="Calibri" w:cs="Calibri"/>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DD7BD1" w:rsidRDefault="00503F70" w:rsidP="00503F70">
      <w:pPr>
        <w:pStyle w:val="ParagraphBasic"/>
        <w:spacing w:after="0" w:line="240" w:lineRule="auto"/>
        <w:rPr>
          <w:rFonts w:ascii="Calibri" w:hAnsi="Calibri" w:cs="Calibri"/>
        </w:rPr>
      </w:pPr>
    </w:p>
    <w:p w14:paraId="0D2EFE58" w14:textId="45F5AACF" w:rsidR="001C5F42" w:rsidRPr="00DD7BD1" w:rsidRDefault="001C5F42" w:rsidP="001C5F42">
      <w:pPr>
        <w:jc w:val="center"/>
        <w:rPr>
          <w:rFonts w:ascii="Calibri" w:hAnsi="Calibri" w:cs="Calibri"/>
          <w:color w:val="C00000"/>
          <w:sz w:val="28"/>
          <w:szCs w:val="28"/>
        </w:rPr>
      </w:pPr>
      <w:r w:rsidRPr="00DD7BD1">
        <w:rPr>
          <w:rFonts w:ascii="Calibri" w:eastAsia="Times New Roman" w:hAnsi="Calibri" w:cs="Calibri"/>
          <w:b/>
          <w:bCs/>
          <w:color w:val="C00000"/>
          <w:sz w:val="28"/>
          <w:szCs w:val="28"/>
        </w:rPr>
        <w:t>IN THE NEWS -</w:t>
      </w:r>
      <w:r w:rsidRPr="00DD7BD1">
        <w:rPr>
          <w:rFonts w:ascii="Calibri" w:hAnsi="Calibri" w:cs="Calibri"/>
          <w:b/>
          <w:bCs/>
          <w:color w:val="515151"/>
          <w:sz w:val="42"/>
          <w:szCs w:val="42"/>
        </w:rPr>
        <w:t xml:space="preserve"> </w:t>
      </w:r>
      <w:r w:rsidRPr="00DD7BD1">
        <w:rPr>
          <w:rFonts w:ascii="Calibri" w:hAnsi="Calibri" w:cs="Calibri"/>
          <w:b/>
          <w:bCs/>
          <w:sz w:val="28"/>
          <w:szCs w:val="28"/>
        </w:rPr>
        <w:t>Texas Judge Suspends DOL's Ability to Enforce New FLSA's White-Collar Exemption</w:t>
      </w:r>
    </w:p>
    <w:p w14:paraId="5EE03EB9" w14:textId="77777777" w:rsidR="001C5F42" w:rsidRPr="00DD7BD1" w:rsidRDefault="001C5F42" w:rsidP="001C5F42">
      <w:pPr>
        <w:spacing w:after="0" w:line="240" w:lineRule="auto"/>
        <w:rPr>
          <w:rFonts w:ascii="Calibri" w:hAnsi="Calibri" w:cs="Calibri"/>
        </w:rPr>
      </w:pPr>
      <w:bookmarkStart w:id="41" w:name="_Hlk175058126"/>
      <w:r w:rsidRPr="00DD7BD1">
        <w:rPr>
          <w:rFonts w:ascii="Calibri" w:hAnsi="Calibri" w:cs="Calibri"/>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41"/>
    <w:p w14:paraId="5BD3275B" w14:textId="77777777" w:rsidR="001C5F42" w:rsidRPr="00DD7BD1" w:rsidRDefault="001C5F42" w:rsidP="001C5F42">
      <w:pPr>
        <w:spacing w:after="0" w:line="240" w:lineRule="auto"/>
        <w:rPr>
          <w:rFonts w:ascii="Calibri" w:hAnsi="Calibri" w:cs="Calibri"/>
        </w:rPr>
      </w:pPr>
      <w:r w:rsidRPr="00DD7BD1">
        <w:rPr>
          <w:rFonts w:ascii="Calibri" w:hAnsi="Calibri" w:cs="Calibri"/>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Pr="00DD7BD1" w:rsidRDefault="001C5F42" w:rsidP="001C5F42">
      <w:pPr>
        <w:spacing w:after="0" w:line="240" w:lineRule="auto"/>
        <w:rPr>
          <w:rFonts w:ascii="Calibri" w:hAnsi="Calibri" w:cs="Calibri"/>
          <w:b/>
          <w:bCs/>
        </w:rPr>
      </w:pPr>
    </w:p>
    <w:p w14:paraId="7A8E1469"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Key Changes Under the New Rule</w:t>
      </w:r>
    </w:p>
    <w:p w14:paraId="37B1EF90" w14:textId="77777777" w:rsidR="001C5F42" w:rsidRPr="00DD7BD1" w:rsidRDefault="001C5F42" w:rsidP="001C5F42">
      <w:pPr>
        <w:spacing w:after="0" w:line="240" w:lineRule="auto"/>
        <w:rPr>
          <w:rFonts w:ascii="Calibri" w:hAnsi="Calibri" w:cs="Calibri"/>
        </w:rPr>
      </w:pPr>
      <w:r w:rsidRPr="00DD7BD1">
        <w:rPr>
          <w:rFonts w:ascii="Calibri" w:hAnsi="Calibri" w:cs="Calibri"/>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Pr="00DD7BD1" w:rsidRDefault="001C5F42" w:rsidP="001C5F42">
      <w:pPr>
        <w:spacing w:after="0" w:line="240" w:lineRule="auto"/>
        <w:rPr>
          <w:rFonts w:ascii="Calibri" w:hAnsi="Calibri" w:cs="Calibri"/>
          <w:b/>
          <w:bCs/>
        </w:rPr>
      </w:pPr>
    </w:p>
    <w:p w14:paraId="7CA5C01D"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Legal and Practical Implications</w:t>
      </w:r>
    </w:p>
    <w:p w14:paraId="7DC801CE" w14:textId="77777777" w:rsidR="001C5F42" w:rsidRPr="00DD7BD1" w:rsidRDefault="001C5F42" w:rsidP="001C5F42">
      <w:pPr>
        <w:spacing w:after="0" w:line="240" w:lineRule="auto"/>
        <w:rPr>
          <w:rFonts w:ascii="Calibri" w:hAnsi="Calibri" w:cs="Calibri"/>
        </w:rPr>
      </w:pPr>
      <w:bookmarkStart w:id="42" w:name="_Hlk175058135"/>
      <w:r w:rsidRPr="00DD7BD1">
        <w:rPr>
          <w:rFonts w:ascii="Calibri" w:hAnsi="Calibri" w:cs="Calibri"/>
        </w:rPr>
        <w:t>The new rule has generated mixed reactions.</w:t>
      </w:r>
      <w:bookmarkEnd w:id="42"/>
      <w:r w:rsidRPr="00DD7BD1">
        <w:rPr>
          <w:rFonts w:ascii="Calibri" w:hAnsi="Calibri" w:cs="Calibri"/>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DD7BD1" w:rsidRDefault="001C5F42" w:rsidP="001C5F42">
      <w:pPr>
        <w:spacing w:after="0" w:line="240" w:lineRule="auto"/>
        <w:rPr>
          <w:rFonts w:ascii="Calibri" w:hAnsi="Calibri" w:cs="Calibri"/>
        </w:rPr>
      </w:pPr>
      <w:bookmarkStart w:id="43" w:name="_Hlk175058163"/>
      <w:r w:rsidRPr="00DD7BD1">
        <w:rPr>
          <w:rFonts w:ascii="Calibri" w:hAnsi="Calibri" w:cs="Calibri"/>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43"/>
    <w:p w14:paraId="280ECFAC" w14:textId="77777777" w:rsidR="001C5F42" w:rsidRPr="00DD7BD1" w:rsidRDefault="001C5F42" w:rsidP="001C5F42">
      <w:pPr>
        <w:spacing w:after="0" w:line="240" w:lineRule="auto"/>
        <w:rPr>
          <w:rFonts w:ascii="Calibri" w:hAnsi="Calibri" w:cs="Calibri"/>
          <w:b/>
          <w:bCs/>
        </w:rPr>
      </w:pPr>
    </w:p>
    <w:p w14:paraId="5B41CB14"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Addressing Compliance</w:t>
      </w:r>
    </w:p>
    <w:p w14:paraId="0618B70E" w14:textId="77777777" w:rsidR="001C5F42" w:rsidRPr="00DD7BD1" w:rsidRDefault="001C5F42" w:rsidP="001C5F42">
      <w:pPr>
        <w:spacing w:after="0" w:line="240" w:lineRule="auto"/>
        <w:rPr>
          <w:rFonts w:ascii="Calibri" w:hAnsi="Calibri" w:cs="Calibri"/>
        </w:rPr>
      </w:pPr>
      <w:r w:rsidRPr="00DD7BD1">
        <w:rPr>
          <w:rFonts w:ascii="Calibri" w:hAnsi="Calibri" w:cs="Calibri"/>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 Access the original July 10</w:t>
      </w:r>
      <w:r w:rsidRPr="00DD7BD1">
        <w:rPr>
          <w:rFonts w:ascii="Calibri" w:hAnsi="Calibri" w:cs="Calibri"/>
          <w:vertAlign w:val="superscript"/>
        </w:rPr>
        <w:t>th</w:t>
      </w:r>
      <w:r w:rsidRPr="00DD7BD1">
        <w:rPr>
          <w:rFonts w:ascii="Calibri" w:hAnsi="Calibri" w:cs="Calibri"/>
        </w:rPr>
        <w:t xml:space="preserve"> Barnes &amp; Thornburg, LLP article </w:t>
      </w:r>
      <w:hyperlink r:id="rId389" w:anchor="page=1" w:history="1">
        <w:r w:rsidRPr="00DD7BD1">
          <w:rPr>
            <w:rStyle w:val="Hyperlink"/>
            <w:rFonts w:ascii="Calibri" w:hAnsi="Calibri" w:cs="Calibri"/>
          </w:rPr>
          <w:t>HERE</w:t>
        </w:r>
      </w:hyperlink>
    </w:p>
    <w:p w14:paraId="7D334011" w14:textId="77777777" w:rsidR="001C5F42" w:rsidRPr="00DD7BD1" w:rsidRDefault="001C5F42" w:rsidP="001C5F42">
      <w:pPr>
        <w:spacing w:after="0" w:line="240" w:lineRule="auto"/>
        <w:rPr>
          <w:rFonts w:ascii="Calibri" w:hAnsi="Calibri" w:cs="Calibri"/>
        </w:rPr>
      </w:pPr>
    </w:p>
    <w:p w14:paraId="7DBE6B80" w14:textId="4E271D1C" w:rsidR="001C5F42" w:rsidRPr="00DD7BD1" w:rsidRDefault="001C5F42" w:rsidP="001C5F42">
      <w:pPr>
        <w:spacing w:after="0" w:line="240" w:lineRule="auto"/>
        <w:rPr>
          <w:rFonts w:ascii="Calibri" w:hAnsi="Calibri" w:cs="Calibri"/>
        </w:rPr>
      </w:pPr>
      <w:bookmarkStart w:id="44" w:name="_Hlk175058168"/>
      <w:r w:rsidRPr="00DD7BD1">
        <w:rPr>
          <w:rFonts w:ascii="Calibri" w:hAnsi="Calibri" w:cs="Calibri"/>
        </w:rPr>
        <w:t>ETC will continue to monitor the situation.  In the interim, employers are best positioned adhering to the federally enacted changes.</w:t>
      </w:r>
      <w:bookmarkEnd w:id="44"/>
    </w:p>
    <w:p w14:paraId="0A23B98D" w14:textId="77777777" w:rsidR="001C5F42" w:rsidRPr="00DD7BD1" w:rsidRDefault="001C5F42" w:rsidP="00D11F7B">
      <w:pPr>
        <w:pStyle w:val="Heading1"/>
        <w:shd w:val="clear" w:color="auto" w:fill="FFFFFF"/>
        <w:spacing w:before="0" w:beforeAutospacing="0" w:after="0" w:afterAutospacing="0" w:line="264" w:lineRule="atLeast"/>
        <w:jc w:val="center"/>
        <w:rPr>
          <w:rFonts w:ascii="Calibri" w:hAnsi="Calibri" w:cs="Calibri"/>
          <w:kern w:val="0"/>
          <w:sz w:val="22"/>
          <w:szCs w:val="22"/>
        </w:rPr>
      </w:pPr>
    </w:p>
    <w:p w14:paraId="798E0AED" w14:textId="0481FF17" w:rsidR="00D11F7B" w:rsidRPr="00DD7BD1" w:rsidRDefault="00D11F7B" w:rsidP="00D11F7B">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EEOC Announces “Failure to File” Deadline for 2023 EEO-1 Reports - July 9</w:t>
      </w:r>
    </w:p>
    <w:p w14:paraId="59461F41"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The U.S. Equal Employment Opportunity Commission (EEOC) </w:t>
      </w:r>
      <w:hyperlink r:id="rId390" w:history="1">
        <w:r w:rsidRPr="00DD7BD1">
          <w:rPr>
            <w:rStyle w:val="Hyperlink"/>
            <w:rFonts w:ascii="Calibri" w:hAnsi="Calibri" w:cs="Calibri"/>
          </w:rPr>
          <w:t>announced</w:t>
        </w:r>
      </w:hyperlink>
      <w:r w:rsidRPr="00DD7BD1">
        <w:rPr>
          <w:rFonts w:ascii="Calibri" w:hAnsi="Calibri" w:cs="Calibri"/>
        </w:rPr>
        <w:t xml:space="preserve"> that it had entered the “Failure to File” phase for EEO-1 reporting, as described in the agency’s recently updated </w:t>
      </w:r>
      <w:hyperlink r:id="rId391" w:history="1">
        <w:r w:rsidRPr="00DD7BD1">
          <w:rPr>
            <w:rStyle w:val="Hyperlink"/>
            <w:rFonts w:ascii="Calibri" w:hAnsi="Calibri" w:cs="Calibri"/>
          </w:rPr>
          <w:t>EEO-1 Reporting Instruction Booklet</w:t>
        </w:r>
      </w:hyperlink>
      <w:r w:rsidRPr="00DD7BD1">
        <w:rPr>
          <w:rFonts w:ascii="Calibri" w:hAnsi="Calibri" w:cs="Calibri"/>
        </w:rPr>
        <w:t xml:space="preserve">. The EEOC offers a </w:t>
      </w:r>
      <w:hyperlink r:id="rId392" w:history="1">
        <w:r w:rsidRPr="00DD7BD1">
          <w:rPr>
            <w:rStyle w:val="Hyperlink"/>
            <w:rFonts w:ascii="Calibri" w:hAnsi="Calibri" w:cs="Calibri"/>
          </w:rPr>
          <w:t>fact sheet</w:t>
        </w:r>
      </w:hyperlink>
      <w:r w:rsidRPr="00DD7BD1">
        <w:rPr>
          <w:rFonts w:ascii="Calibri" w:hAnsi="Calibri" w:cs="Calibri"/>
        </w:rPr>
        <w:t xml:space="preserve"> regarding the failure to file deadline. </w:t>
      </w:r>
    </w:p>
    <w:p w14:paraId="7229F5E0" w14:textId="77777777" w:rsidR="00D11F7B" w:rsidRPr="00DD7BD1" w:rsidRDefault="00D11F7B" w:rsidP="00D11F7B">
      <w:pPr>
        <w:pStyle w:val="ParagraphBasic"/>
        <w:spacing w:after="0" w:line="240" w:lineRule="auto"/>
        <w:jc w:val="both"/>
        <w:rPr>
          <w:rFonts w:ascii="Calibri" w:hAnsi="Calibri" w:cs="Calibri"/>
          <w:sz w:val="16"/>
          <w:szCs w:val="16"/>
        </w:rPr>
      </w:pPr>
    </w:p>
    <w:p w14:paraId="4ECA767B"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D7BD1">
        <w:rPr>
          <w:rFonts w:ascii="Calibri" w:hAnsi="Calibri" w:cs="Calibri"/>
          <w:b/>
          <w:bCs/>
        </w:rPr>
        <w:t>July 9, 2024</w:t>
      </w:r>
      <w:r w:rsidRPr="00DD7BD1">
        <w:rPr>
          <w:rFonts w:ascii="Calibri" w:hAnsi="Calibri" w:cs="Calibri"/>
        </w:rPr>
        <w:t xml:space="preserve">. </w:t>
      </w:r>
    </w:p>
    <w:p w14:paraId="483019EF" w14:textId="77777777" w:rsidR="00D11F7B" w:rsidRPr="00DD7BD1" w:rsidRDefault="00D11F7B" w:rsidP="00D11F7B">
      <w:pPr>
        <w:pStyle w:val="ParagraphBasic"/>
        <w:spacing w:after="0" w:line="240" w:lineRule="auto"/>
        <w:jc w:val="both"/>
        <w:rPr>
          <w:rFonts w:ascii="Calibri" w:hAnsi="Calibri" w:cs="Calibri"/>
        </w:rPr>
      </w:pPr>
    </w:p>
    <w:p w14:paraId="785FCA13"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After this date, which is deemed the </w:t>
      </w:r>
      <w:r w:rsidRPr="00DD7BD1">
        <w:rPr>
          <w:rFonts w:ascii="Calibri" w:hAnsi="Calibri" w:cs="Calibri"/>
          <w:b/>
          <w:bCs/>
        </w:rPr>
        <w:t>“Failure to File” deadline</w:t>
      </w:r>
      <w:r w:rsidRPr="00DD7BD1">
        <w:rPr>
          <w:rFonts w:ascii="Calibri" w:hAnsi="Calibri" w:cs="Calibri"/>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DD7BD1" w:rsidRDefault="00D11F7B" w:rsidP="00D11F7B">
      <w:pPr>
        <w:pStyle w:val="ColorSubheading"/>
        <w:rPr>
          <w:rFonts w:ascii="Calibri" w:hAnsi="Calibri" w:cs="Calibri"/>
          <w:sz w:val="16"/>
          <w:szCs w:val="16"/>
        </w:rPr>
      </w:pPr>
    </w:p>
    <w:p w14:paraId="3B940A3A" w14:textId="77777777" w:rsidR="00D11F7B" w:rsidRPr="00DD7BD1" w:rsidRDefault="00D11F7B" w:rsidP="00D11F7B">
      <w:pPr>
        <w:pStyle w:val="ColorSubheading"/>
        <w:rPr>
          <w:rFonts w:ascii="Calibri" w:hAnsi="Calibri" w:cs="Calibri"/>
          <w:sz w:val="22"/>
          <w:szCs w:val="22"/>
        </w:rPr>
      </w:pPr>
      <w:r w:rsidRPr="00DD7BD1">
        <w:rPr>
          <w:rFonts w:ascii="Calibri" w:hAnsi="Calibri" w:cs="Calibri"/>
          <w:sz w:val="22"/>
          <w:szCs w:val="22"/>
        </w:rPr>
        <w:t>Reminder: Who is a Covered Employers?</w:t>
      </w:r>
    </w:p>
    <w:p w14:paraId="395935FA"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The following entities are subject to EEO-1 reporting:</w:t>
      </w:r>
    </w:p>
    <w:p w14:paraId="2E7888AB"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rPr>
        <w:t>private employer</w:t>
      </w:r>
      <w:r w:rsidRPr="00DD7BD1">
        <w:rPr>
          <w:rFonts w:ascii="Calibri" w:hAnsi="Calibri" w:cs="Calibri"/>
        </w:rPr>
        <w:t xml:space="preserve"> that has </w:t>
      </w:r>
      <w:r w:rsidRPr="00DD7BD1">
        <w:rPr>
          <w:rFonts w:ascii="Calibri" w:hAnsi="Calibri" w:cs="Calibri"/>
          <w:b/>
        </w:rPr>
        <w:t>100 or more employees</w:t>
      </w:r>
      <w:r w:rsidRPr="00DD7BD1">
        <w:rPr>
          <w:rFonts w:ascii="Calibri" w:hAnsi="Calibri" w:cs="Calibri"/>
        </w:rPr>
        <w:t xml:space="preserve"> (with limited exceptions for schools and other organizations);</w:t>
      </w:r>
    </w:p>
    <w:p w14:paraId="611FE195"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bCs/>
        </w:rPr>
        <w:t>private employer</w:t>
      </w:r>
      <w:r w:rsidRPr="00DD7BD1">
        <w:rPr>
          <w:rFonts w:ascii="Calibri" w:hAnsi="Calibri" w:cs="Calibri"/>
        </w:rPr>
        <w:t xml:space="preserve"> with </w:t>
      </w:r>
      <w:r w:rsidRPr="00DD7BD1">
        <w:rPr>
          <w:rFonts w:ascii="Calibri" w:hAnsi="Calibri" w:cs="Calibri"/>
          <w:b/>
          <w:bCs/>
        </w:rPr>
        <w:t>between 15 and 99 employees</w:t>
      </w:r>
      <w:r w:rsidRPr="00DD7BD1">
        <w:rPr>
          <w:rFonts w:ascii="Calibri" w:hAnsi="Calibri" w:cs="Calibri"/>
        </w:rPr>
        <w:t xml:space="preserve"> if it is part of a group of employers that legally constitutes a single enterprise that employs a total of 100 or more employees; and</w:t>
      </w:r>
    </w:p>
    <w:p w14:paraId="1F1E0CB0" w14:textId="77777777" w:rsidR="00D11F7B" w:rsidRPr="00DD7BD1" w:rsidRDefault="00D11F7B" w:rsidP="00D11F7B">
      <w:pPr>
        <w:pStyle w:val="BList1"/>
        <w:spacing w:before="0" w:after="0" w:line="240" w:lineRule="auto"/>
        <w:jc w:val="both"/>
        <w:rPr>
          <w:rFonts w:ascii="Calibri" w:eastAsia="Times New Roman" w:hAnsi="Calibri" w:cs="Calibri"/>
          <w:b/>
          <w:color w:val="595959"/>
        </w:rPr>
      </w:pPr>
      <w:r w:rsidRPr="00DD7BD1">
        <w:rPr>
          <w:rFonts w:ascii="Calibri" w:hAnsi="Calibri" w:cs="Calibri"/>
        </w:rPr>
        <w:t xml:space="preserve">A </w:t>
      </w:r>
      <w:r w:rsidRPr="00DD7BD1">
        <w:rPr>
          <w:rFonts w:ascii="Calibri" w:hAnsi="Calibri" w:cs="Calibri"/>
          <w:b/>
        </w:rPr>
        <w:t>federal contractor</w:t>
      </w:r>
      <w:r w:rsidRPr="00DD7BD1">
        <w:rPr>
          <w:rFonts w:ascii="Calibri" w:hAnsi="Calibri" w:cs="Calibri"/>
        </w:rPr>
        <w:t xml:space="preserve"> that has </w:t>
      </w:r>
      <w:r w:rsidRPr="00DD7BD1">
        <w:rPr>
          <w:rFonts w:ascii="Calibri" w:hAnsi="Calibri" w:cs="Calibri"/>
          <w:b/>
        </w:rPr>
        <w:t>50 or more employees</w:t>
      </w:r>
      <w:r w:rsidRPr="00DD7BD1">
        <w:rPr>
          <w:rFonts w:ascii="Calibri" w:hAnsi="Calibri" w:cs="Calibri"/>
        </w:rPr>
        <w:t xml:space="preserve">; is either a prime contractor or first-tier subcontractor; and has a contract, subcontract or purchase order amounting to </w:t>
      </w:r>
      <w:r w:rsidRPr="00DD7BD1">
        <w:rPr>
          <w:rFonts w:ascii="Calibri" w:hAnsi="Calibri" w:cs="Calibri"/>
          <w:b/>
        </w:rPr>
        <w:t>$50,000</w:t>
      </w:r>
      <w:r w:rsidRPr="00DD7BD1">
        <w:rPr>
          <w:rFonts w:ascii="Calibri" w:hAnsi="Calibri" w:cs="Calibri"/>
        </w:rPr>
        <w:t xml:space="preserve"> or more</w:t>
      </w:r>
      <w:r w:rsidRPr="00DD7BD1">
        <w:rPr>
          <w:rFonts w:ascii="Calibri" w:eastAsia="Times New Roman" w:hAnsi="Calibri" w:cs="Calibri"/>
          <w:b/>
          <w:color w:val="595959"/>
        </w:rPr>
        <w:t>.</w:t>
      </w:r>
    </w:p>
    <w:p w14:paraId="7CB7F280" w14:textId="77777777" w:rsidR="00CD70B8" w:rsidRPr="00DD7BD1" w:rsidRDefault="00CD70B8" w:rsidP="009D5684">
      <w:pPr>
        <w:spacing w:after="0" w:line="240" w:lineRule="auto"/>
        <w:rPr>
          <w:rFonts w:ascii="Calibri" w:eastAsia="Times New Roman" w:hAnsi="Calibri" w:cs="Calibri"/>
          <w:b/>
          <w:bCs/>
        </w:rPr>
      </w:pPr>
    </w:p>
    <w:p w14:paraId="59994464" w14:textId="61D9D472" w:rsidR="00D11F7B" w:rsidRPr="00DD7BD1" w:rsidRDefault="00D11F7B" w:rsidP="00D11F7B">
      <w:pPr>
        <w:spacing w:after="0" w:line="240" w:lineRule="auto"/>
        <w:jc w:val="center"/>
        <w:rPr>
          <w:rFonts w:ascii="Calibri" w:eastAsia="Times New Roman" w:hAnsi="Calibri" w:cs="Calibri"/>
          <w:b/>
          <w:bCs/>
          <w:color w:val="282828"/>
          <w:sz w:val="28"/>
          <w:szCs w:val="28"/>
        </w:rPr>
      </w:pPr>
      <w:r w:rsidRPr="00DD7BD1">
        <w:rPr>
          <w:rFonts w:ascii="Calibri" w:eastAsia="Times New Roman" w:hAnsi="Calibri" w:cs="Calibri"/>
          <w:b/>
          <w:bCs/>
          <w:sz w:val="28"/>
          <w:szCs w:val="28"/>
        </w:rPr>
        <w:t>Federal: DOL Increases Exempt Employee Minimum Salaries - July 1</w:t>
      </w:r>
    </w:p>
    <w:p w14:paraId="67E18DB0"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393" w:tgtFrame="_blank" w:history="1">
        <w:r w:rsidRPr="00DD7BD1">
          <w:rPr>
            <w:rStyle w:val="Hyperlink"/>
            <w:rFonts w:ascii="Calibri" w:hAnsi="Calibri" w:cs="Calibri"/>
          </w:rPr>
          <w:t>here</w:t>
        </w:r>
      </w:hyperlink>
      <w:r w:rsidRPr="00DD7BD1">
        <w:rPr>
          <w:rFonts w:ascii="Calibri" w:eastAsia="Times New Roman" w:hAnsi="Calibri" w:cs="Calibri"/>
        </w:rPr>
        <w:t>—</w:t>
      </w:r>
      <w:r w:rsidRPr="00DD7BD1">
        <w:rPr>
          <w:rFonts w:ascii="Calibri" w:eastAsia="Times New Roman" w:hAnsi="Calibri" w:cs="Calibri"/>
          <w:color w:val="000000" w:themeColor="text1"/>
        </w:rPr>
        <w:t>the relevant changes start on page 130 of the downloadable PDF.</w:t>
      </w:r>
    </w:p>
    <w:p w14:paraId="53057F37"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sz w:val="12"/>
          <w:szCs w:val="12"/>
        </w:rPr>
      </w:pPr>
    </w:p>
    <w:p w14:paraId="14EE3880" w14:textId="77777777" w:rsidR="00D11F7B" w:rsidRPr="00DD7BD1" w:rsidRDefault="00D11F7B" w:rsidP="00D11F7B">
      <w:pPr>
        <w:shd w:val="clear" w:color="auto" w:fill="FFFFFF"/>
        <w:spacing w:after="0" w:line="240" w:lineRule="auto"/>
        <w:outlineLvl w:val="0"/>
        <w:rPr>
          <w:rFonts w:ascii="Calibri" w:eastAsia="Times New Roman" w:hAnsi="Calibri" w:cs="Calibri"/>
          <w:color w:val="000000" w:themeColor="text1"/>
          <w:kern w:val="36"/>
        </w:rPr>
      </w:pPr>
      <w:r w:rsidRPr="00DD7BD1">
        <w:rPr>
          <w:rFonts w:ascii="Calibri" w:eastAsia="Times New Roman" w:hAnsi="Calibri" w:cs="Calibri"/>
          <w:color w:val="000000" w:themeColor="text1"/>
          <w:kern w:val="36"/>
        </w:rPr>
        <w:t>Executive, Administrative, and Professional Employees</w:t>
      </w:r>
    </w:p>
    <w:p w14:paraId="11FA3FF9"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Under the new rule, exempt </w:t>
      </w:r>
      <w:r w:rsidRPr="00DD7BD1">
        <w:rPr>
          <w:rFonts w:ascii="Calibri" w:eastAsia="Times New Roman" w:hAnsi="Calibri" w:cs="Calibri"/>
          <w:i/>
          <w:iCs/>
          <w:color w:val="000000" w:themeColor="text1"/>
        </w:rPr>
        <w:t>executive</w:t>
      </w:r>
      <w:r w:rsidRPr="00DD7BD1">
        <w:rPr>
          <w:rFonts w:ascii="Calibri" w:eastAsia="Times New Roman" w:hAnsi="Calibri" w:cs="Calibri"/>
          <w:color w:val="000000" w:themeColor="text1"/>
        </w:rPr>
        <w:t>, </w:t>
      </w:r>
      <w:r w:rsidRPr="00DD7BD1">
        <w:rPr>
          <w:rFonts w:ascii="Calibri" w:eastAsia="Times New Roman" w:hAnsi="Calibri" w:cs="Calibri"/>
          <w:i/>
          <w:iCs/>
          <w:color w:val="000000" w:themeColor="text1"/>
        </w:rPr>
        <w:t>administrative</w:t>
      </w:r>
      <w:r w:rsidRPr="00DD7BD1">
        <w:rPr>
          <w:rFonts w:ascii="Calibri" w:eastAsia="Times New Roman" w:hAnsi="Calibri" w:cs="Calibri"/>
          <w:color w:val="000000" w:themeColor="text1"/>
        </w:rPr>
        <w:t>, and </w:t>
      </w:r>
      <w:r w:rsidRPr="00DD7BD1">
        <w:rPr>
          <w:rFonts w:ascii="Calibri" w:eastAsia="Times New Roman" w:hAnsi="Calibri" w:cs="Calibri"/>
          <w:i/>
          <w:iCs/>
          <w:color w:val="000000" w:themeColor="text1"/>
        </w:rPr>
        <w:t>professional</w:t>
      </w:r>
      <w:r w:rsidRPr="00DD7BD1">
        <w:rPr>
          <w:rFonts w:ascii="Calibri" w:eastAsia="Times New Roman" w:hAnsi="Calibri" w:cs="Calibri"/>
          <w:color w:val="000000" w:themeColor="text1"/>
        </w:rPr>
        <w:t> employees (often referred to collectively as “EAP” employees) must be paid at least:</w:t>
      </w:r>
    </w:p>
    <w:p w14:paraId="4874F325"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color w:val="000000" w:themeColor="text1"/>
        </w:rPr>
        <w:t>$844 per week</w:t>
      </w:r>
      <w:r w:rsidRPr="00DD7BD1">
        <w:rPr>
          <w:rFonts w:ascii="Calibri" w:eastAsia="Times New Roman" w:hAnsi="Calibri" w:cs="Calibri"/>
          <w:color w:val="000000" w:themeColor="text1"/>
        </w:rPr>
        <w:t xml:space="preserve"> ($43,888 per year) beginning </w:t>
      </w:r>
      <w:r w:rsidRPr="00DD7BD1">
        <w:rPr>
          <w:rFonts w:ascii="Calibri" w:eastAsia="Times New Roman" w:hAnsi="Calibri" w:cs="Calibri"/>
        </w:rPr>
        <w:t>on </w:t>
      </w:r>
      <w:r w:rsidRPr="00DD7BD1">
        <w:rPr>
          <w:rFonts w:ascii="Calibri" w:eastAsia="Times New Roman" w:hAnsi="Calibri" w:cs="Calibri"/>
          <w:b/>
          <w:bCs/>
        </w:rPr>
        <w:t>July 1, 2024</w:t>
      </w:r>
    </w:p>
    <w:p w14:paraId="49A0BB6A"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$1,128 per week </w:t>
      </w:r>
      <w:r w:rsidRPr="00DD7BD1">
        <w:rPr>
          <w:rFonts w:ascii="Calibri" w:eastAsia="Times New Roman" w:hAnsi="Calibri" w:cs="Calibri"/>
        </w:rPr>
        <w:t>($58,656 per year) beginning on </w:t>
      </w:r>
      <w:r w:rsidRPr="00DD7BD1">
        <w:rPr>
          <w:rFonts w:ascii="Calibri" w:eastAsia="Times New Roman" w:hAnsi="Calibri" w:cs="Calibri"/>
          <w:b/>
          <w:bCs/>
        </w:rPr>
        <w:t>January 1, 2025</w:t>
      </w:r>
    </w:p>
    <w:p w14:paraId="3642BDB5" w14:textId="77777777" w:rsidR="00D11F7B" w:rsidRPr="00DD7BD1" w:rsidRDefault="00D11F7B" w:rsidP="00D11F7B">
      <w:pPr>
        <w:shd w:val="clear" w:color="auto" w:fill="FFFFFF"/>
        <w:spacing w:after="0" w:line="240" w:lineRule="auto"/>
        <w:outlineLvl w:val="1"/>
        <w:rPr>
          <w:rFonts w:ascii="Calibri" w:eastAsia="Times New Roman" w:hAnsi="Calibri" w:cs="Calibri"/>
          <w:b/>
          <w:bCs/>
          <w:sz w:val="12"/>
          <w:szCs w:val="12"/>
        </w:rPr>
      </w:pPr>
    </w:p>
    <w:p w14:paraId="39748752" w14:textId="77777777" w:rsidR="00D11F7B" w:rsidRPr="00DD7BD1" w:rsidRDefault="00D11F7B" w:rsidP="00D11F7B">
      <w:pPr>
        <w:shd w:val="clear" w:color="auto" w:fill="FFFFFF"/>
        <w:spacing w:after="0" w:line="240" w:lineRule="auto"/>
        <w:outlineLvl w:val="1"/>
        <w:rPr>
          <w:rFonts w:ascii="Calibri" w:eastAsia="Times New Roman" w:hAnsi="Calibri" w:cs="Calibri"/>
          <w:b/>
          <w:bCs/>
        </w:rPr>
      </w:pPr>
      <w:r w:rsidRPr="00DD7BD1">
        <w:rPr>
          <w:rFonts w:ascii="Calibri" w:eastAsia="Times New Roman" w:hAnsi="Calibri" w:cs="Calibri"/>
          <w:b/>
          <w:bCs/>
        </w:rPr>
        <w:t>Exceptions</w:t>
      </w:r>
    </w:p>
    <w:p w14:paraId="467821F7"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Teachers and practicing doctors and lawyers are exempt from these minimum salary requirements under federal law but may be subject to different state minimums. School-specific minimums apply to academic administrative employees.</w:t>
      </w:r>
    </w:p>
    <w:p w14:paraId="6B2F7D95" w14:textId="77777777" w:rsidR="00434AFC" w:rsidRPr="00DD7BD1" w:rsidRDefault="00434AFC" w:rsidP="00D11F7B">
      <w:pPr>
        <w:shd w:val="clear" w:color="auto" w:fill="FFFFFF"/>
        <w:spacing w:after="0" w:line="240" w:lineRule="auto"/>
        <w:outlineLvl w:val="0"/>
        <w:rPr>
          <w:rFonts w:ascii="Calibri" w:eastAsia="Times New Roman" w:hAnsi="Calibri" w:cs="Calibri"/>
          <w:b/>
          <w:bCs/>
          <w:kern w:val="36"/>
        </w:rPr>
      </w:pPr>
    </w:p>
    <w:p w14:paraId="07411EC4" w14:textId="4EC15D92"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Computer Employees</w:t>
      </w:r>
    </w:p>
    <w:p w14:paraId="6845FA7A"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Exempt computer employees can be paid on a salary </w:t>
      </w:r>
      <w:r w:rsidRPr="00DD7BD1">
        <w:rPr>
          <w:rFonts w:ascii="Calibri" w:eastAsia="Times New Roman" w:hAnsi="Calibri" w:cs="Calibri"/>
          <w:i/>
          <w:iCs/>
        </w:rPr>
        <w:t>or</w:t>
      </w:r>
      <w:r w:rsidRPr="00DD7BD1">
        <w:rPr>
          <w:rFonts w:ascii="Calibri" w:eastAsia="Times New Roman" w:hAnsi="Calibri" w:cs="Calibri"/>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23C930DE"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Highly Compensated Employees (HCE)</w:t>
      </w:r>
    </w:p>
    <w:p w14:paraId="78648BDD"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Employees who are exempt under the HCE exemption must be paid at least the minimums listed above on a salary basis </w:t>
      </w:r>
      <w:r w:rsidRPr="00DD7BD1">
        <w:rPr>
          <w:rFonts w:ascii="Calibri" w:eastAsia="Times New Roman" w:hAnsi="Calibri" w:cs="Calibri"/>
          <w:i/>
          <w:iCs/>
        </w:rPr>
        <w:t>and</w:t>
      </w:r>
      <w:r w:rsidRPr="00DD7BD1">
        <w:rPr>
          <w:rFonts w:ascii="Calibri" w:eastAsia="Times New Roman" w:hAnsi="Calibri" w:cs="Calibri"/>
        </w:rPr>
        <w:t> receive total annual compensation of at least:</w:t>
      </w:r>
    </w:p>
    <w:p w14:paraId="4456879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$132,964 per year</w:t>
      </w:r>
      <w:r w:rsidRPr="00DD7BD1">
        <w:rPr>
          <w:rFonts w:ascii="Calibri" w:eastAsia="Times New Roman" w:hAnsi="Calibri" w:cs="Calibri"/>
          <w:color w:val="282828"/>
        </w:rPr>
        <w:t> beginning </w:t>
      </w:r>
      <w:r w:rsidRPr="00DD7BD1">
        <w:rPr>
          <w:rFonts w:ascii="Calibri" w:eastAsia="Times New Roman" w:hAnsi="Calibri" w:cs="Calibri"/>
          <w:b/>
          <w:bCs/>
        </w:rPr>
        <w:t>July 1, 2024</w:t>
      </w:r>
    </w:p>
    <w:p w14:paraId="469D3BE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$151,164 per year</w:t>
      </w:r>
      <w:r w:rsidRPr="00DD7BD1">
        <w:rPr>
          <w:rFonts w:ascii="Calibri" w:eastAsia="Times New Roman" w:hAnsi="Calibri" w:cs="Calibri"/>
          <w:color w:val="282828"/>
        </w:rPr>
        <w:t> beginning </w:t>
      </w:r>
      <w:r w:rsidRPr="00DD7BD1">
        <w:rPr>
          <w:rFonts w:ascii="Calibri" w:eastAsia="Times New Roman" w:hAnsi="Calibri" w:cs="Calibri"/>
          <w:b/>
          <w:bCs/>
          <w:color w:val="282828"/>
        </w:rPr>
        <w:t>January 1, 2025</w:t>
      </w:r>
    </w:p>
    <w:p w14:paraId="191094D1" w14:textId="77777777" w:rsidR="00D11F7B" w:rsidRPr="00DD7BD1" w:rsidRDefault="00D11F7B" w:rsidP="00D11F7B">
      <w:pPr>
        <w:shd w:val="clear" w:color="auto" w:fill="FFFFFF"/>
        <w:spacing w:after="0" w:line="240" w:lineRule="auto"/>
        <w:outlineLvl w:val="0"/>
        <w:rPr>
          <w:rFonts w:ascii="Calibri" w:eastAsia="Times New Roman" w:hAnsi="Calibri" w:cs="Calibri"/>
          <w:color w:val="282828"/>
          <w:kern w:val="36"/>
          <w:sz w:val="12"/>
          <w:szCs w:val="12"/>
        </w:rPr>
      </w:pPr>
    </w:p>
    <w:p w14:paraId="2C29E5BA"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State Law</w:t>
      </w:r>
    </w:p>
    <w:p w14:paraId="5E5ED534"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As usual, if a state law requires higher minimum salaries than what is required by the federal rule, the state minimums must be followed.</w:t>
      </w:r>
    </w:p>
    <w:p w14:paraId="7726146A"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0AEA0F43"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Potential Challenges</w:t>
      </w:r>
    </w:p>
    <w:p w14:paraId="50582E6B"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p>
    <w:p w14:paraId="1D9715F2" w14:textId="77777777" w:rsidR="00ED4076" w:rsidRPr="00DD7BD1" w:rsidRDefault="00ED4076" w:rsidP="00D11F7B">
      <w:pPr>
        <w:pStyle w:val="NormalWeb"/>
        <w:shd w:val="clear" w:color="auto" w:fill="FFFFFF"/>
        <w:spacing w:before="0" w:beforeAutospacing="0" w:after="0" w:afterAutospacing="0"/>
        <w:rPr>
          <w:rFonts w:ascii="Calibri" w:hAnsi="Calibri" w:cs="Calibri"/>
          <w:color w:val="222222"/>
          <w:sz w:val="22"/>
          <w:szCs w:val="22"/>
        </w:rPr>
      </w:pPr>
    </w:p>
    <w:p w14:paraId="515384C7" w14:textId="359884F6" w:rsidR="00ED4076" w:rsidRPr="00DD7BD1" w:rsidRDefault="00ED4076" w:rsidP="00ED4076">
      <w:pPr>
        <w:pStyle w:val="Heading1"/>
        <w:shd w:val="clear" w:color="auto" w:fill="FFFFFF"/>
        <w:spacing w:before="0" w:beforeAutospacing="0" w:after="0" w:afterAutospacing="0"/>
        <w:jc w:val="center"/>
        <w:rPr>
          <w:rFonts w:ascii="Calibri" w:hAnsi="Calibri" w:cs="Calibri"/>
          <w:kern w:val="0"/>
          <w:sz w:val="28"/>
          <w:szCs w:val="28"/>
        </w:rPr>
      </w:pPr>
      <w:r w:rsidRPr="00DD7BD1">
        <w:rPr>
          <w:rFonts w:ascii="Calibri" w:hAnsi="Calibri" w:cs="Calibri"/>
          <w:kern w:val="0"/>
          <w:sz w:val="28"/>
          <w:szCs w:val="28"/>
        </w:rPr>
        <w:t>HHS Updates HIPAA FAQs Regarding Change Healthcare Cybersecurity Incident</w:t>
      </w:r>
    </w:p>
    <w:p w14:paraId="0C19A3E2"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On May 31, 2024, the U.S. Department of Health and Human Services’ (HHS) Office for Civil Rights (OCR) updated its </w:t>
      </w:r>
      <w:hyperlink r:id="rId394" w:history="1">
        <w:r w:rsidRPr="00DD7BD1">
          <w:rPr>
            <w:rStyle w:val="Hyperlink"/>
            <w:rFonts w:ascii="Calibri" w:hAnsi="Calibri" w:cs="Calibri"/>
          </w:rPr>
          <w:t>frequently asked questions (FAQs)</w:t>
        </w:r>
      </w:hyperlink>
      <w:r w:rsidRPr="00DD7BD1">
        <w:rPr>
          <w:rFonts w:ascii="Calibri" w:hAnsi="Calibri" w:cs="Calibri"/>
        </w:rPr>
        <w:t xml:space="preserve"> regarding HIPAA and the recent cybersecurity incident involving Change Healthcare, a unit of UnitedHealth Group. OCR enforces the HIPAA </w:t>
      </w:r>
      <w:hyperlink r:id="rId395" w:history="1">
        <w:r w:rsidRPr="00DD7BD1">
          <w:rPr>
            <w:rStyle w:val="Hyperlink"/>
            <w:rFonts w:ascii="Calibri" w:hAnsi="Calibri" w:cs="Calibri"/>
          </w:rPr>
          <w:t>Privacy</w:t>
        </w:r>
      </w:hyperlink>
      <w:r w:rsidRPr="00DD7BD1">
        <w:rPr>
          <w:rFonts w:ascii="Calibri" w:hAnsi="Calibri" w:cs="Calibri"/>
        </w:rPr>
        <w:t xml:space="preserve">, </w:t>
      </w:r>
      <w:hyperlink r:id="rId396" w:history="1">
        <w:r w:rsidRPr="00DD7BD1">
          <w:rPr>
            <w:rStyle w:val="Hyperlink"/>
            <w:rFonts w:ascii="Calibri" w:hAnsi="Calibri" w:cs="Calibri"/>
          </w:rPr>
          <w:t>Security</w:t>
        </w:r>
      </w:hyperlink>
      <w:r w:rsidRPr="00DD7BD1">
        <w:rPr>
          <w:rFonts w:ascii="Calibri" w:hAnsi="Calibri" w:cs="Calibri"/>
        </w:rPr>
        <w:t xml:space="preserve"> and </w:t>
      </w:r>
      <w:hyperlink r:id="rId397" w:history="1">
        <w:r w:rsidRPr="00DD7BD1">
          <w:rPr>
            <w:rStyle w:val="Hyperlink"/>
            <w:rFonts w:ascii="Calibri" w:hAnsi="Calibri" w:cs="Calibri"/>
          </w:rPr>
          <w:t>Breach Notification</w:t>
        </w:r>
      </w:hyperlink>
      <w:r w:rsidRPr="00DD7BD1">
        <w:rPr>
          <w:rFonts w:ascii="Calibri" w:hAnsi="Calibri" w:cs="Calibri"/>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DD7BD1" w:rsidRDefault="00ED4076" w:rsidP="00ED4076">
      <w:pPr>
        <w:pStyle w:val="ColorSubheading"/>
        <w:rPr>
          <w:rFonts w:ascii="Calibri" w:hAnsi="Calibri" w:cs="Calibri"/>
          <w:sz w:val="16"/>
          <w:szCs w:val="16"/>
        </w:rPr>
      </w:pPr>
    </w:p>
    <w:p w14:paraId="6E4B101A"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FAQ Updates</w:t>
      </w:r>
    </w:p>
    <w:p w14:paraId="50B59667"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The updates to the FAQs address the </w:t>
      </w:r>
      <w:r w:rsidRPr="00DD7BD1">
        <w:rPr>
          <w:rFonts w:ascii="Calibri" w:hAnsi="Calibri" w:cs="Calibri"/>
          <w:b/>
          <w:bCs/>
        </w:rPr>
        <w:t>responsibility for providing breach notification to HHS, affected individuals and, where applicable, the media.</w:t>
      </w:r>
      <w:r w:rsidRPr="00DD7BD1">
        <w:rPr>
          <w:rFonts w:ascii="Calibri" w:hAnsi="Calibri" w:cs="Calibri"/>
        </w:rPr>
        <w:t xml:space="preserve"> Specifically, the FAQs provide that: </w:t>
      </w:r>
    </w:p>
    <w:p w14:paraId="6157C90E"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Covered entities affected by the Change Healthcare breach may delegate to Change Healthcare the task of providing the required breach notifications on their behalf; </w:t>
      </w:r>
    </w:p>
    <w:p w14:paraId="7FC8FD8A"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Only one entity (which could be the covered entity or Change Healthcare) needs to provide breach notifications; and</w:t>
      </w:r>
    </w:p>
    <w:p w14:paraId="5CB3A712"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DD7BD1" w:rsidRDefault="00ED4076" w:rsidP="00ED4076">
      <w:pPr>
        <w:pStyle w:val="ParagraphBasic"/>
        <w:spacing w:after="0" w:line="240" w:lineRule="auto"/>
        <w:rPr>
          <w:rFonts w:ascii="Calibri" w:hAnsi="Calibri" w:cs="Calibri"/>
          <w:b/>
          <w:bCs/>
          <w:sz w:val="16"/>
          <w:szCs w:val="16"/>
          <w:highlight w:val="lightGray"/>
        </w:rPr>
      </w:pPr>
    </w:p>
    <w:p w14:paraId="42809A4F"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In connection with the Change Healthcare cybersecurity incident, OCR has encouraged HIPAA-covered entities (e.g., health plans, health insurance issuers and healthcare providers) and their business associates to </w:t>
      </w:r>
      <w:r w:rsidRPr="00DD7BD1">
        <w:rPr>
          <w:rFonts w:ascii="Calibri" w:hAnsi="Calibri" w:cs="Calibri"/>
          <w:b/>
          <w:bCs/>
        </w:rPr>
        <w:t>review their cybersecurity measures “with urgency”</w:t>
      </w:r>
      <w:r w:rsidRPr="00DD7BD1">
        <w:rPr>
          <w:rFonts w:ascii="Calibri" w:hAnsi="Calibri" w:cs="Calibri"/>
        </w:rPr>
        <w:t xml:space="preserve"> to ensure that health information is protected. </w:t>
      </w:r>
    </w:p>
    <w:p w14:paraId="5AAC94C0"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DD7BD1" w:rsidRDefault="00ED4076" w:rsidP="00ED4076">
      <w:pPr>
        <w:pStyle w:val="ParagraphBasic"/>
        <w:spacing w:after="0" w:line="240" w:lineRule="auto"/>
        <w:rPr>
          <w:rFonts w:ascii="Calibri" w:hAnsi="Calibri" w:cs="Calibri"/>
          <w:sz w:val="16"/>
          <w:szCs w:val="16"/>
        </w:rPr>
      </w:pPr>
    </w:p>
    <w:p w14:paraId="2FB9F158"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Compliance Resources</w:t>
      </w:r>
    </w:p>
    <w:p w14:paraId="0B6C92FD"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DD7BD1" w:rsidRDefault="00ED4076" w:rsidP="00ED4076">
      <w:pPr>
        <w:pStyle w:val="BList1"/>
        <w:spacing w:before="0" w:after="0" w:line="240" w:lineRule="auto"/>
        <w:rPr>
          <w:rFonts w:ascii="Calibri" w:hAnsi="Calibri" w:cs="Calibri"/>
        </w:rPr>
      </w:pPr>
      <w:hyperlink r:id="rId398" w:history="1">
        <w:r w:rsidRPr="00DD7BD1">
          <w:rPr>
            <w:rStyle w:val="Hyperlink"/>
            <w:rFonts w:ascii="Calibri" w:hAnsi="Calibri" w:cs="Calibri"/>
          </w:rPr>
          <w:t>HIPAA Security Rule Guidance Material</w:t>
        </w:r>
      </w:hyperlink>
    </w:p>
    <w:p w14:paraId="10D7AFFB" w14:textId="77777777" w:rsidR="00ED4076" w:rsidRPr="00DD7BD1" w:rsidRDefault="00ED4076" w:rsidP="00ED4076">
      <w:pPr>
        <w:pStyle w:val="BList1"/>
        <w:spacing w:before="0" w:after="0" w:line="240" w:lineRule="auto"/>
        <w:rPr>
          <w:rFonts w:ascii="Calibri" w:hAnsi="Calibri" w:cs="Calibri"/>
        </w:rPr>
      </w:pPr>
      <w:hyperlink r:id="rId399" w:history="1">
        <w:r w:rsidRPr="00DD7BD1">
          <w:rPr>
            <w:rStyle w:val="Hyperlink"/>
            <w:rFonts w:ascii="Calibri" w:hAnsi="Calibri" w:cs="Calibri"/>
          </w:rPr>
          <w:t>OCR Webinar on HIPAA Security Rule Risk Analysis Requirement</w:t>
        </w:r>
      </w:hyperlink>
    </w:p>
    <w:p w14:paraId="3D86EB4D" w14:textId="77777777" w:rsidR="00ED4076" w:rsidRPr="00DD7BD1" w:rsidRDefault="00ED4076" w:rsidP="00ED4076">
      <w:pPr>
        <w:pStyle w:val="BList1"/>
        <w:spacing w:before="0" w:after="0" w:line="240" w:lineRule="auto"/>
        <w:rPr>
          <w:rFonts w:ascii="Calibri" w:hAnsi="Calibri" w:cs="Calibri"/>
        </w:rPr>
      </w:pPr>
      <w:hyperlink r:id="rId400" w:history="1">
        <w:r w:rsidRPr="00DD7BD1">
          <w:rPr>
            <w:rStyle w:val="Hyperlink"/>
            <w:rFonts w:ascii="Calibri" w:hAnsi="Calibri" w:cs="Calibri"/>
          </w:rPr>
          <w:t>HIPAA Security Risk Assessment Tool</w:t>
        </w:r>
      </w:hyperlink>
    </w:p>
    <w:p w14:paraId="7BFDCEDF" w14:textId="77777777" w:rsidR="00ED4076" w:rsidRPr="00DD7BD1" w:rsidRDefault="00ED4076" w:rsidP="00ED4076">
      <w:pPr>
        <w:pStyle w:val="BList1"/>
        <w:spacing w:before="0" w:after="0" w:line="240" w:lineRule="auto"/>
        <w:rPr>
          <w:rStyle w:val="Hyperlink"/>
          <w:rFonts w:ascii="Calibri" w:hAnsi="Calibri" w:cs="Calibri"/>
          <w:color w:val="auto"/>
          <w:u w:val="none"/>
        </w:rPr>
      </w:pPr>
      <w:hyperlink r:id="rId401" w:history="1">
        <w:r w:rsidRPr="00DD7BD1">
          <w:rPr>
            <w:rStyle w:val="Hyperlink"/>
            <w:rFonts w:ascii="Calibri" w:hAnsi="Calibri" w:cs="Calibri"/>
          </w:rPr>
          <w:t>Fact Sheet: Ransomware and HIPAA</w:t>
        </w:r>
      </w:hyperlink>
    </w:p>
    <w:p w14:paraId="7D91045E" w14:textId="77777777" w:rsidR="009D5684" w:rsidRPr="00DD7BD1" w:rsidRDefault="009D5684"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4C5EAAA8" w14:textId="757DFE48" w:rsidR="00ED4076" w:rsidRPr="00DD7BD1" w:rsidRDefault="00ED4076"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OFCCP Releases New Vietnam Era Veterans' Readjustment Assistance Act Resources</w:t>
      </w:r>
    </w:p>
    <w:p w14:paraId="66C5DA2D"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16"/>
          <w:szCs w:val="16"/>
        </w:rPr>
      </w:pPr>
    </w:p>
    <w:p w14:paraId="475673B5" w14:textId="77777777" w:rsidR="00ED4076" w:rsidRPr="00DD7BD1" w:rsidRDefault="00ED4076" w:rsidP="00ED4076">
      <w:pPr>
        <w:pStyle w:val="NormalWeb"/>
        <w:shd w:val="clear" w:color="auto" w:fill="FFFFFF"/>
        <w:spacing w:before="0" w:beforeAutospacing="0" w:after="225" w:afterAutospacing="0"/>
        <w:rPr>
          <w:rFonts w:ascii="Calibri" w:hAnsi="Calibri" w:cs="Calibri"/>
          <w:color w:val="000000"/>
          <w:sz w:val="22"/>
          <w:szCs w:val="22"/>
        </w:rPr>
      </w:pPr>
      <w:r w:rsidRPr="00DD7BD1">
        <w:rPr>
          <w:rFonts w:ascii="Calibri" w:hAnsi="Calibri" w:cs="Calibri"/>
          <w:color w:val="000000"/>
          <w:sz w:val="22"/>
          <w:szCs w:val="22"/>
        </w:rPr>
        <w:t>OFCCP continues to release new resources to help contractors understand their obligations under VEVRAA. Published on June 14</w:t>
      </w:r>
      <w:r w:rsidRPr="00DD7BD1">
        <w:rPr>
          <w:rFonts w:ascii="Calibri" w:hAnsi="Calibri" w:cs="Calibri"/>
          <w:color w:val="000000"/>
          <w:sz w:val="22"/>
          <w:szCs w:val="22"/>
          <w:vertAlign w:val="superscript"/>
        </w:rPr>
        <w:t>th</w:t>
      </w:r>
      <w:r w:rsidRPr="00DD7BD1">
        <w:rPr>
          <w:rFonts w:ascii="Calibri" w:hAnsi="Calibri" w:cs="Calibri"/>
          <w:color w:val="000000"/>
          <w:sz w:val="22"/>
          <w:szCs w:val="22"/>
        </w:rPr>
        <w:t xml:space="preserve"> is a </w:t>
      </w:r>
      <w:hyperlink r:id="rId402" w:tgtFrame="_blank" w:history="1">
        <w:r w:rsidRPr="00DD7BD1">
          <w:rPr>
            <w:rStyle w:val="Hyperlink"/>
            <w:rFonts w:ascii="Calibri" w:eastAsiaTheme="majorEastAsia" w:hAnsi="Calibri" w:cs="Calibri"/>
            <w:sz w:val="22"/>
            <w:szCs w:val="22"/>
          </w:rPr>
          <w:t>new example</w:t>
        </w:r>
      </w:hyperlink>
      <w:r w:rsidRPr="00DD7BD1">
        <w:rPr>
          <w:rFonts w:ascii="Calibri" w:hAnsi="Calibri" w:cs="Calibri"/>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403" w:tgtFrame="_blank" w:history="1">
        <w:r w:rsidRPr="00DD7BD1">
          <w:rPr>
            <w:rStyle w:val="Hyperlink"/>
            <w:rFonts w:ascii="Calibri" w:eastAsiaTheme="majorEastAsia" w:hAnsi="Calibri" w:cs="Calibri"/>
            <w:sz w:val="22"/>
            <w:szCs w:val="22"/>
          </w:rPr>
          <w:t>VEVRAA Affirmative Action Program (AAP) sample</w:t>
        </w:r>
      </w:hyperlink>
      <w:r w:rsidRPr="00DD7BD1">
        <w:rPr>
          <w:rFonts w:ascii="Calibri" w:hAnsi="Calibri" w:cs="Calibri"/>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DD7BD1" w:rsidRDefault="00ED4076" w:rsidP="00ED4076">
      <w:pPr>
        <w:spacing w:after="0" w:line="240" w:lineRule="auto"/>
        <w:jc w:val="center"/>
        <w:rPr>
          <w:rFonts w:ascii="Calibri" w:hAnsi="Calibri" w:cs="Calibri"/>
          <w:sz w:val="28"/>
          <w:szCs w:val="28"/>
        </w:rPr>
      </w:pPr>
      <w:r w:rsidRPr="00DD7BD1">
        <w:rPr>
          <w:rFonts w:ascii="Calibri" w:hAnsi="Calibri" w:cs="Calibri"/>
          <w:b/>
          <w:bCs/>
          <w:sz w:val="28"/>
          <w:szCs w:val="28"/>
        </w:rPr>
        <w:t>Corporate Transparency Act</w:t>
      </w:r>
    </w:p>
    <w:p w14:paraId="0A215BFF" w14:textId="77777777" w:rsidR="00ED4076" w:rsidRPr="00DD7BD1" w:rsidRDefault="00ED4076" w:rsidP="00ED4076">
      <w:pPr>
        <w:pStyle w:val="BodyText"/>
        <w:ind w:right="270"/>
        <w:rPr>
          <w:rFonts w:cs="Calibri"/>
          <w:color w:val="auto"/>
        </w:rPr>
      </w:pPr>
      <w:r w:rsidRPr="00DD7BD1">
        <w:rPr>
          <w:rFonts w:cs="Calibri"/>
          <w:color w:val="auto"/>
        </w:rPr>
        <w:t>The</w:t>
      </w:r>
      <w:r w:rsidRPr="00DD7BD1">
        <w:rPr>
          <w:rFonts w:cs="Calibri"/>
        </w:rPr>
        <w:t xml:space="preserve"> </w:t>
      </w:r>
      <w:hyperlink r:id="rId404" w:history="1">
        <w:r w:rsidRPr="00DD7BD1">
          <w:rPr>
            <w:rStyle w:val="Hyperlink"/>
            <w:rFonts w:eastAsiaTheme="majorEastAsia" w:cs="Calibri"/>
          </w:rPr>
          <w:t>Corporate Transparency Act</w:t>
        </w:r>
      </w:hyperlink>
      <w:r w:rsidRPr="00DD7BD1">
        <w:rPr>
          <w:rFonts w:cs="Calibri"/>
        </w:rPr>
        <w:t xml:space="preserve"> </w:t>
      </w:r>
      <w:r w:rsidRPr="00DD7BD1">
        <w:rPr>
          <w:rFonts w:cs="Calibri"/>
          <w:color w:val="auto"/>
        </w:rPr>
        <w:t xml:space="preserve">(CTA), which became effective </w:t>
      </w:r>
      <w:r w:rsidRPr="00DD7BD1">
        <w:rPr>
          <w:rFonts w:cs="Calibri"/>
          <w:b/>
          <w:bCs/>
          <w:color w:val="auto"/>
        </w:rPr>
        <w:t>Jan. 1, 2024</w:t>
      </w:r>
      <w:r w:rsidRPr="00DD7BD1">
        <w:rPr>
          <w:rFonts w:cs="Calibri"/>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DD7BD1" w:rsidRDefault="00ED4076" w:rsidP="00ED4076">
      <w:pPr>
        <w:pStyle w:val="BodyText"/>
        <w:ind w:right="270"/>
        <w:rPr>
          <w:rFonts w:cs="Calibri"/>
          <w:color w:val="auto"/>
        </w:rPr>
      </w:pPr>
      <w:r w:rsidRPr="00DD7BD1">
        <w:rPr>
          <w:rFonts w:cs="Calibri"/>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DD7BD1" w:rsidRDefault="00ED4076" w:rsidP="00ED4076">
      <w:pPr>
        <w:spacing w:after="0" w:line="240" w:lineRule="auto"/>
        <w:rPr>
          <w:rFonts w:ascii="Calibri" w:hAnsi="Calibri" w:cs="Calibri"/>
          <w:noProof/>
        </w:rPr>
      </w:pPr>
      <w:r w:rsidRPr="00DD7BD1">
        <w:rPr>
          <w:rFonts w:ascii="Calibri" w:hAnsi="Calibri" w:cs="Calibri"/>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DD7BD1" w:rsidRDefault="00ED4076" w:rsidP="00ED4076">
      <w:pPr>
        <w:pStyle w:val="BodyText"/>
        <w:jc w:val="left"/>
        <w:rPr>
          <w:rFonts w:cs="Calibri"/>
          <w:color w:val="auto"/>
        </w:rPr>
      </w:pPr>
      <w:r w:rsidRPr="00DD7BD1">
        <w:rPr>
          <w:rFonts w:cs="Calibri"/>
          <w:noProof/>
          <w:color w:val="auto"/>
        </w:rPr>
        <w:t xml:space="preserve">Starting January 1, 2025 </w:t>
      </w:r>
      <w:r w:rsidRPr="00DD7BD1">
        <w:rPr>
          <w:rFonts w:cs="Calibri"/>
          <w:color w:val="auto"/>
        </w:rPr>
        <w:t>reporting companies created or registered to do business in the United States before Jan. 1, 2024, must file their initial BOI reports.</w:t>
      </w:r>
    </w:p>
    <w:p w14:paraId="44449BF8" w14:textId="7CDB6E09" w:rsidR="00ED4076" w:rsidRPr="00DD7BD1" w:rsidRDefault="00ED4076" w:rsidP="00ED4076">
      <w:pPr>
        <w:pStyle w:val="BodyText"/>
        <w:rPr>
          <w:rFonts w:cs="Calibri"/>
          <w:color w:val="auto"/>
        </w:rPr>
      </w:pPr>
      <w:r w:rsidRPr="00DD7BD1">
        <w:rPr>
          <w:rFonts w:cs="Calibri"/>
          <w:b/>
          <w:bCs/>
          <w:color w:val="auto"/>
          <w:highlight w:val="lightGray"/>
        </w:rPr>
        <w:t>Employer Take away:</w:t>
      </w:r>
      <w:r w:rsidRPr="00DD7BD1">
        <w:rPr>
          <w:rFonts w:cs="Calibri"/>
          <w:color w:val="auto"/>
        </w:rPr>
        <w:t xml:space="preserve"> Tough outside of the scope of consulting by ETC,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  See also attached resource.</w:t>
      </w:r>
    </w:p>
    <w:p w14:paraId="17205363" w14:textId="77777777" w:rsidR="00ED4076" w:rsidRPr="00DD7BD1" w:rsidRDefault="00ED4076" w:rsidP="00ED4076">
      <w:pPr>
        <w:pStyle w:val="BodyText"/>
        <w:spacing w:after="0" w:line="240" w:lineRule="auto"/>
        <w:jc w:val="left"/>
        <w:rPr>
          <w:rFonts w:cs="Calibri"/>
          <w:color w:val="auto"/>
        </w:rPr>
      </w:pPr>
      <w:r w:rsidRPr="00DD7BD1">
        <w:rPr>
          <w:rFonts w:cs="Calibri"/>
          <w:color w:val="auto"/>
        </w:rPr>
        <w:t>Resources:</w:t>
      </w:r>
    </w:p>
    <w:p w14:paraId="4E2BABB8" w14:textId="77777777" w:rsidR="00ED4076" w:rsidRPr="00DD7BD1" w:rsidRDefault="00ED4076" w:rsidP="00ED4076">
      <w:pPr>
        <w:pStyle w:val="BulletListText"/>
        <w:spacing w:after="0"/>
        <w:contextualSpacing/>
        <w:rPr>
          <w:rFonts w:cs="Calibri"/>
          <w:noProof/>
        </w:rPr>
      </w:pPr>
      <w:r w:rsidRPr="00DD7BD1">
        <w:rPr>
          <w:rFonts w:cs="Calibri"/>
          <w:noProof/>
          <w:color w:val="auto"/>
        </w:rPr>
        <w:t>FinCEN</w:t>
      </w:r>
      <w:r w:rsidRPr="00DD7BD1">
        <w:rPr>
          <w:rFonts w:cs="Calibri"/>
          <w:noProof/>
        </w:rPr>
        <w:t xml:space="preserve"> – </w:t>
      </w:r>
      <w:hyperlink r:id="rId405" w:history="1">
        <w:r w:rsidRPr="00DD7BD1">
          <w:rPr>
            <w:rStyle w:val="Hyperlink"/>
            <w:rFonts w:eastAsiaTheme="majorEastAsia" w:cs="Calibri"/>
            <w:noProof/>
          </w:rPr>
          <w:t>BOI Homepage</w:t>
        </w:r>
      </w:hyperlink>
    </w:p>
    <w:p w14:paraId="7C6798DE"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06" w:history="1">
        <w:r w:rsidRPr="00DD7BD1">
          <w:rPr>
            <w:rStyle w:val="Hyperlink"/>
            <w:rFonts w:eastAsiaTheme="majorEastAsia" w:cs="Calibri"/>
            <w:noProof/>
          </w:rPr>
          <w:t>BOI Informational Brochure</w:t>
        </w:r>
      </w:hyperlink>
    </w:p>
    <w:p w14:paraId="2D60737C"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07" w:history="1">
        <w:r w:rsidRPr="00DD7BD1">
          <w:rPr>
            <w:rStyle w:val="Hyperlink"/>
            <w:rFonts w:eastAsiaTheme="majorEastAsia" w:cs="Calibri"/>
            <w:noProof/>
          </w:rPr>
          <w:t>BOI Frequently Asked Questions</w:t>
        </w:r>
      </w:hyperlink>
      <w:r w:rsidRPr="00DD7BD1">
        <w:rPr>
          <w:rFonts w:cs="Calibri"/>
          <w:noProof/>
        </w:rPr>
        <w:t xml:space="preserve"> </w:t>
      </w:r>
    </w:p>
    <w:p w14:paraId="5F40C74C" w14:textId="73FB6F94" w:rsidR="00ED58D7" w:rsidRPr="00DD7BD1" w:rsidRDefault="00ED4076" w:rsidP="00CD70B8">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08" w:history="1">
        <w:r w:rsidRPr="00DD7BD1">
          <w:rPr>
            <w:rStyle w:val="Hyperlink"/>
            <w:rFonts w:eastAsiaTheme="majorEastAsia" w:cs="Calibri"/>
            <w:noProof/>
          </w:rPr>
          <w:t>BOI Small Entity Compliance Guide</w:t>
        </w:r>
      </w:hyperlink>
    </w:p>
    <w:p w14:paraId="6881823E" w14:textId="4810EFB9" w:rsidR="00AF4ED7" w:rsidRPr="00DD7BD1" w:rsidRDefault="00AF4ED7" w:rsidP="00AF4ED7">
      <w:pPr>
        <w:pStyle w:val="BList1"/>
        <w:numPr>
          <w:ilvl w:val="0"/>
          <w:numId w:val="0"/>
        </w:numPr>
        <w:spacing w:before="0" w:after="0" w:line="240" w:lineRule="auto"/>
        <w:jc w:val="center"/>
        <w:rPr>
          <w:rFonts w:ascii="Calibri" w:eastAsia="Times New Roman" w:hAnsi="Calibri" w:cs="Calibri"/>
          <w:b/>
          <w:bCs/>
          <w:sz w:val="28"/>
          <w:szCs w:val="28"/>
        </w:rPr>
      </w:pPr>
      <w:r w:rsidRPr="00DD7BD1">
        <w:rPr>
          <w:rFonts w:ascii="Calibri" w:eastAsia="Times New Roman" w:hAnsi="Calibri" w:cs="Calibri"/>
          <w:b/>
          <w:bCs/>
          <w:sz w:val="28"/>
          <w:szCs w:val="28"/>
        </w:rPr>
        <w:t>EEOC’s Workplace Guidance to Prevent Harassment</w:t>
      </w:r>
    </w:p>
    <w:p w14:paraId="4B6E6FE5" w14:textId="77777777" w:rsidR="00AF4ED7" w:rsidRPr="00DD7BD1" w:rsidRDefault="00AF4ED7" w:rsidP="00AF4ED7">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 xml:space="preserve">On April 29, 2024, the U.S. Equal Employment Opportunity Commission (EEOC) published its final guidance on harassment in the workplace, which went into effect immediately upon issuance. </w:t>
      </w:r>
      <w:r w:rsidRPr="00DD7BD1">
        <w:rPr>
          <w:rFonts w:ascii="Calibri" w:hAnsi="Calibri" w:cs="Calibri"/>
          <w:color w:val="000000" w:themeColor="text1"/>
          <w:spacing w:val="3"/>
          <w:shd w:val="clear" w:color="auto" w:fill="FFFFFF"/>
        </w:rPr>
        <w:t>This is the first updated enforcement guidance on workplace harassment in 25 years and it</w:t>
      </w:r>
      <w:r w:rsidRPr="00DD7BD1">
        <w:rPr>
          <w:rFonts w:ascii="Calibri" w:hAnsi="Calibri" w:cs="Calibri"/>
          <w:color w:val="000000" w:themeColor="text1"/>
          <w:spacing w:val="3"/>
          <w:sz w:val="27"/>
          <w:szCs w:val="27"/>
          <w:shd w:val="clear" w:color="auto" w:fill="FFFFFF"/>
        </w:rPr>
        <w:t xml:space="preserve"> </w:t>
      </w:r>
      <w:r w:rsidRPr="00DD7BD1">
        <w:rPr>
          <w:rFonts w:ascii="Calibri" w:eastAsia="Times New Roman" w:hAnsi="Calibri" w:cs="Calibri"/>
          <w:color w:val="000000" w:themeColor="text1"/>
        </w:rPr>
        <w:t>explains how the EEOC may enforce equal employment opportunity (EEO) laws against an employer when workplace harassment is alleged or suspected. </w:t>
      </w:r>
    </w:p>
    <w:p w14:paraId="66C7893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0FE7175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Commission last issued guidance on workplace harassment, notable changes in the law have occurred, including the Supreme Court’s decision in </w:t>
      </w:r>
      <w:r w:rsidRPr="00DD7BD1">
        <w:rPr>
          <w:rStyle w:val="Emphasis"/>
          <w:rFonts w:ascii="Calibri" w:hAnsi="Calibri" w:cs="Calibri"/>
          <w:color w:val="000000" w:themeColor="text1"/>
          <w:sz w:val="22"/>
          <w:szCs w:val="22"/>
        </w:rPr>
        <w:t>Bostock v. Clayton County</w:t>
      </w:r>
      <w:r w:rsidRPr="00DD7BD1">
        <w:rPr>
          <w:rFonts w:ascii="Calibri" w:hAnsi="Calibri" w:cs="Calibri"/>
          <w:color w:val="000000" w:themeColor="text1"/>
          <w:sz w:val="22"/>
          <w:szCs w:val="22"/>
        </w:rPr>
        <w:t xml:space="preserve"> and new issues such as online harassment.</w:t>
      </w:r>
    </w:p>
    <w:p w14:paraId="2F760ADD"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new guidance updates,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2D84C53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Resources:</w:t>
      </w:r>
    </w:p>
    <w:p w14:paraId="598E7378"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409" w:history="1">
        <w:r w:rsidRPr="00DD7BD1">
          <w:rPr>
            <w:rStyle w:val="Hyperlink"/>
            <w:rFonts w:ascii="Calibri" w:hAnsi="Calibri" w:cs="Calibri"/>
            <w:sz w:val="22"/>
            <w:szCs w:val="22"/>
            <w:shd w:val="clear" w:color="auto" w:fill="FFFFFF"/>
          </w:rPr>
          <w:t>Enforcement Guidance on Harassment in the Workplace</w:t>
        </w:r>
      </w:hyperlink>
      <w:r w:rsidRPr="00DD7BD1">
        <w:rPr>
          <w:rStyle w:val="Hyperlink"/>
          <w:rFonts w:ascii="Calibri" w:hAnsi="Calibri" w:cs="Calibri"/>
          <w:sz w:val="22"/>
          <w:szCs w:val="22"/>
        </w:rPr>
        <w:t>.</w:t>
      </w:r>
    </w:p>
    <w:p w14:paraId="48F0AE0A"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r w:rsidRPr="00DD7BD1">
        <w:rPr>
          <w:rStyle w:val="Hyperlink"/>
          <w:rFonts w:ascii="Calibri" w:hAnsi="Calibri" w:cs="Calibri"/>
          <w:sz w:val="22"/>
          <w:szCs w:val="22"/>
        </w:rPr>
        <w:t xml:space="preserve"> “</w:t>
      </w:r>
      <w:hyperlink r:id="rId410" w:history="1">
        <w:r w:rsidRPr="00DD7BD1">
          <w:rPr>
            <w:rStyle w:val="Hyperlink"/>
            <w:rFonts w:ascii="Calibri" w:hAnsi="Calibri" w:cs="Calibri"/>
            <w:sz w:val="22"/>
            <w:szCs w:val="22"/>
            <w:shd w:val="clear" w:color="auto" w:fill="FFFFFF"/>
          </w:rPr>
          <w:t>Summary of Key Provisions</w:t>
        </w:r>
      </w:hyperlink>
      <w:r w:rsidRPr="00DD7BD1">
        <w:rPr>
          <w:rStyle w:val="Hyperlink"/>
          <w:rFonts w:ascii="Calibri" w:hAnsi="Calibri" w:cs="Calibri"/>
          <w:sz w:val="22"/>
          <w:szCs w:val="22"/>
        </w:rPr>
        <w:t>” document, </w:t>
      </w:r>
    </w:p>
    <w:p w14:paraId="5451A19B"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411" w:history="1">
        <w:r w:rsidRPr="00DD7BD1">
          <w:rPr>
            <w:rStyle w:val="Hyperlink"/>
            <w:rFonts w:ascii="Calibri" w:hAnsi="Calibri" w:cs="Calibri"/>
            <w:sz w:val="22"/>
            <w:szCs w:val="22"/>
            <w:shd w:val="clear" w:color="auto" w:fill="FFFFFF"/>
          </w:rPr>
          <w:t>document for employees</w:t>
        </w:r>
      </w:hyperlink>
      <w:r w:rsidRPr="00DD7BD1">
        <w:rPr>
          <w:rStyle w:val="Hyperlink"/>
          <w:rFonts w:ascii="Calibri" w:hAnsi="Calibri" w:cs="Calibri"/>
          <w:sz w:val="22"/>
          <w:szCs w:val="22"/>
        </w:rPr>
        <w:t>, and a </w:t>
      </w:r>
    </w:p>
    <w:p w14:paraId="5AB18755" w14:textId="77777777" w:rsidR="00AF4ED7" w:rsidRPr="00DD7BD1" w:rsidRDefault="00AF4ED7">
      <w:pPr>
        <w:pStyle w:val="NormalWeb"/>
        <w:numPr>
          <w:ilvl w:val="0"/>
          <w:numId w:val="45"/>
        </w:numPr>
        <w:shd w:val="clear" w:color="auto" w:fill="FFFFFF"/>
        <w:spacing w:before="0" w:beforeAutospacing="0" w:after="0" w:afterAutospacing="0"/>
        <w:rPr>
          <w:rFonts w:ascii="Calibri" w:hAnsi="Calibri" w:cs="Calibri"/>
          <w:color w:val="0000FF"/>
          <w:sz w:val="22"/>
          <w:szCs w:val="22"/>
          <w:u w:val="single"/>
          <w:shd w:val="clear" w:color="auto" w:fill="FFFFFF"/>
        </w:rPr>
      </w:pPr>
      <w:hyperlink r:id="rId412" w:history="1">
        <w:r w:rsidRPr="00DD7BD1">
          <w:rPr>
            <w:rStyle w:val="Hyperlink"/>
            <w:rFonts w:ascii="Calibri" w:hAnsi="Calibri" w:cs="Calibri"/>
            <w:sz w:val="22"/>
            <w:szCs w:val="22"/>
            <w:shd w:val="clear" w:color="auto" w:fill="FFFFFF"/>
          </w:rPr>
          <w:t>fact sheet for small businesses</w:t>
        </w:r>
      </w:hyperlink>
      <w:r w:rsidRPr="00DD7BD1">
        <w:rPr>
          <w:rStyle w:val="Hyperlink"/>
          <w:rFonts w:ascii="Calibri" w:hAnsi="Calibri" w:cs="Calibri"/>
          <w:sz w:val="22"/>
          <w:szCs w:val="22"/>
        </w:rPr>
        <w:t>.</w:t>
      </w:r>
    </w:p>
    <w:p w14:paraId="67A1A16B"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16"/>
          <w:szCs w:val="16"/>
        </w:rPr>
      </w:pPr>
    </w:p>
    <w:p w14:paraId="3EBA6209"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22"/>
          <w:szCs w:val="22"/>
        </w:rPr>
      </w:pPr>
      <w:r w:rsidRPr="00DD7BD1">
        <w:rPr>
          <w:rFonts w:ascii="Calibri" w:hAnsi="Calibri" w:cs="Calibri"/>
          <w:b/>
          <w:bCs/>
          <w:color w:val="000000"/>
          <w:sz w:val="22"/>
          <w:szCs w:val="22"/>
          <w:highlight w:val="lightGray"/>
        </w:rPr>
        <w:t>Learn more:</w:t>
      </w:r>
    </w:p>
    <w:p w14:paraId="0F4FB6C9" w14:textId="77777777" w:rsidR="00AF4ED7" w:rsidRPr="00DD7BD1" w:rsidRDefault="00AF4ED7" w:rsidP="00AF4ED7">
      <w:pPr>
        <w:pStyle w:val="Heading3"/>
        <w:shd w:val="clear" w:color="auto" w:fill="FFFFFF"/>
        <w:spacing w:before="0" w:line="240" w:lineRule="auto"/>
        <w:rPr>
          <w:rFonts w:ascii="Calibri" w:hAnsi="Calibri" w:cs="Calibri"/>
          <w:b/>
          <w:bCs/>
          <w:color w:val="auto"/>
          <w:spacing w:val="3"/>
          <w:sz w:val="22"/>
          <w:szCs w:val="22"/>
        </w:rPr>
      </w:pPr>
      <w:r w:rsidRPr="00DD7BD1">
        <w:rPr>
          <w:rFonts w:ascii="Calibri" w:hAnsi="Calibri" w:cs="Calibri"/>
          <w:b/>
          <w:bCs/>
          <w:color w:val="auto"/>
          <w:spacing w:val="3"/>
          <w:sz w:val="22"/>
          <w:szCs w:val="22"/>
        </w:rPr>
        <w:t>Covered Bases and Causation</w:t>
      </w:r>
    </w:p>
    <w:p w14:paraId="0023E363"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spacing w:val="3"/>
          <w:sz w:val="22"/>
          <w:szCs w:val="22"/>
        </w:rPr>
      </w:pPr>
      <w:r w:rsidRPr="00DD7BD1">
        <w:rPr>
          <w:rFonts w:ascii="Calibri" w:hAnsi="Calibri" w:cs="Calibri"/>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i/>
          <w:iCs/>
          <w:spacing w:val="3"/>
          <w:sz w:val="22"/>
          <w:szCs w:val="22"/>
        </w:rPr>
      </w:pPr>
      <w:r w:rsidRPr="00DD7BD1">
        <w:rPr>
          <w:rFonts w:ascii="Calibri" w:hAnsi="Calibri" w:cs="Calibri"/>
          <w:i/>
          <w:iCs/>
          <w:spacing w:val="3"/>
          <w:sz w:val="22"/>
          <w:szCs w:val="22"/>
        </w:rPr>
        <w:t>Among the highlights in the new guidance:</w:t>
      </w:r>
    </w:p>
    <w:p w14:paraId="0238C0B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Race harassment includes harassment based on </w:t>
      </w:r>
      <w:r w:rsidRPr="00DD7BD1">
        <w:rPr>
          <w:rFonts w:ascii="Calibri" w:hAnsi="Calibri" w:cs="Calibri"/>
          <w:i/>
          <w:iCs/>
          <w:spacing w:val="3"/>
        </w:rPr>
        <w:t>traits or characteristics linked to a person’s race</w:t>
      </w:r>
      <w:r w:rsidRPr="00DD7BD1">
        <w:rPr>
          <w:rFonts w:ascii="Calibri" w:hAnsi="Calibri" w:cs="Calibri"/>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National origin</w:t>
      </w:r>
      <w:r w:rsidRPr="00DD7BD1">
        <w:rPr>
          <w:rFonts w:ascii="Calibri" w:hAnsi="Calibri" w:cs="Calibri"/>
          <w:spacing w:val="3"/>
        </w:rPr>
        <w:t xml:space="preserve"> harassment includes harassment </w:t>
      </w:r>
      <w:r w:rsidRPr="00DD7BD1">
        <w:rPr>
          <w:rFonts w:ascii="Calibri" w:hAnsi="Calibri" w:cs="Calibri"/>
          <w:i/>
          <w:iCs/>
          <w:spacing w:val="3"/>
        </w:rPr>
        <w:t>based on traits</w:t>
      </w:r>
      <w:r w:rsidRPr="00DD7BD1">
        <w:rPr>
          <w:rFonts w:ascii="Calibri" w:hAnsi="Calibri" w:cs="Calibri"/>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prohibition on religious harassment extends to </w:t>
      </w:r>
      <w:r w:rsidRPr="00DD7BD1">
        <w:rPr>
          <w:rFonts w:ascii="Calibri" w:hAnsi="Calibri" w:cs="Calibri"/>
          <w:i/>
          <w:iCs/>
          <w:spacing w:val="3"/>
        </w:rPr>
        <w:t>religious stereotypes and requests for or receipt of religious accommodations in the workplace</w:t>
      </w:r>
      <w:r w:rsidRPr="00DD7BD1">
        <w:rPr>
          <w:rFonts w:ascii="Calibri" w:hAnsi="Calibri" w:cs="Calibri"/>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Title VII of the Civil Rights Act’s prohibition on sex-based harassment also includes harassment based on </w:t>
      </w:r>
      <w:r w:rsidRPr="00DD7BD1">
        <w:rPr>
          <w:rFonts w:ascii="Calibri" w:hAnsi="Calibri" w:cs="Calibri"/>
          <w:i/>
          <w:iCs/>
          <w:spacing w:val="3"/>
        </w:rPr>
        <w:t>pregnancy, childbirth, and related medical conditions such as lactation, morning sickness, use or non-use of contraception, and decisions related to abortions</w:t>
      </w:r>
      <w:r w:rsidRPr="00DD7BD1">
        <w:rPr>
          <w:rFonts w:ascii="Calibri" w:hAnsi="Calibri" w:cs="Calibri"/>
          <w:spacing w:val="3"/>
        </w:rPr>
        <w:t>.</w:t>
      </w:r>
    </w:p>
    <w:p w14:paraId="6236F8D8"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Sex-based</w:t>
      </w:r>
      <w:r w:rsidRPr="00DD7BD1">
        <w:rPr>
          <w:rFonts w:ascii="Calibri" w:hAnsi="Calibri" w:cs="Calibri"/>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prohibited by the </w:t>
      </w:r>
      <w:r w:rsidRPr="00DD7BD1">
        <w:rPr>
          <w:rFonts w:ascii="Calibri" w:hAnsi="Calibri" w:cs="Calibri"/>
          <w:i/>
          <w:iCs/>
          <w:spacing w:val="3"/>
        </w:rPr>
        <w:t>Age Discrimination</w:t>
      </w:r>
      <w:r w:rsidRPr="00DD7BD1">
        <w:rPr>
          <w:rFonts w:ascii="Calibri" w:hAnsi="Calibri" w:cs="Calibri"/>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Disability harassment</w:t>
      </w:r>
      <w:r w:rsidRPr="00DD7BD1">
        <w:rPr>
          <w:rFonts w:ascii="Calibri" w:hAnsi="Calibri" w:cs="Calibri"/>
          <w:spacing w:val="3"/>
        </w:rPr>
        <w:t xml:space="preserve"> under Title I of the Americans With Disabilities Act includes conduct based on the person’s </w:t>
      </w:r>
      <w:r w:rsidRPr="00DD7BD1">
        <w:rPr>
          <w:rFonts w:ascii="Calibri" w:hAnsi="Calibri" w:cs="Calibri"/>
          <w:i/>
          <w:iCs/>
          <w:spacing w:val="3"/>
        </w:rPr>
        <w:t>disability-related traits or characteristics</w:t>
      </w:r>
      <w:r w:rsidRPr="00DD7BD1">
        <w:rPr>
          <w:rFonts w:ascii="Calibri" w:hAnsi="Calibri" w:cs="Calibri"/>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w:t>
      </w:r>
      <w:r w:rsidRPr="00DD7BD1">
        <w:rPr>
          <w:rFonts w:ascii="Calibri" w:hAnsi="Calibri" w:cs="Calibri"/>
          <w:i/>
          <w:iCs/>
          <w:spacing w:val="3"/>
        </w:rPr>
        <w:t>prohibition on retaliation</w:t>
      </w:r>
      <w:r w:rsidRPr="00DD7BD1">
        <w:rPr>
          <w:rFonts w:ascii="Calibri" w:hAnsi="Calibri" w:cs="Calibri"/>
          <w:spacing w:val="3"/>
        </w:rPr>
        <w:t xml:space="preserve"> under EEO statutes extends to what the guidance describes as “</w:t>
      </w:r>
      <w:r w:rsidRPr="00DD7BD1">
        <w:rPr>
          <w:rFonts w:ascii="Calibri" w:hAnsi="Calibri" w:cs="Calibri"/>
          <w:i/>
          <w:iCs/>
          <w:spacing w:val="3"/>
        </w:rPr>
        <w:t>retaliatory harassment,” or harassment suffered by the employee due to their protected activity</w:t>
      </w:r>
      <w:r w:rsidRPr="00DD7BD1">
        <w:rPr>
          <w:rFonts w:ascii="Calibri" w:hAnsi="Calibri" w:cs="Calibri"/>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DD7BD1">
        <w:rPr>
          <w:rFonts w:ascii="Calibri" w:hAnsi="Calibri" w:cs="Calibri"/>
          <w:i/>
          <w:iCs/>
          <w:spacing w:val="3"/>
        </w:rPr>
        <w:t>not sufficiently severe or pervasive to support a hostile work environment claim</w:t>
      </w:r>
      <w:r w:rsidRPr="00DD7BD1">
        <w:rPr>
          <w:rFonts w:ascii="Calibri" w:hAnsi="Calibri" w:cs="Calibri"/>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guidance provides that an individual can be found to have engaged in prohibited harassment against another individual </w:t>
      </w:r>
      <w:r w:rsidRPr="00DD7BD1">
        <w:rPr>
          <w:rFonts w:ascii="Calibri" w:hAnsi="Calibri" w:cs="Calibri"/>
          <w:i/>
          <w:iCs/>
          <w:spacing w:val="3"/>
        </w:rPr>
        <w:t>even if both are in the same protected class</w:t>
      </w:r>
      <w:r w:rsidRPr="00DD7BD1">
        <w:rPr>
          <w:rFonts w:ascii="Calibri" w:hAnsi="Calibri" w:cs="Calibri"/>
          <w:spacing w:val="3"/>
        </w:rPr>
        <w:t xml:space="preserve">, referred to </w:t>
      </w:r>
      <w:r w:rsidRPr="00DD7BD1">
        <w:rPr>
          <w:rFonts w:ascii="Calibri" w:hAnsi="Calibri" w:cs="Calibri"/>
          <w:i/>
          <w:iCs/>
          <w:spacing w:val="3"/>
        </w:rPr>
        <w:t>as intraclass harassment.</w:t>
      </w:r>
    </w:p>
    <w:p w14:paraId="152DCE8D"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can also be based on more than one protected characteristic or be actionable under more than one EEO statute, which is referred to </w:t>
      </w:r>
      <w:r w:rsidRPr="00DD7BD1">
        <w:rPr>
          <w:rFonts w:ascii="Calibri" w:hAnsi="Calibri" w:cs="Calibri"/>
          <w:i/>
          <w:iCs/>
          <w:spacing w:val="3"/>
        </w:rPr>
        <w:t>as intersectional harassment</w:t>
      </w:r>
      <w:r w:rsidRPr="00DD7BD1">
        <w:rPr>
          <w:rFonts w:ascii="Calibri" w:hAnsi="Calibri" w:cs="Calibri"/>
          <w:spacing w:val="3"/>
        </w:rPr>
        <w:t>.</w:t>
      </w:r>
    </w:p>
    <w:p w14:paraId="7D4C0A1E" w14:textId="77777777" w:rsidR="00D11F7B" w:rsidRPr="00DD7BD1" w:rsidRDefault="00D11F7B" w:rsidP="00AF4ED7">
      <w:pPr>
        <w:pStyle w:val="NormalWeb"/>
        <w:shd w:val="clear" w:color="auto" w:fill="FFFFFF"/>
        <w:spacing w:before="0" w:beforeAutospacing="0" w:after="0" w:afterAutospacing="0"/>
        <w:jc w:val="center"/>
        <w:rPr>
          <w:rFonts w:ascii="Calibri" w:hAnsi="Calibri" w:cs="Calibri"/>
          <w:b/>
          <w:bCs/>
          <w:sz w:val="20"/>
          <w:szCs w:val="20"/>
        </w:rPr>
      </w:pPr>
    </w:p>
    <w:p w14:paraId="1A8F683A" w14:textId="7AFAA9AB"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 xml:space="preserve">DOL Issues Guidance on AI </w:t>
      </w:r>
    </w:p>
    <w:p w14:paraId="0A9E329E"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eastAsia="Times New Roman" w:hAnsi="Calibri" w:cs="Calibri"/>
        </w:rPr>
        <w:t xml:space="preserve">The Wage and Hour Division (WHD) of the U.S. Department of Labor recently published a </w:t>
      </w:r>
      <w:hyperlink r:id="rId413" w:history="1">
        <w:r w:rsidRPr="00DD7BD1">
          <w:rPr>
            <w:rStyle w:val="Hyperlink"/>
            <w:rFonts w:ascii="Calibri" w:eastAsia="Times New Roman" w:hAnsi="Calibri" w:cs="Calibri"/>
          </w:rPr>
          <w:t>Field Assistance Bulletin (FAB) No. 2024-1</w:t>
        </w:r>
      </w:hyperlink>
      <w:r w:rsidRPr="00DD7BD1">
        <w:rPr>
          <w:rFonts w:ascii="Calibri" w:eastAsia="Times New Roman" w:hAnsi="Calibri" w:cs="Calibri"/>
          <w:color w:val="31313A"/>
        </w:rPr>
        <w:t xml:space="preserve"> </w:t>
      </w:r>
      <w:r w:rsidRPr="00DD7BD1">
        <w:rPr>
          <w:rFonts w:ascii="Calibri" w:eastAsia="Times New Roman" w:hAnsi="Calibri" w:cs="Calibri"/>
        </w:rPr>
        <w:t xml:space="preserve">warning that the use of artificial intelligence (AI) and other automated systems could cause employers to violate laws WHD enforces, including </w:t>
      </w:r>
      <w:r w:rsidRPr="00DD7BD1">
        <w:rPr>
          <w:rFonts w:ascii="Calibri" w:hAnsi="Calibri" w:cs="Calibri"/>
          <w:shd w:val="clear" w:color="auto" w:fill="FFFFFF"/>
        </w:rPr>
        <w:t>Fair Labor Standards Act (FLSA), the Family and Medical Leave Act (FMLA), and other federal labor laws due to the use of AI and automation technologies.</w:t>
      </w:r>
    </w:p>
    <w:p w14:paraId="72089E0E"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16"/>
          <w:szCs w:val="16"/>
        </w:rPr>
      </w:pPr>
    </w:p>
    <w:p w14:paraId="4FA463F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shd w:val="clear" w:color="auto" w:fill="FFFFFF"/>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C00000"/>
          <w:sz w:val="16"/>
          <w:szCs w:val="16"/>
          <w:highlight w:val="lightGray"/>
        </w:rPr>
      </w:pPr>
    </w:p>
    <w:p w14:paraId="7FCCE59F" w14:textId="77777777" w:rsidR="00AF4ED7" w:rsidRPr="00DD7BD1" w:rsidRDefault="00AF4ED7" w:rsidP="00AF4ED7">
      <w:pPr>
        <w:shd w:val="clear" w:color="auto" w:fill="FFFFFF"/>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Learn More:</w:t>
      </w:r>
    </w:p>
    <w:p w14:paraId="729201F7"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64702220"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So, what’s in the DOL’s released Principles?</w:t>
      </w:r>
    </w:p>
    <w:p w14:paraId="3CDA0E13"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Centering Worker Empowerment</w:t>
      </w:r>
      <w:r w:rsidRPr="00DD7BD1">
        <w:rPr>
          <w:rFonts w:ascii="Calibri" w:eastAsia="Times New Roman" w:hAnsi="Calibri" w:cs="Calibri"/>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Ethically Developing AI</w:t>
      </w:r>
      <w:r w:rsidRPr="00DD7BD1">
        <w:rPr>
          <w:rFonts w:ascii="Calibri" w:eastAsia="Times New Roman" w:hAnsi="Calibri" w:cs="Calibri"/>
        </w:rPr>
        <w:t xml:space="preserve">: AI systems should be designed, developed, and trained in a way that protects workers. </w:t>
      </w:r>
    </w:p>
    <w:p w14:paraId="7B04A4FC"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Establishing AI Governance and Human Oversight</w:t>
      </w:r>
      <w:r w:rsidRPr="00DD7BD1">
        <w:rPr>
          <w:rFonts w:ascii="Calibri" w:eastAsia="Times New Roman" w:hAnsi="Calibri" w:cs="Calibri"/>
        </w:rPr>
        <w:t xml:space="preserve">: Organizations should have clear governance systems, procedures, human oversight, and evaluation processes for AI systems for use in the workplace. </w:t>
      </w:r>
    </w:p>
    <w:p w14:paraId="7C3A4876"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Transparency in AI Use</w:t>
      </w:r>
      <w:r w:rsidRPr="00DD7BD1">
        <w:rPr>
          <w:rFonts w:ascii="Calibri" w:eastAsia="Times New Roman" w:hAnsi="Calibri" w:cs="Calibri"/>
        </w:rPr>
        <w:t xml:space="preserve">: Employers should be transparent with workers and job seekers about the AI systems that are being used in the workplace. </w:t>
      </w:r>
    </w:p>
    <w:p w14:paraId="62FACCE1"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Protecting Labor and Employment Rights</w:t>
      </w:r>
      <w:r w:rsidRPr="00DD7BD1">
        <w:rPr>
          <w:rFonts w:ascii="Calibri" w:eastAsia="Times New Roman" w:hAnsi="Calibri" w:cs="Calibri"/>
        </w:rPr>
        <w:t xml:space="preserve">: AI systems should not violate or undermine workers’ right to organize, health and safety rights, wage and hour rights, and anti-discrimination and anti-retaliation protections. </w:t>
      </w:r>
    </w:p>
    <w:p w14:paraId="4A92B0E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Using AI to Enable Workers:</w:t>
      </w:r>
      <w:r w:rsidRPr="00DD7BD1">
        <w:rPr>
          <w:rFonts w:ascii="Calibri" w:eastAsia="Times New Roman" w:hAnsi="Calibri" w:cs="Calibri"/>
        </w:rPr>
        <w:t> AI systems should assist, complement, and enable workers, and improve job quality.</w:t>
      </w:r>
    </w:p>
    <w:p w14:paraId="789852BE"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Supporting Workers Impacted by AI</w:t>
      </w:r>
      <w:r w:rsidRPr="00DD7BD1">
        <w:rPr>
          <w:rFonts w:ascii="Calibri" w:eastAsia="Times New Roman" w:hAnsi="Calibri" w:cs="Calibri"/>
        </w:rPr>
        <w:t xml:space="preserve">: Employers should support or upskill workers during job transitions related to AI. </w:t>
      </w:r>
    </w:p>
    <w:p w14:paraId="06AB4D45"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Responsible Use of Worker Data:</w:t>
      </w:r>
      <w:r w:rsidRPr="00DD7BD1">
        <w:rPr>
          <w:rFonts w:ascii="Calibri" w:eastAsia="Times New Roman" w:hAnsi="Calibri" w:cs="Calibri"/>
        </w:rPr>
        <w:t> Workers’ data collected, used, or created by AI systems should be limited in scope and location, used only to support legitimate business aims, and protected and handled responsibly.</w:t>
      </w:r>
    </w:p>
    <w:p w14:paraId="14E4393E" w14:textId="77777777" w:rsidR="00AF4ED7" w:rsidRPr="00DD7BD1" w:rsidRDefault="00AF4ED7" w:rsidP="00AF4ED7">
      <w:pPr>
        <w:shd w:val="clear" w:color="auto" w:fill="FFFFFF"/>
        <w:spacing w:after="0" w:line="240" w:lineRule="auto"/>
        <w:ind w:left="720"/>
        <w:rPr>
          <w:rFonts w:ascii="Calibri" w:eastAsia="Times New Roman" w:hAnsi="Calibri" w:cs="Calibri"/>
          <w:sz w:val="20"/>
          <w:szCs w:val="20"/>
        </w:rPr>
      </w:pPr>
    </w:p>
    <w:p w14:paraId="3095F488" w14:textId="77777777" w:rsidR="00AF4ED7" w:rsidRPr="00DD7BD1" w:rsidRDefault="00AF4ED7" w:rsidP="00AF4ED7">
      <w:pPr>
        <w:pStyle w:val="Heading1"/>
        <w:shd w:val="clear" w:color="auto" w:fill="FFFFFF"/>
        <w:spacing w:before="0" w:beforeAutospacing="0" w:after="0" w:afterAutospacing="0"/>
        <w:jc w:val="center"/>
        <w:rPr>
          <w:rFonts w:ascii="Calibri" w:hAnsi="Calibri" w:cs="Calibri"/>
          <w:spacing w:val="-4"/>
          <w:sz w:val="28"/>
          <w:szCs w:val="28"/>
        </w:rPr>
      </w:pPr>
      <w:r w:rsidRPr="00DD7BD1">
        <w:rPr>
          <w:rFonts w:ascii="Calibri" w:hAnsi="Calibri" w:cs="Calibri"/>
          <w:spacing w:val="-4"/>
          <w:sz w:val="28"/>
          <w:szCs w:val="28"/>
        </w:rPr>
        <w:t>The Whitehouse Publishes Critical Steps to Protect Workers from Risks of Artificial Intelligence</w:t>
      </w:r>
    </w:p>
    <w:p w14:paraId="03D2D84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color w:val="000000" w:themeColor="text1"/>
          <w:sz w:val="22"/>
          <w:szCs w:val="22"/>
        </w:rPr>
        <w:t>Last year the White House weighed in on the use of </w:t>
      </w:r>
      <w:hyperlink r:id="rId414" w:tgtFrame="_blank" w:history="1">
        <w:r w:rsidRPr="00DD7BD1">
          <w:rPr>
            <w:rStyle w:val="Hyperlink"/>
            <w:rFonts w:ascii="Calibri" w:hAnsi="Calibri" w:cs="Calibri"/>
            <w:sz w:val="22"/>
            <w:szCs w:val="22"/>
          </w:rPr>
          <w:t>artificial intelligence (AI) in businesses</w:t>
        </w:r>
      </w:hyperlink>
      <w:r w:rsidRPr="00DD7BD1">
        <w:rPr>
          <w:rStyle w:val="Hyperlink"/>
          <w:rFonts w:ascii="Calibri" w:hAnsi="Calibri" w:cs="Calibri"/>
          <w:sz w:val="22"/>
          <w:szCs w:val="22"/>
        </w:rPr>
        <w:t>.</w:t>
      </w:r>
    </w:p>
    <w:p w14:paraId="4ABFF19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executive order, several government entities including the Department of Labor have released guidance on the use of AI.</w:t>
      </w:r>
    </w:p>
    <w:p w14:paraId="40A3E082"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And now the </w:t>
      </w:r>
      <w:hyperlink r:id="rId415" w:tgtFrame="_blank" w:history="1">
        <w:r w:rsidRPr="00DD7BD1">
          <w:rPr>
            <w:rStyle w:val="Hyperlink"/>
            <w:rFonts w:ascii="Calibri" w:hAnsi="Calibri" w:cs="Calibri"/>
            <w:sz w:val="22"/>
            <w:szCs w:val="22"/>
          </w:rPr>
          <w:t>White House published principles</w:t>
        </w:r>
      </w:hyperlink>
      <w:r w:rsidRPr="00DD7BD1">
        <w:rPr>
          <w:rFonts w:ascii="Calibri" w:hAnsi="Calibri" w:cs="Calibri"/>
          <w:color w:val="333333"/>
          <w:sz w:val="22"/>
          <w:szCs w:val="22"/>
        </w:rPr>
        <w:t> </w:t>
      </w:r>
      <w:r w:rsidRPr="00DD7BD1">
        <w:rPr>
          <w:rFonts w:ascii="Calibri" w:hAnsi="Calibri" w:cs="Calibri"/>
          <w:color w:val="000000" w:themeColor="text1"/>
          <w:sz w:val="22"/>
          <w:szCs w:val="22"/>
        </w:rPr>
        <w:t>to protect workers when AI is used in the workplace.</w:t>
      </w:r>
    </w:p>
    <w:p w14:paraId="69E8ACF9"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principles apply to both the development and deployment of AI systems. These principles include:</w:t>
      </w:r>
    </w:p>
    <w:p w14:paraId="1E40ACD1"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Awareness – </w:t>
      </w:r>
      <w:r w:rsidRPr="00DD7BD1">
        <w:rPr>
          <w:rFonts w:ascii="Calibri" w:hAnsi="Calibri" w:cs="Calibri"/>
          <w:color w:val="000000" w:themeColor="text1"/>
        </w:rPr>
        <w:t>Workers should be informed of and have input in the design, development, testing, training, and use of AI systems in the workplace.</w:t>
      </w:r>
    </w:p>
    <w:p w14:paraId="323298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Ethical development</w:t>
      </w:r>
      <w:r w:rsidRPr="00DD7BD1">
        <w:rPr>
          <w:rFonts w:ascii="Calibri" w:hAnsi="Calibri" w:cs="Calibri"/>
          <w:color w:val="000000" w:themeColor="text1"/>
        </w:rPr>
        <w:t> – AI systems should be designed, developed, and trained in a way to protect workers.</w:t>
      </w:r>
    </w:p>
    <w:p w14:paraId="59FF37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Governance and Oversight – </w:t>
      </w:r>
      <w:r w:rsidRPr="00DD7BD1">
        <w:rPr>
          <w:rFonts w:ascii="Calibri" w:hAnsi="Calibri" w:cs="Calibri"/>
          <w:color w:val="000000" w:themeColor="text1"/>
        </w:rPr>
        <w:t>Organizations should have clear governance systems and oversight for AI systems.</w:t>
      </w:r>
    </w:p>
    <w:p w14:paraId="2EEF1CB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Transparency – </w:t>
      </w:r>
      <w:r w:rsidRPr="00DD7BD1">
        <w:rPr>
          <w:rFonts w:ascii="Calibri" w:hAnsi="Calibri" w:cs="Calibri"/>
          <w:color w:val="000000" w:themeColor="text1"/>
        </w:rPr>
        <w:t>Employers should be transparent with workers and job seekers about AI systems being used.</w:t>
      </w:r>
    </w:p>
    <w:p w14:paraId="262DD7D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Compliance with existing workplace laws – </w:t>
      </w:r>
      <w:r w:rsidRPr="00DD7BD1">
        <w:rPr>
          <w:rFonts w:ascii="Calibri" w:hAnsi="Calibri" w:cs="Calibri"/>
          <w:color w:val="000000" w:themeColor="text1"/>
        </w:rPr>
        <w:t>AI systems should not violate or undermine worker’s rights including the right to organize, health and safety rights, and other worker protections.</w:t>
      </w:r>
    </w:p>
    <w:p w14:paraId="47BE763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Enabling</w:t>
      </w:r>
      <w:r w:rsidRPr="00DD7BD1">
        <w:rPr>
          <w:rFonts w:ascii="Calibri" w:hAnsi="Calibri" w:cs="Calibri"/>
          <w:color w:val="000000" w:themeColor="text1"/>
        </w:rPr>
        <w:t> – AI systems should assist and improve worker’s job quality.</w:t>
      </w:r>
    </w:p>
    <w:p w14:paraId="70CA531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Supportive during transition</w:t>
      </w:r>
      <w:r w:rsidRPr="00DD7BD1">
        <w:rPr>
          <w:rFonts w:ascii="Calibri" w:hAnsi="Calibri" w:cs="Calibri"/>
          <w:color w:val="000000" w:themeColor="text1"/>
        </w:rPr>
        <w:t> – Employers support workers during job transitions related to AI.</w:t>
      </w:r>
    </w:p>
    <w:p w14:paraId="1CE309F4"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Privacy and Security of Data – </w:t>
      </w:r>
      <w:r w:rsidRPr="00DD7BD1">
        <w:rPr>
          <w:rFonts w:ascii="Calibri" w:hAnsi="Calibri" w:cs="Calibri"/>
          <w:color w:val="000000" w:themeColor="text1"/>
        </w:rPr>
        <w:t>Worker’s data collected, used, or created by AI systems should be limited in scope and used to support legitimate business aims.</w:t>
      </w:r>
    </w:p>
    <w:p w14:paraId="401FAF28" w14:textId="77777777" w:rsidR="00AF4ED7" w:rsidRPr="00DD7BD1" w:rsidRDefault="00AF4ED7" w:rsidP="00AF4ED7">
      <w:pPr>
        <w:shd w:val="clear" w:color="auto" w:fill="FFFFFF"/>
        <w:spacing w:after="0" w:line="240" w:lineRule="auto"/>
        <w:ind w:right="360"/>
        <w:jc w:val="both"/>
        <w:rPr>
          <w:rFonts w:ascii="Calibri" w:hAnsi="Calibri" w:cs="Calibri"/>
          <w:spacing w:val="3"/>
        </w:rPr>
      </w:pPr>
    </w:p>
    <w:p w14:paraId="14CB4C8F"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bookmarkStart w:id="45" w:name="_Hlk170458261"/>
      <w:r w:rsidRPr="00DD7BD1">
        <w:rPr>
          <w:rFonts w:ascii="Calibri" w:hAnsi="Calibri" w:cs="Calibri"/>
          <w:b/>
          <w:bCs/>
          <w:sz w:val="28"/>
          <w:szCs w:val="28"/>
        </w:rPr>
        <w:t>2025 Inflation-Adjusted HSAs &amp; HDHPs Amounts + ACA Out-of-Pocket Limits</w:t>
      </w:r>
    </w:p>
    <w:p w14:paraId="5644D82C"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May 9, 2024, the IRS released </w:t>
      </w:r>
      <w:hyperlink r:id="rId416" w:tgtFrame="_blank" w:history="1">
        <w:r w:rsidRPr="00DD7BD1">
          <w:rPr>
            <w:rStyle w:val="Hyperlink"/>
            <w:rFonts w:ascii="Calibri" w:hAnsi="Calibri" w:cs="Calibri"/>
            <w:color w:val="3052DA"/>
            <w:sz w:val="22"/>
            <w:szCs w:val="22"/>
          </w:rPr>
          <w:t>Rev. Proc. 2024-25</w:t>
        </w:r>
      </w:hyperlink>
      <w:r w:rsidRPr="00DD7BD1">
        <w:rPr>
          <w:rFonts w:ascii="Calibri" w:hAnsi="Calibri" w:cs="Calibri"/>
          <w:color w:val="282828"/>
          <w:sz w:val="22"/>
          <w:szCs w:val="22"/>
        </w:rPr>
        <w:t xml:space="preserve">, </w:t>
      </w:r>
      <w:r w:rsidRPr="00DD7BD1">
        <w:rPr>
          <w:rFonts w:ascii="Calibri" w:hAnsi="Calibri" w:cs="Calibri"/>
          <w:sz w:val="22"/>
          <w:szCs w:val="22"/>
        </w:rPr>
        <w:t>announcing the 2025 health savings accounts (HSAs) and high deductible health plans (HDHPs) inflation-adjusted amounts:</w:t>
      </w:r>
    </w:p>
    <w:p w14:paraId="2A26021A"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HSA contribution limits:</w:t>
      </w:r>
    </w:p>
    <w:p w14:paraId="0F2B6B6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$4,300 ($150 increase from 2024)</w:t>
      </w:r>
    </w:p>
    <w:p w14:paraId="0FC4EF1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$8,550 ($250 increase from 2024)</w:t>
      </w:r>
    </w:p>
    <w:p w14:paraId="1116266C"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catch-up contribution maximum remains unchanged at $1,000 for HSA-eligible individuals age 55 or older</w:t>
      </w:r>
    </w:p>
    <w:p w14:paraId="19CCAC84"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Minimum annual HDHP deductible:</w:t>
      </w:r>
    </w:p>
    <w:p w14:paraId="5C030F08"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$1,650 ($50 increase from 2024)</w:t>
      </w:r>
    </w:p>
    <w:p w14:paraId="7C647FE4"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$3,300 ($100 increase from 2024)</w:t>
      </w:r>
    </w:p>
    <w:p w14:paraId="368B53CD"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Maximum annual HDHP out-of-pocket expenses (deductibles, copayments, and other nonpremium amounts):</w:t>
      </w:r>
    </w:p>
    <w:p w14:paraId="1A1AB09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$8,300 ($250 increase from 2024)</w:t>
      </w:r>
    </w:p>
    <w:p w14:paraId="0CF692B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$16,600 ($500 increase from 2024)</w:t>
      </w:r>
    </w:p>
    <w:p w14:paraId="6A68215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applies to all HDHPs regardless of whether they’re for essential health benefits or not.</w:t>
      </w:r>
    </w:p>
    <w:p w14:paraId="37D502A4"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p>
    <w:p w14:paraId="01D33236"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These amounts differ from the Affordable Care Act (ACA) maximum </w:t>
      </w:r>
      <w:hyperlink r:id="rId417" w:tgtFrame="_blank" w:history="1">
        <w:r w:rsidRPr="00DD7BD1">
          <w:rPr>
            <w:rStyle w:val="Hyperlink"/>
            <w:rFonts w:ascii="Calibri" w:hAnsi="Calibri" w:cs="Calibri"/>
            <w:color w:val="3052DA"/>
            <w:sz w:val="22"/>
            <w:szCs w:val="22"/>
          </w:rPr>
          <w:t>out-of-pocket limits</w:t>
        </w:r>
      </w:hyperlink>
      <w:r w:rsidRPr="00DD7BD1">
        <w:rPr>
          <w:rFonts w:ascii="Calibri" w:hAnsi="Calibri" w:cs="Calibri"/>
          <w:color w:val="282828"/>
          <w:sz w:val="22"/>
          <w:szCs w:val="22"/>
        </w:rPr>
        <w:t> </w:t>
      </w:r>
      <w:r w:rsidRPr="00DD7BD1">
        <w:rPr>
          <w:rFonts w:ascii="Calibri" w:hAnsi="Calibri" w:cs="Calibri"/>
          <w:sz w:val="22"/>
          <w:szCs w:val="22"/>
        </w:rPr>
        <w:t>for plan years beginning in 2025 (proposed by the Department of Health and Human Services in November 2024) for non-grandfathered health plans, which are:</w:t>
      </w:r>
    </w:p>
    <w:p w14:paraId="1E39F2EC"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Self-coverage only: $9,200 ($250 decrease from 2024)</w:t>
      </w:r>
    </w:p>
    <w:p w14:paraId="30290F25"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Family coverage: $18,400 ($500 decrease from 2024)</w:t>
      </w:r>
    </w:p>
    <w:p w14:paraId="5ABEE5C4" w14:textId="0FF47E33"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Unlike the HDHP out-of-pocket maximums, the ACA out-of-pocket maximums apply to in-network essential health benefits.</w:t>
      </w:r>
      <w:bookmarkEnd w:id="45"/>
    </w:p>
    <w:p w14:paraId="40FB6F97" w14:textId="77777777" w:rsidR="00946A29" w:rsidRPr="00DD7BD1" w:rsidRDefault="00946A29" w:rsidP="00946A29">
      <w:pPr>
        <w:pStyle w:val="BList1"/>
        <w:numPr>
          <w:ilvl w:val="0"/>
          <w:numId w:val="0"/>
        </w:numPr>
        <w:spacing w:before="0" w:after="0" w:line="240" w:lineRule="auto"/>
        <w:ind w:left="720" w:hanging="360"/>
        <w:rPr>
          <w:rFonts w:ascii="Calibri" w:hAnsi="Calibri" w:cs="Calibri"/>
          <w:b/>
          <w:bCs/>
          <w:color w:val="C00000"/>
          <w:sz w:val="16"/>
          <w:szCs w:val="16"/>
          <w:shd w:val="clear" w:color="auto" w:fill="FFFFFF"/>
        </w:rPr>
      </w:pPr>
    </w:p>
    <w:p w14:paraId="7E3EFBBF" w14:textId="7445C452" w:rsidR="00946A29" w:rsidRPr="00DD7BD1" w:rsidRDefault="00946A29" w:rsidP="00946A29">
      <w:pPr>
        <w:pStyle w:val="BList1"/>
        <w:numPr>
          <w:ilvl w:val="0"/>
          <w:numId w:val="0"/>
        </w:numPr>
        <w:spacing w:before="0" w:after="0" w:line="240" w:lineRule="auto"/>
        <w:ind w:left="30"/>
        <w:jc w:val="center"/>
        <w:rPr>
          <w:rFonts w:ascii="Calibri" w:hAnsi="Calibri" w:cs="Calibri"/>
          <w:b/>
          <w:bCs/>
          <w:color w:val="111111"/>
          <w:sz w:val="28"/>
          <w:szCs w:val="28"/>
          <w:shd w:val="clear" w:color="auto" w:fill="FFFFFF"/>
        </w:rPr>
      </w:pPr>
      <w:r w:rsidRPr="00DD7BD1">
        <w:rPr>
          <w:rFonts w:ascii="Calibri" w:hAnsi="Calibri" w:cs="Calibri"/>
          <w:b/>
          <w:bCs/>
          <w:color w:val="111111"/>
          <w:sz w:val="28"/>
          <w:szCs w:val="28"/>
          <w:shd w:val="clear" w:color="auto" w:fill="FFFFFF"/>
        </w:rPr>
        <w:t>2023 RxDC Reporting</w:t>
      </w:r>
      <w:r w:rsidRPr="00DD7BD1">
        <w:rPr>
          <w:rFonts w:ascii="Calibri" w:hAnsi="Calibri" w:cs="Calibri"/>
          <w:color w:val="111111"/>
          <w:sz w:val="28"/>
          <w:szCs w:val="28"/>
          <w:shd w:val="clear" w:color="auto" w:fill="FFFFFF"/>
        </w:rPr>
        <w:t> </w:t>
      </w:r>
      <w:r w:rsidRPr="00DD7BD1">
        <w:rPr>
          <w:rFonts w:ascii="Calibri" w:hAnsi="Calibri" w:cs="Calibri"/>
          <w:b/>
          <w:bCs/>
          <w:color w:val="111111"/>
          <w:sz w:val="28"/>
          <w:szCs w:val="28"/>
          <w:shd w:val="clear" w:color="auto" w:fill="FFFFFF"/>
        </w:rPr>
        <w:t xml:space="preserve">Due to CMS by </w:t>
      </w:r>
      <w:r w:rsidRPr="00DD7BD1">
        <w:rPr>
          <w:rFonts w:ascii="Calibri" w:hAnsi="Calibri" w:cs="Calibri"/>
          <w:b/>
          <w:bCs/>
          <w:sz w:val="28"/>
          <w:szCs w:val="28"/>
          <w:shd w:val="clear" w:color="auto" w:fill="FFFFFF"/>
        </w:rPr>
        <w:t>June 1, 2024 – ALL EMPLOYERS Offering Pharmacy Benefits as Part of their Health/Group Medical Benefit</w:t>
      </w:r>
    </w:p>
    <w:p w14:paraId="084B434D" w14:textId="4B398D11" w:rsidR="00946A29" w:rsidRPr="00DD7BD1" w:rsidRDefault="00946A29" w:rsidP="00946A29">
      <w:pPr>
        <w:pStyle w:val="BList1"/>
        <w:numPr>
          <w:ilvl w:val="0"/>
          <w:numId w:val="0"/>
        </w:numPr>
        <w:spacing w:before="0" w:after="0" w:line="240" w:lineRule="auto"/>
        <w:jc w:val="both"/>
        <w:rPr>
          <w:rFonts w:ascii="Calibri" w:hAnsi="Calibri" w:cs="Calibri"/>
          <w:color w:val="111111"/>
          <w:shd w:val="clear" w:color="auto" w:fill="FFFFFF"/>
        </w:rPr>
      </w:pPr>
      <w:r w:rsidRPr="00DD7BD1">
        <w:rPr>
          <w:rFonts w:ascii="Calibri" w:hAnsi="Calibri" w:cs="Calibri"/>
          <w:color w:val="111111"/>
          <w:shd w:val="clear" w:color="auto" w:fill="FFFFFF"/>
        </w:rPr>
        <w:t xml:space="preserve">The Consolidated Appropriations Act of 2021 (Transparency) requires all group health plans with pharmacy coverage to submit annually data and financials around their Rx programs either embedded in their medical or carved out separately. </w:t>
      </w:r>
      <w:r w:rsidRPr="00DD7BD1">
        <w:rPr>
          <w:rFonts w:ascii="Calibri" w:hAnsi="Calibri" w:cs="Calibri"/>
          <w:shd w:val="clear" w:color="auto" w:fill="FFFFFF"/>
        </w:rPr>
        <w:t xml:space="preserve">The 2023 reference year (calendar year) RxDC data report is due by </w:t>
      </w:r>
      <w:r w:rsidRPr="00DD7BD1">
        <w:rPr>
          <w:rFonts w:ascii="Calibri" w:hAnsi="Calibri" w:cs="Calibri"/>
          <w:b/>
          <w:bCs/>
          <w:shd w:val="clear" w:color="auto" w:fill="FFFFFF"/>
        </w:rPr>
        <w:t>June 3, 2024</w:t>
      </w:r>
      <w:r w:rsidRPr="00DD7BD1">
        <w:rPr>
          <w:rFonts w:ascii="Calibri" w:hAnsi="Calibri" w:cs="Calibri"/>
          <w:shd w:val="clear" w:color="auto" w:fill="FFFFFF"/>
        </w:rPr>
        <w:t xml:space="preserve">. </w:t>
      </w:r>
    </w:p>
    <w:p w14:paraId="4A619D11"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shd w:val="clear" w:color="auto" w:fill="FFFFFF"/>
        </w:rPr>
        <w:t xml:space="preserve">Although </w:t>
      </w:r>
      <w:r w:rsidRPr="00DD7BD1">
        <w:rPr>
          <w:rFonts w:ascii="Calibri" w:eastAsia="Arial" w:hAnsi="Calibri" w:cs="Calibri"/>
          <w:sz w:val="22"/>
          <w:szCs w:val="22"/>
        </w:rPr>
        <w:t xml:space="preserve">most fully-insured plan carriers have taken on this responsibility on behalf of employers,  </w:t>
      </w:r>
      <w:r w:rsidRPr="00DD7BD1">
        <w:rPr>
          <w:rFonts w:ascii="Calibri" w:hAnsi="Calibri" w:cs="Calibri"/>
          <w:color w:val="111111"/>
          <w:sz w:val="22"/>
          <w:szCs w:val="22"/>
        </w:rPr>
        <w:t>carriers/TPAs/PBMs will still need to collect a couple of financial details from the Employer that includes:</w:t>
      </w:r>
    </w:p>
    <w:p w14:paraId="1DD36294"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Member Monthly Premium Paid by MEMBER</w:t>
      </w:r>
    </w:p>
    <w:p w14:paraId="4020012A" w14:textId="79E597D2"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Monthly Premiums Paid by EMPLOYER</w:t>
      </w:r>
    </w:p>
    <w:p w14:paraId="26D98505"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The Centers for Medicare and Medicaid Services (CMS) published the </w:t>
      </w:r>
      <w:hyperlink r:id="rId418" w:tgtFrame="_blank" w:history="1">
        <w:r w:rsidRPr="00DD7BD1">
          <w:rPr>
            <w:rStyle w:val="Hyperlink"/>
            <w:rFonts w:ascii="Calibri" w:hAnsi="Calibri" w:cs="Calibri"/>
            <w:color w:val="3052DA"/>
            <w:sz w:val="22"/>
            <w:szCs w:val="22"/>
          </w:rPr>
          <w:t>2023 reference year instructions</w:t>
        </w:r>
      </w:hyperlink>
      <w:r w:rsidRPr="00DD7BD1">
        <w:rPr>
          <w:rFonts w:ascii="Calibri" w:hAnsi="Calibri" w:cs="Calibri"/>
          <w:color w:val="282828"/>
          <w:sz w:val="22"/>
          <w:szCs w:val="22"/>
        </w:rPr>
        <w:t xml:space="preserve">. </w:t>
      </w:r>
      <w:r w:rsidRPr="00DD7BD1">
        <w:rPr>
          <w:rFonts w:ascii="Calibri" w:hAnsi="Calibri" w:cs="Calibri"/>
          <w:sz w:val="22"/>
          <w:szCs w:val="22"/>
        </w:rPr>
        <w:t>The key updates include:</w:t>
      </w:r>
    </w:p>
    <w:p w14:paraId="01D0E5B7"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Updates to benefit carve-out field: Instructions for filling out the benefit carve-out field in section P2 have been updated.</w:t>
      </w:r>
    </w:p>
    <w:p w14:paraId="61486BD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Guidance on retained rebates reporting: New instructions have been provided for reporting entities on how to report information on retained rebates when exact amounts are unknown.</w:t>
      </w:r>
    </w:p>
    <w:p w14:paraId="089B809A"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Enforcement of aggregation restriction: The enforcement of the aggregation restriction has been announced, which pertains to how data are aggregated for reporting purposes.</w:t>
      </w:r>
    </w:p>
    <w:p w14:paraId="3B4AA3A8" w14:textId="4E9BD4A5"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Addition of enrollment column to D6: A new column to collect enrollment data has been added to section D6.</w:t>
      </w:r>
    </w:p>
    <w:p w14:paraId="39752EE3"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Read more on the CMS </w:t>
      </w:r>
      <w:hyperlink r:id="rId419" w:tgtFrame="_blank" w:history="1">
        <w:r w:rsidRPr="00DD7BD1">
          <w:rPr>
            <w:rStyle w:val="Hyperlink"/>
            <w:rFonts w:ascii="Calibri" w:hAnsi="Calibri" w:cs="Calibri"/>
            <w:color w:val="3052DA"/>
            <w:sz w:val="22"/>
            <w:szCs w:val="22"/>
          </w:rPr>
          <w:t>Prescription Drug Data Collection (RxDC)</w:t>
        </w:r>
      </w:hyperlink>
      <w:r w:rsidRPr="00DD7BD1">
        <w:rPr>
          <w:rFonts w:ascii="Calibri" w:hAnsi="Calibri" w:cs="Calibri"/>
          <w:color w:val="282828"/>
          <w:sz w:val="22"/>
          <w:szCs w:val="22"/>
        </w:rPr>
        <w:t> </w:t>
      </w:r>
      <w:r w:rsidRPr="00DD7BD1">
        <w:rPr>
          <w:rFonts w:ascii="Calibri" w:hAnsi="Calibri" w:cs="Calibri"/>
          <w:sz w:val="22"/>
          <w:szCs w:val="22"/>
        </w:rPr>
        <w:t>web page</w:t>
      </w:r>
    </w:p>
    <w:p w14:paraId="18FB5D82" w14:textId="30135F85" w:rsidR="00946A29" w:rsidRPr="00DD7BD1" w:rsidRDefault="00946A29" w:rsidP="00946A29">
      <w:pPr>
        <w:pStyle w:val="NormalWeb"/>
        <w:spacing w:before="0" w:beforeAutospacing="0" w:after="0" w:afterAutospacing="0"/>
        <w:jc w:val="both"/>
        <w:rPr>
          <w:rFonts w:ascii="Calibri" w:hAnsi="Calibri" w:cs="Calibri"/>
          <w:sz w:val="22"/>
          <w:szCs w:val="22"/>
        </w:rPr>
      </w:pPr>
      <w:r w:rsidRPr="00DD7BD1">
        <w:rPr>
          <w:rFonts w:ascii="Calibri" w:hAnsi="Calibri" w:cs="Calibri"/>
          <w:color w:val="111111"/>
          <w:sz w:val="22"/>
          <w:szCs w:val="22"/>
          <w:shd w:val="clear" w:color="auto" w:fill="FFFFFF"/>
        </w:rPr>
        <w:t>Because these calculations are based on actual costs (not projected), the information will need to be collected from your accounting and/or payroll records.  </w:t>
      </w:r>
      <w:r w:rsidRPr="00DD7BD1">
        <w:rPr>
          <w:rFonts w:ascii="Calibri" w:eastAsia="Arial" w:hAnsi="Calibri" w:cs="Calibri"/>
          <w:sz w:val="22"/>
          <w:szCs w:val="22"/>
        </w:rPr>
        <w:t xml:space="preserve">For self and level funded plan reporting obligations vary among health insurance carriers. </w:t>
      </w:r>
      <w:r w:rsidRPr="00DD7BD1">
        <w:rPr>
          <w:rFonts w:ascii="Calibri" w:hAnsi="Calibri" w:cs="Calibri"/>
          <w:sz w:val="22"/>
          <w:szCs w:val="22"/>
        </w:rPr>
        <w:t>Be on the lookout for more details from your Carrier and Broker regarding RxDC employer obligations.  ETC can also provide guidance and assistance; please reach out with questions today!</w:t>
      </w:r>
    </w:p>
    <w:p w14:paraId="3B6B99C4" w14:textId="77777777" w:rsidR="00946A29" w:rsidRPr="00DD7BD1" w:rsidRDefault="00946A29" w:rsidP="00946A29">
      <w:pPr>
        <w:pStyle w:val="NormalWeb"/>
        <w:spacing w:before="0" w:beforeAutospacing="0" w:after="0" w:afterAutospacing="0"/>
        <w:jc w:val="both"/>
        <w:rPr>
          <w:rFonts w:ascii="Calibri" w:hAnsi="Calibri" w:cs="Calibri"/>
          <w:sz w:val="16"/>
          <w:szCs w:val="16"/>
        </w:rPr>
      </w:pPr>
    </w:p>
    <w:p w14:paraId="23B1C534" w14:textId="69ED292B" w:rsidR="00946A29" w:rsidRPr="00DD7BD1" w:rsidRDefault="00946A29" w:rsidP="00946A29">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rPr>
      </w:pPr>
      <w:r w:rsidRPr="00DD7BD1">
        <w:rPr>
          <w:rFonts w:ascii="Calibri" w:eastAsiaTheme="minorHAnsi" w:hAnsi="Calibri" w:cs="Calibri"/>
          <w:kern w:val="0"/>
          <w:sz w:val="28"/>
          <w:szCs w:val="28"/>
        </w:rPr>
        <w:t xml:space="preserve">The 2023 </w:t>
      </w:r>
      <w:r w:rsidRPr="00DD7BD1">
        <w:rPr>
          <w:rStyle w:val="Strong"/>
          <w:rFonts w:ascii="Calibri" w:hAnsi="Calibri" w:cs="Calibri"/>
          <w:b/>
          <w:bCs/>
          <w:sz w:val="28"/>
          <w:szCs w:val="28"/>
          <w:shd w:val="clear" w:color="auto" w:fill="FFFFFF"/>
        </w:rPr>
        <w:t>EEO-1 Component 1 Data Collection June 4</w:t>
      </w:r>
      <w:r w:rsidRPr="00DD7BD1">
        <w:rPr>
          <w:rStyle w:val="Strong"/>
          <w:rFonts w:ascii="Calibri" w:hAnsi="Calibri" w:cs="Calibri"/>
          <w:b/>
          <w:bCs/>
          <w:sz w:val="28"/>
          <w:szCs w:val="28"/>
          <w:shd w:val="clear" w:color="auto" w:fill="FFFFFF"/>
          <w:vertAlign w:val="superscript"/>
        </w:rPr>
        <w:t>th</w:t>
      </w:r>
      <w:r w:rsidRPr="00DD7BD1">
        <w:rPr>
          <w:rStyle w:val="Strong"/>
          <w:rFonts w:ascii="Calibri" w:hAnsi="Calibri" w:cs="Calibri"/>
          <w:b/>
          <w:bCs/>
          <w:sz w:val="28"/>
          <w:szCs w:val="28"/>
          <w:shd w:val="clear" w:color="auto" w:fill="FFFFFF"/>
        </w:rPr>
        <w:t xml:space="preserve"> Reporting Deadline</w:t>
      </w:r>
    </w:p>
    <w:p w14:paraId="75E72D56" w14:textId="77777777" w:rsidR="00946A29" w:rsidRPr="00DD7BD1" w:rsidRDefault="00946A29" w:rsidP="00946A29">
      <w:pPr>
        <w:pStyle w:val="Heading1"/>
        <w:shd w:val="clear" w:color="auto" w:fill="FFFFFF"/>
        <w:spacing w:before="0" w:beforeAutospacing="0" w:after="0" w:afterAutospacing="0"/>
        <w:rPr>
          <w:rFonts w:ascii="Calibri" w:hAnsi="Calibri" w:cs="Calibri"/>
          <w:sz w:val="24"/>
          <w:szCs w:val="24"/>
          <w:u w:val="single"/>
          <w:shd w:val="clear" w:color="auto" w:fill="FFFFFF"/>
        </w:rPr>
      </w:pPr>
      <w:r w:rsidRPr="00DD7BD1">
        <w:rPr>
          <w:rFonts w:ascii="Calibri" w:hAnsi="Calibri" w:cs="Calibri"/>
          <w:sz w:val="24"/>
          <w:szCs w:val="24"/>
          <w:u w:val="single"/>
          <w:shd w:val="clear" w:color="auto" w:fill="FFFFFF"/>
        </w:rPr>
        <w:t>Yes, you read that correctly!</w:t>
      </w:r>
    </w:p>
    <w:p w14:paraId="40C32717" w14:textId="77777777" w:rsidR="00946A29" w:rsidRPr="00DD7BD1" w:rsidRDefault="00946A29" w:rsidP="00946A29">
      <w:pPr>
        <w:pStyle w:val="Heading1"/>
        <w:shd w:val="clear" w:color="auto" w:fill="FFFFFF"/>
        <w:spacing w:before="0" w:beforeAutospacing="0" w:after="0" w:afterAutospacing="0"/>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 xml:space="preserve">The </w:t>
      </w:r>
      <w:r w:rsidRPr="00DD7BD1">
        <w:rPr>
          <w:rFonts w:ascii="Calibri" w:hAnsi="Calibri" w:cs="Calibri"/>
          <w:sz w:val="22"/>
          <w:szCs w:val="22"/>
          <w:u w:val="single"/>
          <w:shd w:val="clear" w:color="auto" w:fill="FFFFFF"/>
        </w:rPr>
        <w:t>2023</w:t>
      </w:r>
      <w:r w:rsidRPr="00DD7BD1">
        <w:rPr>
          <w:rFonts w:ascii="Calibri" w:hAnsi="Calibri" w:cs="Calibri"/>
          <w:b w:val="0"/>
          <w:bCs w:val="0"/>
          <w:sz w:val="22"/>
          <w:szCs w:val="22"/>
          <w:shd w:val="clear" w:color="auto" w:fill="FFFFFF"/>
        </w:rPr>
        <w:t xml:space="preserve"> EEO-1 Component 1 data collection will open on </w:t>
      </w:r>
      <w:r w:rsidRPr="00DD7BD1">
        <w:rPr>
          <w:rStyle w:val="Strong"/>
          <w:rFonts w:ascii="Calibri" w:hAnsi="Calibri" w:cs="Calibri"/>
          <w:b/>
          <w:bCs/>
          <w:sz w:val="22"/>
          <w:szCs w:val="22"/>
          <w:shd w:val="clear" w:color="auto" w:fill="FFFFFF"/>
        </w:rPr>
        <w:t>Tuesday, April 30, 2024</w:t>
      </w:r>
      <w:r w:rsidRPr="00DD7BD1">
        <w:rPr>
          <w:rFonts w:ascii="Calibri" w:hAnsi="Calibri" w:cs="Calibri"/>
          <w:b w:val="0"/>
          <w:bCs w:val="0"/>
          <w:sz w:val="22"/>
          <w:szCs w:val="22"/>
          <w:shd w:val="clear" w:color="auto" w:fill="FFFFFF"/>
        </w:rPr>
        <w:t xml:space="preserve">. </w:t>
      </w:r>
    </w:p>
    <w:p w14:paraId="616F0948" w14:textId="1DB37363" w:rsidR="00946A29" w:rsidRPr="00DD7BD1" w:rsidRDefault="00946A29" w:rsidP="00946A29">
      <w:pPr>
        <w:pStyle w:val="Heading1"/>
        <w:shd w:val="clear" w:color="auto" w:fill="FFFFFF"/>
        <w:spacing w:before="0" w:beforeAutospacing="0" w:after="0" w:afterAutospacing="0"/>
        <w:rPr>
          <w:rFonts w:ascii="Calibri" w:hAnsi="Calibri" w:cs="Calibri"/>
          <w:b w:val="0"/>
          <w:bCs w:val="0"/>
          <w:color w:val="1B1B1B"/>
          <w:sz w:val="22"/>
          <w:szCs w:val="22"/>
          <w:shd w:val="clear" w:color="auto" w:fill="FFFFFF"/>
        </w:rPr>
      </w:pPr>
      <w:r w:rsidRPr="00DD7BD1">
        <w:rPr>
          <w:rFonts w:ascii="Calibri" w:hAnsi="Calibri" w:cs="Calibri"/>
          <w:b w:val="0"/>
          <w:bCs w:val="0"/>
          <w:sz w:val="22"/>
          <w:szCs w:val="22"/>
          <w:shd w:val="clear" w:color="auto" w:fill="FFFFFF"/>
        </w:rPr>
        <w:t>The deadline to file the 2023 EEO-1 Component 1 report is </w:t>
      </w:r>
      <w:r w:rsidRPr="00DD7BD1">
        <w:rPr>
          <w:rStyle w:val="Strong"/>
          <w:rFonts w:ascii="Calibri" w:hAnsi="Calibri" w:cs="Calibri"/>
          <w:b/>
          <w:bCs/>
          <w:sz w:val="22"/>
          <w:szCs w:val="22"/>
          <w:shd w:val="clear" w:color="auto" w:fill="FFFFFF"/>
        </w:rPr>
        <w:t>Tuesday, June 4, 2024</w:t>
      </w:r>
      <w:r w:rsidRPr="00DD7BD1">
        <w:rPr>
          <w:rFonts w:ascii="Calibri" w:hAnsi="Calibri" w:cs="Calibri"/>
          <w:b w:val="0"/>
          <w:bCs w:val="0"/>
          <w:sz w:val="22"/>
          <w:szCs w:val="22"/>
          <w:shd w:val="clear" w:color="auto" w:fill="FFFFFF"/>
        </w:rPr>
        <w:t>. </w:t>
      </w:r>
    </w:p>
    <w:p w14:paraId="29D36203" w14:textId="0467D06C"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420" w:history="1">
        <w:r w:rsidRPr="00DD7BD1">
          <w:rPr>
            <w:rStyle w:val="Hyperlink"/>
            <w:rFonts w:ascii="Calibri" w:hAnsi="Calibri" w:cs="Calibri"/>
            <w:b w:val="0"/>
            <w:bCs w:val="0"/>
            <w:color w:val="005EA2"/>
            <w:sz w:val="22"/>
            <w:szCs w:val="22"/>
            <w:shd w:val="clear" w:color="auto" w:fill="FFFFFF"/>
          </w:rPr>
          <w:t>www.eeocdata.org/eeo1</w:t>
        </w:r>
      </w:hyperlink>
      <w:r w:rsidRPr="00DD7BD1">
        <w:rPr>
          <w:rFonts w:ascii="Calibri" w:hAnsi="Calibri" w:cs="Calibri"/>
          <w:b w:val="0"/>
          <w:bCs w:val="0"/>
          <w:color w:val="1B1B1B"/>
          <w:sz w:val="22"/>
          <w:szCs w:val="22"/>
          <w:shd w:val="clear" w:color="auto" w:fill="FFFFFF"/>
        </w:rPr>
        <w:t> </w:t>
      </w:r>
      <w:r w:rsidRPr="00DD7BD1">
        <w:rPr>
          <w:rFonts w:ascii="Calibri" w:hAnsi="Calibri" w:cs="Calibri"/>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DD7BD1" w:rsidRDefault="002833B7" w:rsidP="00946A29">
      <w:pPr>
        <w:pStyle w:val="BodyText"/>
        <w:spacing w:after="0" w:line="240" w:lineRule="auto"/>
        <w:ind w:right="360"/>
        <w:rPr>
          <w:rFonts w:eastAsiaTheme="minorHAnsi" w:cs="Calibri"/>
          <w:b/>
          <w:bCs/>
          <w:color w:val="auto"/>
          <w:sz w:val="16"/>
          <w:szCs w:val="16"/>
        </w:rPr>
      </w:pPr>
    </w:p>
    <w:p w14:paraId="49AB40DC" w14:textId="4A514DFB"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color w:val="111111"/>
          <w:sz w:val="28"/>
          <w:szCs w:val="28"/>
        </w:rPr>
        <w:t>OSHA Form 300A Deadline</w:t>
      </w:r>
    </w:p>
    <w:p w14:paraId="49E40BEB" w14:textId="77777777"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sz w:val="28"/>
          <w:szCs w:val="28"/>
        </w:rPr>
        <w:t>Posted by February 1 </w:t>
      </w:r>
      <w:r w:rsidRPr="00DD7BD1">
        <w:rPr>
          <w:rFonts w:ascii="Calibri" w:hAnsi="Calibri" w:cs="Calibri"/>
          <w:b/>
          <w:bCs/>
          <w:color w:val="111111"/>
          <w:sz w:val="28"/>
          <w:szCs w:val="28"/>
        </w:rPr>
        <w:t>&amp;</w:t>
      </w:r>
      <w:r w:rsidRPr="00DD7BD1">
        <w:rPr>
          <w:rFonts w:ascii="Calibri" w:hAnsi="Calibri" w:cs="Calibri"/>
          <w:color w:val="111111"/>
          <w:sz w:val="28"/>
          <w:szCs w:val="28"/>
        </w:rPr>
        <w:t xml:space="preserve"> </w:t>
      </w:r>
      <w:r w:rsidRPr="00DD7BD1">
        <w:rPr>
          <w:rFonts w:ascii="Calibri" w:hAnsi="Calibri" w:cs="Calibri"/>
          <w:b/>
          <w:bCs/>
          <w:color w:val="111111"/>
          <w:sz w:val="28"/>
          <w:szCs w:val="28"/>
        </w:rPr>
        <w:t>Electronically Submitt</w:t>
      </w:r>
      <w:r w:rsidRPr="00DD7BD1">
        <w:rPr>
          <w:rFonts w:ascii="Calibri" w:hAnsi="Calibri" w:cs="Calibri"/>
          <w:b/>
          <w:bCs/>
          <w:sz w:val="28"/>
          <w:szCs w:val="28"/>
        </w:rPr>
        <w:t xml:space="preserve">ed March 2, if </w:t>
      </w:r>
      <w:r w:rsidRPr="00DD7BD1">
        <w:rPr>
          <w:rFonts w:ascii="Calibri" w:hAnsi="Calibri" w:cs="Calibri"/>
          <w:b/>
          <w:bCs/>
          <w:color w:val="111111"/>
          <w:sz w:val="28"/>
          <w:szCs w:val="28"/>
        </w:rPr>
        <w:t>applicable</w:t>
      </w:r>
    </w:p>
    <w:p w14:paraId="4CAA0199"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ETC published on January 17</w:t>
      </w:r>
      <w:r w:rsidRPr="00DD7BD1">
        <w:rPr>
          <w:rFonts w:ascii="Calibri" w:hAnsi="Calibri" w:cs="Calibri"/>
          <w:vertAlign w:val="superscript"/>
        </w:rPr>
        <w:t>th</w:t>
      </w:r>
      <w:r w:rsidRPr="00DD7BD1">
        <w:rPr>
          <w:rFonts w:ascii="Calibri" w:hAnsi="Calibri" w:cs="Calibri"/>
        </w:rPr>
        <w:t xml:space="preserve"> an e-Alert compliance reminder pertaining to OSHA Form 300A. Be sure you are aware of the applicability of any OSHA recordkeeping and filings to your organization.</w:t>
      </w:r>
    </w:p>
    <w:p w14:paraId="1C4A1166" w14:textId="77777777" w:rsidR="00946A29" w:rsidRPr="00DD7BD1" w:rsidRDefault="00946A29" w:rsidP="009040C5">
      <w:pPr>
        <w:pStyle w:val="ParagraphBasic"/>
        <w:spacing w:after="0" w:line="240" w:lineRule="auto"/>
        <w:jc w:val="both"/>
        <w:rPr>
          <w:rFonts w:ascii="Calibri" w:hAnsi="Calibri" w:cs="Calibri"/>
          <w:sz w:val="16"/>
          <w:szCs w:val="16"/>
        </w:rPr>
      </w:pPr>
    </w:p>
    <w:p w14:paraId="586F781F" w14:textId="68AF8BDB" w:rsidR="00946A29" w:rsidRPr="00DD7BD1" w:rsidRDefault="00946A29" w:rsidP="00946A29">
      <w:pPr>
        <w:pStyle w:val="NormalWeb"/>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OFCCP Affirmative Action Plan Submission Due July 1</w:t>
      </w:r>
    </w:p>
    <w:p w14:paraId="4F3D3145" w14:textId="6079D11C" w:rsidR="00946A29" w:rsidRPr="00DD7BD1" w:rsidRDefault="00946A29" w:rsidP="00946A29">
      <w:pPr>
        <w:pStyle w:val="NormalWeb"/>
        <w:spacing w:before="0" w:beforeAutospacing="0" w:after="0" w:afterAutospacing="0"/>
        <w:rPr>
          <w:rFonts w:ascii="Calibri" w:hAnsi="Calibri" w:cs="Calibri"/>
          <w:color w:val="000000"/>
          <w:sz w:val="22"/>
          <w:szCs w:val="22"/>
          <w:shd w:val="clear" w:color="auto" w:fill="FFFFFF"/>
        </w:rPr>
      </w:pPr>
      <w:r w:rsidRPr="00DD7BD1">
        <w:rPr>
          <w:rFonts w:ascii="Calibri" w:hAnsi="Calibri" w:cs="Calibri"/>
          <w:sz w:val="22"/>
          <w:szCs w:val="22"/>
        </w:rPr>
        <w:t>On April 1</w:t>
      </w:r>
      <w:r w:rsidRPr="00DD7BD1">
        <w:rPr>
          <w:rFonts w:ascii="Calibri" w:hAnsi="Calibri" w:cs="Calibri"/>
          <w:sz w:val="22"/>
          <w:szCs w:val="22"/>
          <w:vertAlign w:val="superscript"/>
        </w:rPr>
        <w:t>st</w:t>
      </w:r>
      <w:r w:rsidRPr="00DD7BD1">
        <w:rPr>
          <w:rFonts w:ascii="Calibri" w:hAnsi="Calibri" w:cs="Calibri"/>
          <w:sz w:val="22"/>
          <w:szCs w:val="22"/>
        </w:rPr>
        <w:t xml:space="preserve"> the </w:t>
      </w:r>
      <w:r w:rsidRPr="00DD7BD1">
        <w:rPr>
          <w:rFonts w:ascii="Calibri" w:hAnsi="Calibri" w:cs="Calibri"/>
          <w:color w:val="000000"/>
          <w:sz w:val="22"/>
          <w:szCs w:val="22"/>
          <w:shd w:val="clear" w:color="auto" w:fill="FFFFFF"/>
        </w:rPr>
        <w:t>Office of Federal Contract Compliance Programs (OFCCP) will open the </w:t>
      </w:r>
      <w:hyperlink r:id="rId421" w:tgtFrame="_blank" w:history="1">
        <w:r w:rsidRPr="00DD7BD1">
          <w:rPr>
            <w:rStyle w:val="Hyperlink"/>
            <w:rFonts w:ascii="Calibri" w:eastAsiaTheme="minorHAnsi" w:hAnsi="Calibri" w:cs="Calibri"/>
            <w:sz w:val="22"/>
            <w:szCs w:val="22"/>
          </w:rPr>
          <w:t>Contractor Portal</w:t>
        </w:r>
      </w:hyperlink>
      <w:r w:rsidRPr="00DD7BD1">
        <w:rPr>
          <w:rFonts w:ascii="Calibri" w:hAnsi="Calibri" w:cs="Calibri"/>
          <w:color w:val="000000"/>
          <w:sz w:val="22"/>
          <w:szCs w:val="22"/>
          <w:shd w:val="clear" w:color="auto" w:fill="FFFFFF"/>
        </w:rPr>
        <w:t xml:space="preserve"> for the 2024 Affirmative Action Program (AAP) certification period: </w:t>
      </w:r>
      <w:r w:rsidRPr="00DD7BD1">
        <w:rPr>
          <w:rFonts w:ascii="Calibri" w:hAnsi="Calibri" w:cs="Calibri"/>
          <w:b/>
          <w:bCs/>
          <w:sz w:val="22"/>
          <w:szCs w:val="22"/>
          <w:shd w:val="clear" w:color="auto" w:fill="FFFFFF"/>
        </w:rPr>
        <w:t>April 1 – July 1, 2024</w:t>
      </w:r>
      <w:r w:rsidRPr="00DD7BD1">
        <w:rPr>
          <w:rFonts w:ascii="Calibri" w:hAnsi="Calibri" w:cs="Calibri"/>
          <w:sz w:val="22"/>
          <w:szCs w:val="22"/>
          <w:shd w:val="clear" w:color="auto" w:fill="FFFFFF"/>
        </w:rPr>
        <w:t>.</w:t>
      </w:r>
    </w:p>
    <w:p w14:paraId="553F929C" w14:textId="09194FB3" w:rsidR="00946A29" w:rsidRPr="00DD7BD1" w:rsidRDefault="00946A29" w:rsidP="00946A29">
      <w:pPr>
        <w:pStyle w:val="NormalWeb"/>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color w:val="000000"/>
          <w:sz w:val="22"/>
          <w:szCs w:val="22"/>
        </w:rPr>
        <w:t xml:space="preserve">Covered federal contractors are urged to begin certifying their AAP compliance through the portal today to meet the July 1, 2024, deadline. </w:t>
      </w:r>
      <w:r w:rsidRPr="00DD7BD1">
        <w:rPr>
          <w:rFonts w:ascii="Calibri" w:hAnsi="Calibri" w:cs="Calibri"/>
          <w:sz w:val="22"/>
          <w:szCs w:val="22"/>
        </w:rPr>
        <w:t>If you are in need out outsourced assistance with this compliance obligation, reach out to ETC today @HR_Help so that we can facilitate an introduction!</w:t>
      </w:r>
    </w:p>
    <w:p w14:paraId="2570920E" w14:textId="17D8C42B"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b/>
          <w:bCs/>
          <w:color w:val="000000"/>
          <w:sz w:val="22"/>
          <w:szCs w:val="22"/>
          <w:highlight w:val="lightGray"/>
        </w:rPr>
        <w:t>Learn More:</w:t>
      </w:r>
      <w:r w:rsidRPr="00DD7BD1">
        <w:rPr>
          <w:rFonts w:ascii="Calibri" w:hAnsi="Calibri" w:cs="Calibri"/>
          <w:color w:val="000000"/>
          <w:sz w:val="22"/>
          <w:szCs w:val="22"/>
        </w:rPr>
        <w:t xml:space="preserve"> 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Visit OFCCP’s </w:t>
      </w:r>
      <w:hyperlink r:id="rId422" w:tgtFrame="_blank" w:history="1">
        <w:r w:rsidRPr="00DD7BD1">
          <w:rPr>
            <w:rStyle w:val="Hyperlink"/>
            <w:rFonts w:ascii="Calibri" w:eastAsiaTheme="minorHAnsi" w:hAnsi="Calibri" w:cs="Calibri"/>
            <w:sz w:val="22"/>
            <w:szCs w:val="22"/>
          </w:rPr>
          <w:t>Contractor Portal information page </w:t>
        </w:r>
      </w:hyperlink>
      <w:r w:rsidRPr="00DD7BD1">
        <w:rPr>
          <w:rFonts w:ascii="Calibri" w:hAnsi="Calibri" w:cs="Calibri"/>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Contractors can refer to the pre-recorded webinar on the </w:t>
      </w:r>
      <w:hyperlink r:id="rId423" w:tgtFrame="_blank" w:history="1">
        <w:r w:rsidRPr="00DD7BD1">
          <w:rPr>
            <w:rStyle w:val="Hyperlink"/>
            <w:rFonts w:ascii="Calibri" w:eastAsiaTheme="minorHAnsi" w:hAnsi="Calibri" w:cs="Calibri"/>
            <w:sz w:val="22"/>
            <w:szCs w:val="22"/>
          </w:rPr>
          <w:t>Contractor Portal information page</w:t>
        </w:r>
      </w:hyperlink>
      <w:r w:rsidRPr="00DD7BD1">
        <w:rPr>
          <w:rStyle w:val="Hyperlink"/>
          <w:rFonts w:ascii="Calibri" w:eastAsiaTheme="minorHAnsi" w:hAnsi="Calibri" w:cs="Calibri"/>
        </w:rPr>
        <w:t> that</w:t>
      </w:r>
      <w:r w:rsidRPr="00DD7BD1">
        <w:rPr>
          <w:rFonts w:ascii="Calibri" w:hAnsi="Calibri" w:cs="Calibri"/>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Please submit your Contractor Portal questions to the Applications Technical help desk using the </w:t>
      </w:r>
      <w:hyperlink r:id="rId424" w:tgtFrame="_blank" w:history="1">
        <w:r w:rsidRPr="00DD7BD1">
          <w:rPr>
            <w:rStyle w:val="Hyperlink"/>
            <w:rFonts w:ascii="Calibri" w:eastAsiaTheme="minorHAnsi" w:hAnsi="Calibri" w:cs="Calibri"/>
            <w:sz w:val="22"/>
            <w:szCs w:val="22"/>
          </w:rPr>
          <w:t>OFCCP Applications Technical Help Request Form</w:t>
        </w:r>
      </w:hyperlink>
      <w:r w:rsidRPr="00DD7BD1">
        <w:rPr>
          <w:rFonts w:ascii="Calibri" w:hAnsi="Calibri" w:cs="Calibri"/>
          <w:color w:val="000000"/>
          <w:sz w:val="22"/>
          <w:szCs w:val="22"/>
        </w:rPr>
        <w:t> or call the OFCCP help desk at 1-800-397-6251, press 1 for English or 2 for Spanish, then press 1 to reach technical support for assistance.</w:t>
      </w:r>
    </w:p>
    <w:p w14:paraId="760A709E" w14:textId="77777777" w:rsidR="00946A29" w:rsidRPr="00DD7BD1" w:rsidRDefault="00946A29">
      <w:pPr>
        <w:numPr>
          <w:ilvl w:val="0"/>
          <w:numId w:val="36"/>
        </w:numPr>
        <w:shd w:val="clear" w:color="auto" w:fill="FFFFFF"/>
        <w:spacing w:after="0" w:line="240" w:lineRule="auto"/>
        <w:ind w:left="945"/>
        <w:rPr>
          <w:rFonts w:ascii="Calibri" w:hAnsi="Calibri" w:cs="Calibri"/>
          <w:color w:val="000000"/>
        </w:rPr>
      </w:pPr>
      <w:r w:rsidRPr="00DD7BD1">
        <w:rPr>
          <w:rFonts w:ascii="Calibri" w:hAnsi="Calibri" w:cs="Calibri"/>
          <w:color w:val="000000"/>
        </w:rPr>
        <w:t>Instructions for registering and certifying for the Contractor Portal </w:t>
      </w:r>
    </w:p>
    <w:p w14:paraId="098F46D4"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25" w:tgtFrame="_blank" w:history="1">
        <w:r w:rsidRPr="00DD7BD1">
          <w:rPr>
            <w:rStyle w:val="Hyperlink"/>
            <w:rFonts w:ascii="Calibri" w:hAnsi="Calibri" w:cs="Calibri"/>
          </w:rPr>
          <w:t>How-to Videos</w:t>
        </w:r>
      </w:hyperlink>
    </w:p>
    <w:p w14:paraId="589CD602"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26" w:tgtFrame="_blank" w:history="1">
        <w:r w:rsidRPr="00DD7BD1">
          <w:rPr>
            <w:rStyle w:val="Hyperlink"/>
            <w:rFonts w:ascii="Calibri" w:hAnsi="Calibri" w:cs="Calibri"/>
          </w:rPr>
          <w:t>User Guide</w:t>
        </w:r>
      </w:hyperlink>
    </w:p>
    <w:p w14:paraId="33C645C5" w14:textId="1E9BF7B0" w:rsidR="00946A29" w:rsidRPr="00DD7BD1" w:rsidRDefault="00946A29">
      <w:pPr>
        <w:numPr>
          <w:ilvl w:val="0"/>
          <w:numId w:val="36"/>
        </w:numPr>
        <w:shd w:val="clear" w:color="auto" w:fill="FFFFFF"/>
        <w:spacing w:after="0" w:line="240" w:lineRule="auto"/>
        <w:ind w:left="945"/>
        <w:rPr>
          <w:rFonts w:ascii="Calibri" w:hAnsi="Calibri" w:cs="Calibri"/>
          <w:color w:val="0000FF"/>
          <w:u w:val="single"/>
        </w:rPr>
      </w:pPr>
      <w:hyperlink r:id="rId427" w:tgtFrame="_blank" w:history="1">
        <w:r w:rsidRPr="00DD7BD1">
          <w:rPr>
            <w:rStyle w:val="Hyperlink"/>
            <w:rFonts w:ascii="Calibri" w:hAnsi="Calibri" w:cs="Calibri"/>
          </w:rPr>
          <w:t>Frequently Asked Questions </w:t>
        </w:r>
      </w:hyperlink>
      <w:r w:rsidRPr="00DD7BD1">
        <w:rPr>
          <w:rStyle w:val="Hyperlink"/>
          <w:rFonts w:ascii="Calibri" w:hAnsi="Calibri" w:cs="Calibri"/>
        </w:rPr>
        <w:t> </w:t>
      </w:r>
    </w:p>
    <w:p w14:paraId="310C3282" w14:textId="77777777" w:rsidR="009040C5" w:rsidRPr="00DD7BD1" w:rsidRDefault="009040C5" w:rsidP="009040C5">
      <w:pPr>
        <w:pStyle w:val="ParagraphBasic"/>
        <w:spacing w:after="0" w:line="240" w:lineRule="auto"/>
        <w:jc w:val="both"/>
        <w:rPr>
          <w:rFonts w:ascii="Calibri" w:hAnsi="Calibri" w:cs="Calibri"/>
          <w:sz w:val="16"/>
          <w:szCs w:val="16"/>
        </w:rPr>
      </w:pPr>
    </w:p>
    <w:p w14:paraId="3BFA7C98" w14:textId="2C297D96" w:rsidR="009040C5" w:rsidRPr="00DD7BD1" w:rsidRDefault="009040C5" w:rsidP="009040C5">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ACA Reporting Deadlines</w:t>
      </w:r>
    </w:p>
    <w:p w14:paraId="138AA51E" w14:textId="77777777" w:rsidR="009040C5" w:rsidRPr="00DD7BD1" w:rsidRDefault="009040C5" w:rsidP="009040C5">
      <w:pPr>
        <w:pStyle w:val="BodyText"/>
        <w:spacing w:after="0" w:line="240" w:lineRule="auto"/>
        <w:ind w:right="360"/>
        <w:rPr>
          <w:rFonts w:cs="Calibri"/>
          <w:color w:val="auto"/>
          <w:szCs w:val="22"/>
        </w:rPr>
      </w:pPr>
      <w:bookmarkStart w:id="46" w:name="_Hlk27481520"/>
      <w:r w:rsidRPr="00DD7BD1">
        <w:rPr>
          <w:rFonts w:cs="Calibri"/>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DD7BD1" w:rsidRDefault="009040C5" w:rsidP="009040C5">
      <w:pPr>
        <w:pStyle w:val="BulletListText"/>
        <w:spacing w:after="0"/>
        <w:rPr>
          <w:rFonts w:cs="Calibri"/>
          <w:color w:val="auto"/>
          <w:szCs w:val="22"/>
        </w:rPr>
      </w:pPr>
      <w:r w:rsidRPr="00DD7BD1">
        <w:rPr>
          <w:rFonts w:cs="Calibri"/>
          <w:color w:val="auto"/>
          <w:szCs w:val="22"/>
        </w:rPr>
        <w:t xml:space="preserve">Furnish statements to individuals by </w:t>
      </w:r>
      <w:r w:rsidRPr="00DD7BD1">
        <w:rPr>
          <w:rFonts w:cs="Calibri"/>
          <w:b/>
          <w:color w:val="auto"/>
          <w:szCs w:val="22"/>
        </w:rPr>
        <w:t>March 1, 2024</w:t>
      </w:r>
      <w:r w:rsidRPr="00DD7BD1">
        <w:rPr>
          <w:rFonts w:cs="Calibri"/>
          <w:color w:val="auto"/>
          <w:szCs w:val="22"/>
        </w:rPr>
        <w:t xml:space="preserve"> (an alternative method of furnishing statements to covered individuals is available in certain situations); and</w:t>
      </w:r>
    </w:p>
    <w:p w14:paraId="4F83A83E"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File paper returns with the IRS by </w:t>
      </w:r>
      <w:r w:rsidRPr="00DD7BD1">
        <w:rPr>
          <w:rFonts w:cs="Calibri"/>
          <w:b/>
          <w:color w:val="auto"/>
          <w:szCs w:val="22"/>
        </w:rPr>
        <w:t>Feb. 28, 2024</w:t>
      </w:r>
      <w:r w:rsidRPr="00DD7BD1">
        <w:rPr>
          <w:rFonts w:cs="Calibri"/>
          <w:color w:val="auto"/>
          <w:szCs w:val="22"/>
        </w:rPr>
        <w:t xml:space="preserve">, or </w:t>
      </w:r>
      <w:r w:rsidRPr="00DD7BD1">
        <w:rPr>
          <w:rFonts w:cs="Calibri"/>
          <w:b/>
          <w:color w:val="auto"/>
          <w:szCs w:val="22"/>
        </w:rPr>
        <w:t>April 1, 2024</w:t>
      </w:r>
      <w:r w:rsidRPr="00DD7BD1">
        <w:rPr>
          <w:rFonts w:cs="Calibri"/>
          <w:color w:val="auto"/>
          <w:szCs w:val="22"/>
        </w:rPr>
        <w:t xml:space="preserve">, if filing electronically. </w:t>
      </w:r>
    </w:p>
    <w:p w14:paraId="08DA1F67"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***Beginning in 2024, employers that file </w:t>
      </w:r>
      <w:r w:rsidRPr="00DD7BD1">
        <w:rPr>
          <w:rFonts w:cs="Calibri"/>
          <w:b/>
          <w:bCs/>
          <w:color w:val="auto"/>
          <w:szCs w:val="22"/>
        </w:rPr>
        <w:t>at least 10</w:t>
      </w:r>
      <w:r w:rsidRPr="00DD7BD1">
        <w:rPr>
          <w:rFonts w:cs="Calibri"/>
          <w:color w:val="auto"/>
          <w:szCs w:val="22"/>
        </w:rPr>
        <w:t xml:space="preserve"> </w:t>
      </w:r>
      <w:r w:rsidRPr="00DD7BD1">
        <w:rPr>
          <w:rFonts w:cs="Calibri"/>
          <w:b/>
          <w:bCs/>
          <w:color w:val="auto"/>
          <w:szCs w:val="22"/>
        </w:rPr>
        <w:t>returns</w:t>
      </w:r>
      <w:r w:rsidRPr="00DD7BD1">
        <w:rPr>
          <w:rFonts w:cs="Calibri"/>
          <w:color w:val="auto"/>
          <w:szCs w:val="22"/>
        </w:rPr>
        <w:t xml:space="preserve"> during the calendar year must file electronically.</w:t>
      </w:r>
    </w:p>
    <w:bookmarkEnd w:id="46"/>
    <w:p w14:paraId="2BFE3AE2" w14:textId="0B27A2AD" w:rsidR="00AF4ED7" w:rsidRPr="00DD7BD1" w:rsidRDefault="009040C5" w:rsidP="00946A29">
      <w:pPr>
        <w:pStyle w:val="BodyText"/>
        <w:spacing w:after="0" w:line="240" w:lineRule="auto"/>
        <w:ind w:right="360"/>
        <w:rPr>
          <w:rFonts w:cs="Calibri"/>
          <w:color w:val="auto"/>
          <w:szCs w:val="22"/>
        </w:rPr>
      </w:pPr>
      <w:r w:rsidRPr="00DD7BD1">
        <w:rPr>
          <w:rFonts w:cs="Calibri"/>
          <w:color w:val="auto"/>
          <w:szCs w:val="22"/>
        </w:rPr>
        <w:t>Penalties may apply if employers are subject to ACA reporting and fail to file returns and furnish statements by the applicable deadlines.</w:t>
      </w:r>
    </w:p>
    <w:p w14:paraId="6AB2D761" w14:textId="77777777" w:rsidR="00AF4ED7" w:rsidRPr="00DD7BD1" w:rsidRDefault="00AF4ED7" w:rsidP="00946A29">
      <w:pPr>
        <w:pStyle w:val="BodyText"/>
        <w:spacing w:after="0" w:line="240" w:lineRule="auto"/>
        <w:ind w:right="360"/>
        <w:rPr>
          <w:rFonts w:cs="Calibri"/>
          <w:color w:val="auto"/>
          <w:sz w:val="16"/>
          <w:szCs w:val="16"/>
        </w:rPr>
      </w:pPr>
    </w:p>
    <w:p w14:paraId="4D29329C" w14:textId="4EC3B071" w:rsidR="009040C5" w:rsidRPr="00DD7BD1" w:rsidRDefault="009040C5" w:rsidP="00946A29">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47" w:name="_Hlk170458339"/>
      <w:r w:rsidRPr="00DD7BD1">
        <w:rPr>
          <w:rFonts w:ascii="Calibri" w:eastAsiaTheme="minorHAnsi" w:hAnsi="Calibri" w:cs="Calibri"/>
          <w:kern w:val="0"/>
          <w:sz w:val="28"/>
          <w:szCs w:val="28"/>
        </w:rPr>
        <w:t>IRS Releases ACA Pay-or-Play Penalties for 2025</w:t>
      </w:r>
    </w:p>
    <w:p w14:paraId="40875E4B"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On Feb. 12, 2024, the IRS </w:t>
      </w:r>
      <w:hyperlink r:id="rId428" w:history="1">
        <w:r w:rsidRPr="00DD7BD1">
          <w:rPr>
            <w:rStyle w:val="Hyperlink"/>
            <w:rFonts w:ascii="Calibri" w:hAnsi="Calibri" w:cs="Calibri"/>
          </w:rPr>
          <w:t>released</w:t>
        </w:r>
      </w:hyperlink>
      <w:r w:rsidRPr="00DD7BD1">
        <w:rPr>
          <w:rFonts w:ascii="Calibri" w:hAnsi="Calibri" w:cs="Calibri"/>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DD7BD1" w:rsidRDefault="009040C5" w:rsidP="009040C5">
      <w:pPr>
        <w:pStyle w:val="ParagraphBasic"/>
        <w:spacing w:after="0" w:line="240" w:lineRule="auto"/>
        <w:jc w:val="both"/>
        <w:rPr>
          <w:rFonts w:ascii="Calibri" w:hAnsi="Calibri" w:cs="Calibri"/>
        </w:rPr>
      </w:pPr>
    </w:p>
    <w:p w14:paraId="49938954" w14:textId="4454CDCB"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For calendar year 2025, the adjusted $2,000 penalty amount is </w:t>
      </w:r>
      <w:r w:rsidRPr="00DD7BD1">
        <w:rPr>
          <w:rFonts w:ascii="Calibri" w:hAnsi="Calibri" w:cs="Calibri"/>
          <w:b/>
          <w:bCs/>
        </w:rPr>
        <w:t>$2,900,</w:t>
      </w:r>
      <w:r w:rsidRPr="00DD7BD1">
        <w:rPr>
          <w:rFonts w:ascii="Calibri" w:hAnsi="Calibri" w:cs="Calibri"/>
        </w:rPr>
        <w:t xml:space="preserve"> and the adjusted $3,000 penalty amount is </w:t>
      </w:r>
      <w:r w:rsidRPr="00DD7BD1">
        <w:rPr>
          <w:rFonts w:ascii="Calibri" w:hAnsi="Calibri" w:cs="Calibri"/>
          <w:b/>
          <w:bCs/>
        </w:rPr>
        <w:t>$4,350</w:t>
      </w:r>
      <w:r w:rsidRPr="00DD7BD1">
        <w:rPr>
          <w:rFonts w:ascii="Calibri" w:hAnsi="Calibri" w:cs="Calibri"/>
        </w:rPr>
        <w:t>. This is a decrease from the penalty amounts for the 2024 calendar year, which are $2,970 and $4,460, respectively.</w:t>
      </w:r>
    </w:p>
    <w:p w14:paraId="3C083F05"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DD7BD1" w:rsidRDefault="009040C5">
      <w:pPr>
        <w:pStyle w:val="BList1"/>
        <w:numPr>
          <w:ilvl w:val="0"/>
          <w:numId w:val="16"/>
        </w:numPr>
        <w:spacing w:before="0" w:after="0" w:line="240" w:lineRule="auto"/>
        <w:jc w:val="both"/>
        <w:rPr>
          <w:rFonts w:ascii="Calibri" w:hAnsi="Calibri" w:cs="Calibri"/>
        </w:rPr>
      </w:pPr>
      <w:hyperlink r:id="rId429" w:history="1">
        <w:r w:rsidRPr="00DD7BD1">
          <w:rPr>
            <w:rStyle w:val="Hyperlink"/>
            <w:rFonts w:ascii="Calibri" w:hAnsi="Calibri" w:cs="Calibri"/>
          </w:rPr>
          <w:t>Employer Shared Responsibility Provisions</w:t>
        </w:r>
      </w:hyperlink>
      <w:r w:rsidRPr="00DD7BD1">
        <w:rPr>
          <w:rFonts w:ascii="Calibri" w:hAnsi="Calibri" w:cs="Calibri"/>
        </w:rPr>
        <w:t xml:space="preserve"> </w:t>
      </w:r>
    </w:p>
    <w:p w14:paraId="642A7DCE" w14:textId="01BC5350" w:rsidR="009040C5" w:rsidRPr="00DD7BD1" w:rsidRDefault="009040C5">
      <w:pPr>
        <w:pStyle w:val="BList1"/>
        <w:numPr>
          <w:ilvl w:val="0"/>
          <w:numId w:val="16"/>
        </w:numPr>
        <w:spacing w:before="0" w:after="0" w:line="240" w:lineRule="auto"/>
        <w:rPr>
          <w:rFonts w:ascii="Calibri" w:hAnsi="Calibri" w:cs="Calibri"/>
        </w:rPr>
      </w:pPr>
      <w:hyperlink r:id="rId430" w:history="1">
        <w:r w:rsidRPr="00DD7BD1">
          <w:rPr>
            <w:rStyle w:val="Hyperlink"/>
            <w:rFonts w:ascii="Calibri" w:hAnsi="Calibri" w:cs="Calibri"/>
          </w:rPr>
          <w:t>Types of Employer Payments and How They Are Calculated</w:t>
        </w:r>
      </w:hyperlink>
      <w:r w:rsidRPr="00DD7BD1">
        <w:rPr>
          <w:rFonts w:ascii="Calibri" w:hAnsi="Calibri" w:cs="Calibri"/>
        </w:rPr>
        <w:t xml:space="preserve"> </w:t>
      </w:r>
    </w:p>
    <w:bookmarkEnd w:id="47"/>
    <w:p w14:paraId="5F4A2630" w14:textId="77777777" w:rsidR="001221BB" w:rsidRPr="00DD7BD1" w:rsidRDefault="001221BB" w:rsidP="001221BB">
      <w:pPr>
        <w:pStyle w:val="BList1"/>
        <w:numPr>
          <w:ilvl w:val="0"/>
          <w:numId w:val="0"/>
        </w:numPr>
        <w:spacing w:before="0" w:after="0" w:line="240" w:lineRule="auto"/>
        <w:ind w:left="720" w:hanging="360"/>
        <w:rPr>
          <w:rFonts w:ascii="Calibri" w:hAnsi="Calibri" w:cs="Calibri"/>
        </w:rPr>
      </w:pPr>
    </w:p>
    <w:p w14:paraId="7C9B8A62" w14:textId="5D574A91" w:rsidR="001221BB" w:rsidRPr="00DD7BD1" w:rsidRDefault="001221BB" w:rsidP="001221BB">
      <w:pPr>
        <w:pStyle w:val="Heading1"/>
        <w:shd w:val="clear" w:color="auto" w:fill="FFFFFF"/>
        <w:spacing w:before="0" w:beforeAutospacing="0" w:after="0" w:afterAutospacing="0" w:line="264" w:lineRule="atLeast"/>
        <w:ind w:left="-360" w:right="-360"/>
        <w:jc w:val="center"/>
        <w:rPr>
          <w:rFonts w:ascii="Calibri" w:hAnsi="Calibri" w:cs="Calibri"/>
          <w:color w:val="000000"/>
        </w:rPr>
      </w:pPr>
      <w:r w:rsidRPr="00DD7BD1">
        <w:rPr>
          <w:rFonts w:ascii="Calibri" w:hAnsi="Calibri" w:cs="Calibri"/>
          <w:kern w:val="0"/>
          <w:sz w:val="28"/>
          <w:szCs w:val="28"/>
        </w:rPr>
        <w:t>EEO-1 Reporting &amp; Revised Racial and Ethnic Categories</w:t>
      </w:r>
    </w:p>
    <w:p w14:paraId="7618CBF5" w14:textId="77777777" w:rsidR="001221BB" w:rsidRPr="00DD7BD1" w:rsidRDefault="001221BB" w:rsidP="001221BB">
      <w:p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DD7BD1" w:rsidRDefault="001221BB" w:rsidP="001221BB">
      <w:pPr>
        <w:shd w:val="clear" w:color="auto" w:fill="FFFFFF"/>
        <w:spacing w:after="0" w:line="240" w:lineRule="auto"/>
        <w:rPr>
          <w:rFonts w:ascii="Calibri" w:eastAsia="Times New Roman" w:hAnsi="Calibri" w:cs="Calibri"/>
          <w:b/>
          <w:bCs/>
          <w:spacing w:val="3"/>
          <w:sz w:val="16"/>
          <w:szCs w:val="16"/>
        </w:rPr>
      </w:pPr>
    </w:p>
    <w:p w14:paraId="5776FA17" w14:textId="77777777" w:rsidR="001221BB" w:rsidRPr="00DD7BD1" w:rsidRDefault="001221BB" w:rsidP="001221BB">
      <w:pPr>
        <w:shd w:val="clear" w:color="auto" w:fill="FFFFFF"/>
        <w:spacing w:after="0" w:line="240" w:lineRule="auto"/>
        <w:rPr>
          <w:rFonts w:ascii="Calibri" w:eastAsia="Times New Roman" w:hAnsi="Calibri" w:cs="Calibri"/>
          <w:b/>
          <w:bCs/>
          <w:spacing w:val="3"/>
        </w:rPr>
      </w:pPr>
      <w:r w:rsidRPr="00DD7BD1">
        <w:rPr>
          <w:rFonts w:ascii="Calibri" w:eastAsia="Times New Roman" w:hAnsi="Calibri" w:cs="Calibri"/>
          <w:b/>
          <w:bCs/>
          <w:spacing w:val="3"/>
        </w:rPr>
        <w:t>The changes:</w:t>
      </w:r>
    </w:p>
    <w:p w14:paraId="0A651E93"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Add Middle Eastern or North African (MENA) as a racial and ethnic category.</w:t>
      </w:r>
    </w:p>
    <w:p w14:paraId="64529530"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Eliminate the distinction between race and ethnicity.</w:t>
      </w:r>
    </w:p>
    <w:p w14:paraId="4F323D96"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Replace the “two or more races” category with an option to select all categories that apply, including detailed sub-categories. </w:t>
      </w:r>
    </w:p>
    <w:p w14:paraId="55717397" w14:textId="77777777" w:rsidR="001221BB" w:rsidRPr="00DD7BD1" w:rsidRDefault="001221BB" w:rsidP="001221BB">
      <w:pPr>
        <w:shd w:val="clear" w:color="auto" w:fill="FFFFFF"/>
        <w:spacing w:after="0" w:line="240" w:lineRule="auto"/>
        <w:rPr>
          <w:rFonts w:ascii="Calibri" w:eastAsia="Times New Roman" w:hAnsi="Calibri" w:cs="Calibri"/>
          <w:spacing w:val="3"/>
          <w:sz w:val="16"/>
          <w:szCs w:val="16"/>
        </w:rPr>
      </w:pPr>
    </w:p>
    <w:p w14:paraId="7C6C485C" w14:textId="77777777" w:rsidR="001221BB" w:rsidRPr="00DD7BD1" w:rsidRDefault="001221BB" w:rsidP="001221BB">
      <w:pPr>
        <w:shd w:val="clear" w:color="auto" w:fill="FFFFFF"/>
        <w:spacing w:after="0" w:line="240" w:lineRule="auto"/>
        <w:rPr>
          <w:rFonts w:ascii="Calibri" w:hAnsi="Calibri" w:cs="Calibri"/>
          <w:spacing w:val="3"/>
          <w:shd w:val="clear" w:color="auto" w:fill="FFFFFF"/>
        </w:rPr>
      </w:pPr>
      <w:r w:rsidRPr="00DD7BD1">
        <w:rPr>
          <w:rFonts w:ascii="Calibri" w:eastAsia="Times New Roman" w:hAnsi="Calibri" w:cs="Calibri"/>
          <w:spacing w:val="3"/>
        </w:rPr>
        <w:t xml:space="preserve">Although the new demographic categories took effect immediately, federal agencies with demographic reporting requirements, including the EEOC and OFCCP, </w:t>
      </w:r>
      <w:r w:rsidRPr="00DD7BD1">
        <w:rPr>
          <w:rFonts w:ascii="Calibri" w:eastAsia="Times New Roman" w:hAnsi="Calibri" w:cs="Calibri"/>
          <w:spacing w:val="3"/>
          <w:u w:val="single"/>
        </w:rPr>
        <w:t>have 5 years to implement the new standards</w:t>
      </w:r>
      <w:r w:rsidRPr="00DD7BD1">
        <w:rPr>
          <w:rFonts w:ascii="Calibri" w:eastAsia="Times New Roman" w:hAnsi="Calibri" w:cs="Calibri"/>
          <w:spacing w:val="3"/>
        </w:rPr>
        <w:t xml:space="preserve">.  Agencies must publish an “action plan” within the next 18 months </w:t>
      </w:r>
      <w:r w:rsidRPr="00DD7BD1">
        <w:rPr>
          <w:rFonts w:ascii="Calibri" w:hAnsi="Calibri" w:cs="Calibri"/>
          <w:spacing w:val="3"/>
          <w:shd w:val="clear" w:color="auto" w:fill="FFFFFF"/>
        </w:rPr>
        <w:t xml:space="preserve"> describing how they intend to comply by the deadline of March 28, </w:t>
      </w:r>
      <w:r w:rsidRPr="00DD7BD1">
        <w:rPr>
          <w:rFonts w:ascii="Calibri" w:hAnsi="Calibri" w:cs="Calibri"/>
          <w:spacing w:val="3"/>
          <w:u w:val="single"/>
          <w:shd w:val="clear" w:color="auto" w:fill="FFFFFF"/>
        </w:rPr>
        <w:t>2029</w:t>
      </w:r>
      <w:r w:rsidRPr="00DD7BD1">
        <w:rPr>
          <w:rFonts w:ascii="Calibri" w:hAnsi="Calibri" w:cs="Calibri"/>
          <w:spacing w:val="3"/>
          <w:shd w:val="clear" w:color="auto" w:fill="FFFFFF"/>
        </w:rPr>
        <w:t>. </w:t>
      </w:r>
    </w:p>
    <w:p w14:paraId="6120EFD3" w14:textId="77777777" w:rsidR="001221BB" w:rsidRPr="00DD7BD1" w:rsidRDefault="001221BB" w:rsidP="001221BB">
      <w:pPr>
        <w:shd w:val="clear" w:color="auto" w:fill="FFFFFF"/>
        <w:spacing w:after="0" w:line="240" w:lineRule="auto"/>
        <w:rPr>
          <w:rFonts w:ascii="Calibri" w:hAnsi="Calibri" w:cs="Calibri"/>
          <w:color w:val="292929"/>
          <w:spacing w:val="3"/>
          <w:sz w:val="16"/>
          <w:szCs w:val="16"/>
          <w:shd w:val="clear" w:color="auto" w:fill="FFFFFF"/>
        </w:rPr>
      </w:pPr>
    </w:p>
    <w:p w14:paraId="479D5BFA" w14:textId="77777777" w:rsidR="001221BB" w:rsidRPr="00DD7BD1" w:rsidRDefault="001221BB" w:rsidP="001221BB">
      <w:pPr>
        <w:shd w:val="clear" w:color="auto" w:fill="FFFFFF"/>
        <w:spacing w:after="0" w:line="240" w:lineRule="auto"/>
        <w:rPr>
          <w:rFonts w:ascii="Calibri" w:hAnsi="Calibri" w:cs="Calibri"/>
          <w:b/>
          <w:bCs/>
          <w:color w:val="292929"/>
          <w:spacing w:val="3"/>
          <w:shd w:val="clear" w:color="auto" w:fill="FFFFFF"/>
        </w:rPr>
      </w:pPr>
      <w:r w:rsidRPr="00DD7BD1">
        <w:rPr>
          <w:rFonts w:ascii="Calibri" w:hAnsi="Calibri" w:cs="Calibri"/>
          <w:b/>
          <w:bCs/>
          <w:color w:val="292929"/>
          <w:spacing w:val="3"/>
          <w:highlight w:val="lightGray"/>
          <w:shd w:val="clear" w:color="auto" w:fill="FFFFFF"/>
        </w:rPr>
        <w:t>Employer Takeaway:</w:t>
      </w:r>
    </w:p>
    <w:p w14:paraId="7ADE55FE" w14:textId="77777777"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D7BD1" w:rsidRDefault="001221BB" w:rsidP="001221BB">
      <w:pPr>
        <w:pStyle w:val="BList1"/>
        <w:numPr>
          <w:ilvl w:val="0"/>
          <w:numId w:val="0"/>
        </w:numPr>
        <w:spacing w:before="0" w:after="0" w:line="240" w:lineRule="auto"/>
        <w:ind w:left="720" w:hanging="360"/>
        <w:rPr>
          <w:rFonts w:ascii="Calibri" w:hAnsi="Calibri" w:cs="Calibri"/>
          <w:sz w:val="20"/>
          <w:szCs w:val="20"/>
        </w:rPr>
      </w:pPr>
    </w:p>
    <w:p w14:paraId="20ED5967" w14:textId="50A1FD34" w:rsidR="001221BB" w:rsidRPr="00DD7BD1" w:rsidRDefault="001221BB" w:rsidP="001221BB">
      <w:pPr>
        <w:pStyle w:val="Heading1"/>
        <w:shd w:val="clear" w:color="auto" w:fill="FFFFFF"/>
        <w:spacing w:before="0" w:beforeAutospacing="0" w:after="0" w:afterAutospacing="0"/>
        <w:ind w:left="90"/>
        <w:jc w:val="center"/>
        <w:rPr>
          <w:rFonts w:ascii="Calibri" w:hAnsi="Calibri" w:cs="Calibri"/>
          <w:sz w:val="28"/>
          <w:szCs w:val="28"/>
        </w:rPr>
      </w:pPr>
      <w:bookmarkStart w:id="48" w:name="_Hlk164240776"/>
      <w:r w:rsidRPr="00DD7BD1">
        <w:rPr>
          <w:rFonts w:ascii="Calibri" w:hAnsi="Calibri" w:cs="Calibri"/>
          <w:sz w:val="28"/>
          <w:szCs w:val="28"/>
        </w:rPr>
        <w:t>U.S. Supreme Court: Mandatory Job Transfer Can Be Discriminatory Under Title VII</w:t>
      </w:r>
    </w:p>
    <w:p w14:paraId="4C8B9856" w14:textId="77777777" w:rsidR="001221BB" w:rsidRPr="00DD7BD1" w:rsidRDefault="001221BB" w:rsidP="001221BB">
      <w:pPr>
        <w:pStyle w:val="BList1"/>
        <w:numPr>
          <w:ilvl w:val="0"/>
          <w:numId w:val="0"/>
        </w:numPr>
        <w:spacing w:before="0"/>
        <w:rPr>
          <w:rFonts w:ascii="Calibri" w:hAnsi="Calibri" w:cs="Calibri"/>
          <w:b/>
          <w:bCs/>
        </w:rPr>
      </w:pPr>
      <w:r w:rsidRPr="00DD7BD1">
        <w:rPr>
          <w:rStyle w:val="CBold"/>
          <w:rFonts w:ascii="Calibri" w:hAnsi="Calibri" w:cs="Calibri"/>
          <w:b w:val="0"/>
          <w:bCs/>
          <w:color w:val="auto"/>
        </w:rPr>
        <w:t xml:space="preserve">On April 17, 2024, the Supreme Court held through a </w:t>
      </w:r>
      <w:r w:rsidRPr="00DD7BD1">
        <w:rPr>
          <w:rFonts w:ascii="Calibri" w:hAnsi="Calibri" w:cs="Calibri"/>
        </w:rPr>
        <w:t xml:space="preserve">unanimous decision in </w:t>
      </w:r>
      <w:r w:rsidRPr="00DD7BD1">
        <w:rPr>
          <w:rFonts w:ascii="Calibri" w:hAnsi="Calibri" w:cs="Calibri"/>
          <w:i/>
          <w:iCs/>
        </w:rPr>
        <w:t>Muldrow v. City of St. Louis</w:t>
      </w:r>
      <w:r w:rsidRPr="00DD7BD1">
        <w:rPr>
          <w:rFonts w:ascii="Calibri" w:hAnsi="Calibri" w:cs="Calibri"/>
          <w:b/>
          <w:bCs/>
          <w:i/>
          <w:iCs/>
        </w:rPr>
        <w:t xml:space="preserve"> </w:t>
      </w:r>
      <w:r w:rsidRPr="00DD7BD1">
        <w:rPr>
          <w:rStyle w:val="CBold"/>
          <w:rFonts w:ascii="Calibri" w:hAnsi="Calibri" w:cs="Calibri"/>
          <w:b w:val="0"/>
          <w:bCs/>
          <w:color w:val="auto"/>
        </w:rPr>
        <w:t xml:space="preserve">that a mandatory job transfer can be discriminatory under Title VII if it results in some harm with respect to a term or condition of employment </w:t>
      </w:r>
      <w:r w:rsidRPr="00DD7BD1">
        <w:rPr>
          <w:rFonts w:ascii="Calibri" w:hAnsi="Calibri" w:cs="Calibri"/>
        </w:rPr>
        <w:t>even if the harm is not significant</w:t>
      </w:r>
      <w:r w:rsidRPr="00DD7BD1">
        <w:rPr>
          <w:rFonts w:ascii="Calibri" w:hAnsi="Calibri" w:cs="Calibri"/>
          <w:b/>
          <w:bCs/>
        </w:rPr>
        <w:t>.</w:t>
      </w:r>
    </w:p>
    <w:p w14:paraId="226005DE" w14:textId="77777777" w:rsidR="001221BB" w:rsidRPr="00DD7BD1" w:rsidRDefault="001221BB" w:rsidP="001221BB">
      <w:pPr>
        <w:pStyle w:val="BList1"/>
        <w:numPr>
          <w:ilvl w:val="0"/>
          <w:numId w:val="0"/>
        </w:numPr>
        <w:spacing w:before="0"/>
        <w:rPr>
          <w:rFonts w:ascii="Calibri" w:hAnsi="Calibri" w:cs="Calibri"/>
          <w:b/>
          <w:bCs/>
        </w:rPr>
      </w:pPr>
    </w:p>
    <w:p w14:paraId="58CDDB55"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r w:rsidRPr="00DD7BD1">
        <w:rPr>
          <w:rFonts w:ascii="Calibri" w:hAnsi="Calibri" w:cs="Calibri"/>
          <w:b/>
          <w:bCs/>
          <w:highlight w:val="lightGray"/>
        </w:rPr>
        <w:t>Key Takeaway:</w:t>
      </w:r>
      <w:r w:rsidRPr="00DD7BD1">
        <w:rPr>
          <w:rFonts w:ascii="Calibri" w:hAnsi="Calibri" w:cs="Calibri"/>
          <w:b/>
          <w:bCs/>
        </w:rPr>
        <w:t xml:space="preserve"> </w:t>
      </w:r>
      <w:r w:rsidRPr="00DD7BD1">
        <w:rPr>
          <w:rStyle w:val="Strong"/>
          <w:rFonts w:ascii="Calibri" w:hAnsi="Calibri" w:cs="Calibri"/>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p>
    <w:p w14:paraId="589A9A6E" w14:textId="77777777" w:rsidR="001221BB" w:rsidRPr="00DD7BD1" w:rsidRDefault="001221BB" w:rsidP="001221BB">
      <w:pPr>
        <w:pStyle w:val="BList1"/>
        <w:numPr>
          <w:ilvl w:val="0"/>
          <w:numId w:val="0"/>
        </w:numPr>
        <w:spacing w:before="0"/>
        <w:rPr>
          <w:rStyle w:val="CBold"/>
          <w:rFonts w:ascii="Calibri" w:hAnsi="Calibri" w:cs="Calibri"/>
          <w:b w:val="0"/>
          <w:color w:val="auto"/>
          <w:highlight w:val="lightGray"/>
        </w:rPr>
      </w:pPr>
      <w:r w:rsidRPr="00DD7BD1">
        <w:rPr>
          <w:rFonts w:ascii="Calibri" w:hAnsi="Calibri" w:cs="Calibri"/>
          <w:b/>
          <w:bCs/>
          <w:highlight w:val="lightGray"/>
        </w:rPr>
        <w:t>Learn More:</w:t>
      </w:r>
    </w:p>
    <w:p w14:paraId="3E234A7F" w14:textId="77777777" w:rsidR="001221BB" w:rsidRPr="00DD7BD1" w:rsidRDefault="001221BB" w:rsidP="001221BB">
      <w:pPr>
        <w:pStyle w:val="BList1"/>
        <w:numPr>
          <w:ilvl w:val="0"/>
          <w:numId w:val="0"/>
        </w:numPr>
        <w:spacing w:after="0" w:line="264" w:lineRule="auto"/>
        <w:rPr>
          <w:rFonts w:ascii="Calibri" w:hAnsi="Calibri" w:cs="Calibri"/>
          <w:b/>
          <w:color w:val="4A7291"/>
        </w:rPr>
      </w:pPr>
      <w:r w:rsidRPr="00DD7BD1">
        <w:rPr>
          <w:rFonts w:ascii="Calibri" w:hAnsi="Calibri" w:cs="Calibri"/>
          <w:b/>
          <w:color w:val="4A7291"/>
        </w:rPr>
        <w:t>Supreme Court Ruling</w:t>
      </w:r>
    </w:p>
    <w:p w14:paraId="6AEDD07D"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 xml:space="preserve">The Supreme Court vacated the lower court’s ruling and remanded it back to the lower courts, holding that </w:t>
      </w:r>
      <w:r w:rsidRPr="00DD7BD1">
        <w:rPr>
          <w:rFonts w:ascii="Calibri" w:hAnsi="Calibri" w:cs="Calibri"/>
          <w:u w:val="single"/>
        </w:rPr>
        <w:t>a forced job transfer</w:t>
      </w:r>
      <w:r w:rsidRPr="00DD7BD1">
        <w:rPr>
          <w:rFonts w:ascii="Calibri" w:hAnsi="Calibri" w:cs="Calibri"/>
        </w:rPr>
        <w:t xml:space="preserve"> can be discriminatory if the transfer brought about some harm with respect to an identifiable term or condition of employment but that </w:t>
      </w:r>
      <w:r w:rsidRPr="00DD7BD1">
        <w:rPr>
          <w:rFonts w:ascii="Calibri" w:hAnsi="Calibri" w:cs="Calibri"/>
          <w:b/>
          <w:bCs/>
        </w:rPr>
        <w:t>harm need not be significant</w:t>
      </w:r>
      <w:r w:rsidRPr="00DD7BD1">
        <w:rPr>
          <w:rFonts w:ascii="Calibri" w:hAnsi="Calibri" w:cs="Calibri"/>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5DA811FA" w14:textId="77777777" w:rsidR="001221BB" w:rsidRPr="00DD7BD1" w:rsidRDefault="001221BB" w:rsidP="001221BB">
      <w:pPr>
        <w:pStyle w:val="BList1"/>
        <w:numPr>
          <w:ilvl w:val="0"/>
          <w:numId w:val="0"/>
        </w:numPr>
        <w:spacing w:after="40" w:line="264" w:lineRule="auto"/>
        <w:rPr>
          <w:rFonts w:ascii="Calibri" w:hAnsi="Calibri" w:cs="Calibri"/>
          <w:b/>
          <w:color w:val="4A7291"/>
        </w:rPr>
      </w:pPr>
      <w:r w:rsidRPr="00DD7BD1">
        <w:rPr>
          <w:rFonts w:ascii="Calibri" w:hAnsi="Calibri" w:cs="Calibri"/>
          <w:b/>
          <w:color w:val="4A7291"/>
        </w:rPr>
        <w:t>Impact on Employers</w:t>
      </w:r>
    </w:p>
    <w:p w14:paraId="13C69138"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6353F107" w14:textId="77777777" w:rsidR="001221BB" w:rsidRPr="00DD7BD1" w:rsidRDefault="001221BB" w:rsidP="001221BB">
      <w:pPr>
        <w:spacing w:after="0" w:line="264" w:lineRule="auto"/>
        <w:rPr>
          <w:rFonts w:ascii="Calibri" w:hAnsi="Calibri" w:cs="Calibri"/>
          <w:b/>
          <w:color w:val="4A7291"/>
        </w:rPr>
      </w:pPr>
      <w:r w:rsidRPr="00DD7BD1">
        <w:rPr>
          <w:rFonts w:ascii="Calibri" w:hAnsi="Calibri" w:cs="Calibri"/>
          <w:b/>
          <w:color w:val="4A7291"/>
        </w:rPr>
        <w:t>Background of the Case</w:t>
      </w:r>
    </w:p>
    <w:p w14:paraId="26527CD3" w14:textId="77777777" w:rsidR="001221BB" w:rsidRPr="00DD7BD1" w:rsidRDefault="001221BB" w:rsidP="001221BB">
      <w:pPr>
        <w:pStyle w:val="ParagraphBasic"/>
        <w:rPr>
          <w:rFonts w:ascii="Calibri" w:hAnsi="Calibri" w:cs="Calibri"/>
        </w:rPr>
      </w:pPr>
      <w:r w:rsidRPr="00DD7BD1">
        <w:rPr>
          <w:rFonts w:ascii="Calibri" w:hAnsi="Calibri" w:cs="Calibri"/>
        </w:rPr>
        <w:t>Title VII makes it unlawful for an employer “to fail or refuse to hire or to discharge any individual, or otherwise discriminate against any individual” with respect to “compensation, terms, conditions or privileges of employment” on 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DD7BD1" w:rsidRDefault="001221BB" w:rsidP="001221BB">
      <w:pPr>
        <w:pStyle w:val="ParagraphBasic"/>
        <w:rPr>
          <w:rFonts w:ascii="Calibri" w:hAnsi="Calibri" w:cs="Calibri"/>
        </w:rPr>
      </w:pPr>
      <w:r w:rsidRPr="00DD7BD1">
        <w:rPr>
          <w:rFonts w:ascii="Calibri" w:hAnsi="Calibri" w:cs="Calibri"/>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DD7BD1" w:rsidRDefault="001221BB" w:rsidP="001221BB">
      <w:pPr>
        <w:pStyle w:val="BList1"/>
        <w:numPr>
          <w:ilvl w:val="0"/>
          <w:numId w:val="0"/>
        </w:numPr>
        <w:spacing w:before="0" w:after="0" w:line="240" w:lineRule="auto"/>
        <w:jc w:val="center"/>
        <w:rPr>
          <w:rStyle w:val="CBold"/>
          <w:rFonts w:ascii="Calibri" w:eastAsia="Times New Roman" w:hAnsi="Calibri" w:cs="Calibri"/>
          <w:bCs/>
          <w:color w:val="auto"/>
          <w:kern w:val="36"/>
          <w:sz w:val="28"/>
          <w:szCs w:val="28"/>
        </w:rPr>
      </w:pPr>
      <w:r w:rsidRPr="00DD7BD1">
        <w:rPr>
          <w:rFonts w:ascii="Calibri" w:eastAsia="Times New Roman" w:hAnsi="Calibri" w:cs="Calibri"/>
          <w:b/>
          <w:bCs/>
          <w:kern w:val="36"/>
          <w:sz w:val="28"/>
          <w:szCs w:val="28"/>
        </w:rPr>
        <w:t>IRS Addresses Tax Treatment of Work-life Referral Services</w:t>
      </w:r>
    </w:p>
    <w:bookmarkEnd w:id="48"/>
    <w:p w14:paraId="51438610"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The IRS has issued </w:t>
      </w:r>
      <w:hyperlink r:id="rId431" w:history="1">
        <w:r w:rsidRPr="00DD7BD1">
          <w:rPr>
            <w:rStyle w:val="Hyperlink"/>
            <w:rFonts w:ascii="Calibri" w:hAnsi="Calibri" w:cs="Calibri"/>
          </w:rPr>
          <w:t>frequently asked questions</w:t>
        </w:r>
      </w:hyperlink>
      <w:r w:rsidRPr="00DD7BD1">
        <w:rPr>
          <w:rFonts w:ascii="Calibri" w:hAnsi="Calibri" w:cs="Calibri"/>
        </w:rPr>
        <w:t xml:space="preserve"> (FAQs) addressing the tax treatment of work-life referral (WLR) services employers provide through their benefits offerings to their employees. These FAQs provide that WLR services </w:t>
      </w:r>
      <w:r w:rsidRPr="00DD7BD1">
        <w:rPr>
          <w:rFonts w:ascii="Calibri" w:hAnsi="Calibri" w:cs="Calibri"/>
          <w:b/>
          <w:bCs/>
        </w:rPr>
        <w:t>qualify</w:t>
      </w:r>
      <w:r w:rsidRPr="00DD7BD1">
        <w:rPr>
          <w:rFonts w:ascii="Calibri" w:hAnsi="Calibri" w:cs="Calibri"/>
        </w:rPr>
        <w:t xml:space="preserve"> as a de minimis fringe benefit for tax purposes and </w:t>
      </w:r>
      <w:r w:rsidRPr="00DD7BD1">
        <w:rPr>
          <w:rFonts w:ascii="Calibri" w:hAnsi="Calibri" w:cs="Calibri"/>
          <w:b/>
          <w:bCs/>
        </w:rPr>
        <w:t>are thus</w:t>
      </w:r>
      <w:r w:rsidRPr="00DD7BD1">
        <w:rPr>
          <w:rFonts w:ascii="Calibri" w:hAnsi="Calibri" w:cs="Calibri"/>
        </w:rPr>
        <w:t xml:space="preserve"> </w:t>
      </w:r>
      <w:r w:rsidRPr="00DD7BD1">
        <w:rPr>
          <w:rFonts w:ascii="Calibri" w:hAnsi="Calibri" w:cs="Calibri"/>
          <w:b/>
          <w:bCs/>
          <w:u w:val="single"/>
        </w:rPr>
        <w:t>excluded</w:t>
      </w:r>
      <w:r w:rsidRPr="00DD7BD1">
        <w:rPr>
          <w:rFonts w:ascii="Calibri" w:hAnsi="Calibri" w:cs="Calibri"/>
          <w:b/>
          <w:bCs/>
        </w:rPr>
        <w:t xml:space="preserve"> from income and exempt from employment taxes.</w:t>
      </w:r>
    </w:p>
    <w:p w14:paraId="267AF033"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DD7BD1">
        <w:rPr>
          <w:rFonts w:ascii="Calibri" w:hAnsi="Calibri" w:cs="Calibri"/>
          <w:b/>
          <w:bCs/>
        </w:rPr>
        <w:t xml:space="preserve"> </w:t>
      </w:r>
    </w:p>
    <w:p w14:paraId="555DACF1" w14:textId="77777777" w:rsidR="001221BB" w:rsidRPr="00DD7BD1" w:rsidRDefault="001221BB" w:rsidP="001221BB">
      <w:pPr>
        <w:spacing w:after="0" w:line="240" w:lineRule="auto"/>
        <w:rPr>
          <w:rFonts w:ascii="Calibri" w:hAnsi="Calibri" w:cs="Calibri"/>
          <w:b/>
          <w:color w:val="4A7291"/>
          <w:sz w:val="16"/>
          <w:szCs w:val="16"/>
        </w:rPr>
      </w:pPr>
    </w:p>
    <w:p w14:paraId="05C08048"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WLR Services</w:t>
      </w:r>
    </w:p>
    <w:p w14:paraId="4505FEC2"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child care, using paid leave programs, navigating the health care system, and connecting with financial planning professionals. </w:t>
      </w:r>
    </w:p>
    <w:p w14:paraId="120B1F96"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actually utilize the WLR services. </w:t>
      </w:r>
    </w:p>
    <w:p w14:paraId="4FC77F6E" w14:textId="77777777" w:rsidR="001221BB" w:rsidRPr="00DD7BD1" w:rsidRDefault="001221BB" w:rsidP="001221BB">
      <w:pPr>
        <w:spacing w:after="0" w:line="240" w:lineRule="auto"/>
        <w:rPr>
          <w:rFonts w:ascii="Calibri" w:hAnsi="Calibri" w:cs="Calibri"/>
          <w:b/>
          <w:color w:val="4A7291"/>
          <w:sz w:val="16"/>
          <w:szCs w:val="16"/>
        </w:rPr>
      </w:pPr>
    </w:p>
    <w:p w14:paraId="337072CF"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Tax Treatment</w:t>
      </w:r>
    </w:p>
    <w:p w14:paraId="7BF12C7D"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The IRS’ FAQs provide that the use of employer-provided WLR services qualifies as a de minimis fringe benefit that is excluded from an employee’s gross income and is not subject to employment taxes (such as FICA, FUTA and income tax withholding). </w:t>
      </w:r>
    </w:p>
    <w:p w14:paraId="05A0FB7E" w14:textId="77777777" w:rsidR="001221BB" w:rsidRPr="00DD7BD1" w:rsidRDefault="001221BB" w:rsidP="001221BB">
      <w:pPr>
        <w:pStyle w:val="ParagraphBasic"/>
        <w:spacing w:after="0" w:line="240" w:lineRule="auto"/>
        <w:rPr>
          <w:rFonts w:ascii="Calibri" w:hAnsi="Calibri" w:cs="Calibri"/>
        </w:rPr>
      </w:pPr>
    </w:p>
    <w:p w14:paraId="5A73A0D1" w14:textId="3C681AA9"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Employers are encouraged to seek answers to any related questions from their tax advisors.</w:t>
      </w:r>
    </w:p>
    <w:p w14:paraId="68778956" w14:textId="77777777" w:rsidR="00CD70B8" w:rsidRPr="00DD7BD1" w:rsidRDefault="00CD70B8" w:rsidP="00503F70">
      <w:pPr>
        <w:pStyle w:val="NormalWeb"/>
        <w:spacing w:before="0" w:beforeAutospacing="0" w:after="0" w:afterAutospacing="0"/>
        <w:rPr>
          <w:rFonts w:ascii="Calibri" w:hAnsi="Calibri" w:cs="Calibri"/>
          <w:b/>
          <w:bCs/>
          <w:sz w:val="22"/>
          <w:szCs w:val="22"/>
        </w:rPr>
      </w:pPr>
    </w:p>
    <w:p w14:paraId="344FE22E" w14:textId="732EE0EB" w:rsidR="00FD0A5D" w:rsidRPr="00DD7BD1" w:rsidRDefault="00FD0A5D" w:rsidP="00FD0A5D">
      <w:pPr>
        <w:pStyle w:val="NormalWeb"/>
        <w:spacing w:before="0" w:beforeAutospacing="0" w:after="0" w:afterAutospacing="0"/>
        <w:jc w:val="center"/>
        <w:rPr>
          <w:rFonts w:ascii="Calibri" w:hAnsi="Calibri" w:cs="Calibri"/>
          <w:sz w:val="22"/>
          <w:szCs w:val="22"/>
        </w:rPr>
      </w:pPr>
      <w:r w:rsidRPr="00DD7BD1">
        <w:rPr>
          <w:rFonts w:ascii="Calibri" w:hAnsi="Calibri" w:cs="Calibri"/>
          <w:b/>
          <w:bCs/>
          <w:sz w:val="28"/>
          <w:szCs w:val="28"/>
        </w:rPr>
        <w:t>Pregnant Workers Fairness Act – Final Regulations Published</w:t>
      </w:r>
    </w:p>
    <w:p w14:paraId="77A4CC2F" w14:textId="77777777" w:rsidR="00FD0A5D" w:rsidRPr="00DD7BD1" w:rsidRDefault="00FD0A5D" w:rsidP="00FD0A5D">
      <w:pPr>
        <w:pStyle w:val="Highlight"/>
        <w:rPr>
          <w:rFonts w:ascii="Calibri" w:hAnsi="Calibri" w:cs="Calibri"/>
          <w:b/>
        </w:rPr>
      </w:pPr>
      <w:r w:rsidRPr="00DD7BD1">
        <w:rPr>
          <w:rFonts w:ascii="Calibri" w:eastAsia="Times New Roman" w:hAnsi="Calibri" w:cs="Calibri"/>
          <w:color w:val="282828"/>
        </w:rPr>
        <w:t>The </w:t>
      </w:r>
      <w:hyperlink r:id="rId432" w:tgtFrame="_blank" w:history="1">
        <w:r w:rsidRPr="00DD7BD1">
          <w:rPr>
            <w:rFonts w:ascii="Calibri" w:eastAsia="Times New Roman" w:hAnsi="Calibri" w:cs="Calibri"/>
            <w:color w:val="1155CC"/>
            <w:u w:val="single"/>
          </w:rPr>
          <w:t>final rule</w:t>
        </w:r>
      </w:hyperlink>
      <w:r w:rsidRPr="00DD7BD1">
        <w:rPr>
          <w:rFonts w:ascii="Calibri" w:eastAsia="Times New Roman" w:hAnsi="Calibri" w:cs="Calibri"/>
          <w:color w:val="282828"/>
        </w:rPr>
        <w:t> </w:t>
      </w:r>
      <w:r w:rsidRPr="00DD7BD1">
        <w:rPr>
          <w:rFonts w:ascii="Calibri" w:eastAsia="Times New Roman" w:hAnsi="Calibri" w:cs="Calibri"/>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DD7BD1" w:rsidRDefault="00FD0A5D" w:rsidP="00FD0A5D">
      <w:pPr>
        <w:pStyle w:val="BodyText"/>
        <w:rPr>
          <w:rFonts w:cs="Calibri"/>
          <w:color w:val="auto"/>
          <w:szCs w:val="22"/>
        </w:rPr>
      </w:pPr>
      <w:r w:rsidRPr="00DD7BD1">
        <w:rPr>
          <w:rFonts w:cs="Calibri"/>
          <w:b/>
          <w:bCs/>
          <w:color w:val="auto"/>
          <w:highlight w:val="lightGray"/>
        </w:rPr>
        <w:t>Employer Take Aways:</w:t>
      </w:r>
      <w:r w:rsidRPr="00DD7BD1">
        <w:rPr>
          <w:rFonts w:cs="Calibri"/>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are in compliance with their obligations under the PWFA. </w:t>
      </w:r>
    </w:p>
    <w:p w14:paraId="38F36CB2"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Make sure your policy addressing the PWFA accurately reflects the regulations. You should also educate your managers (and anyone else likely to receive a request) on the </w:t>
      </w:r>
      <w:r w:rsidRPr="00DD7BD1">
        <w:rPr>
          <w:rFonts w:ascii="Calibri" w:eastAsia="Times New Roman" w:hAnsi="Calibri" w:cs="Calibri"/>
          <w:i/>
          <w:iCs/>
        </w:rPr>
        <w:t>presumptively reasonable</w:t>
      </w:r>
      <w:r w:rsidRPr="00DD7BD1">
        <w:rPr>
          <w:rFonts w:ascii="Calibri" w:eastAsia="Times New Roman" w:hAnsi="Calibri" w:cs="Calibri"/>
        </w:rPr>
        <w:t> accommodations, the 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DD7BD1" w:rsidRDefault="00FD0A5D">
      <w:pPr>
        <w:pStyle w:val="ListParagraph"/>
        <w:numPr>
          <w:ilvl w:val="0"/>
          <w:numId w:val="43"/>
        </w:numPr>
        <w:shd w:val="clear" w:color="auto" w:fill="FFFFFF"/>
        <w:spacing w:after="0" w:line="240" w:lineRule="auto"/>
        <w:rPr>
          <w:rFonts w:ascii="Calibri" w:hAnsi="Calibri" w:cs="Calibri"/>
          <w:noProof/>
        </w:rPr>
      </w:pPr>
      <w:r w:rsidRPr="00DD7BD1">
        <w:rPr>
          <w:rFonts w:ascii="Calibri" w:hAnsi="Calibri" w:cs="Calibri"/>
          <w:noProof/>
        </w:rPr>
        <w:t xml:space="preserve">EEOC </w:t>
      </w:r>
      <w:hyperlink r:id="rId433" w:history="1">
        <w:r w:rsidRPr="00DD7BD1">
          <w:rPr>
            <w:rStyle w:val="Hyperlink"/>
            <w:rFonts w:ascii="Calibri" w:hAnsi="Calibri" w:cs="Calibri"/>
            <w:noProof/>
          </w:rPr>
          <w:t>FAQs</w:t>
        </w:r>
      </w:hyperlink>
      <w:r w:rsidRPr="00DD7BD1">
        <w:rPr>
          <w:rStyle w:val="Hyperlink"/>
          <w:rFonts w:ascii="Calibri" w:hAnsi="Calibri" w:cs="Calibri"/>
          <w:noProof/>
        </w:rPr>
        <w:t xml:space="preserve"> - </w:t>
      </w:r>
      <w:r w:rsidRPr="00DD7BD1">
        <w:rPr>
          <w:rFonts w:ascii="Calibri" w:hAnsi="Calibri" w:cs="Calibri"/>
          <w:noProof/>
        </w:rPr>
        <w:t>What You Should Know About the Pregnant Workers Fairness Act</w:t>
      </w:r>
    </w:p>
    <w:p w14:paraId="59C56ED1" w14:textId="77777777" w:rsidR="00FD0A5D" w:rsidRPr="00DD7BD1" w:rsidRDefault="00FD0A5D">
      <w:pPr>
        <w:pStyle w:val="ListParagraph"/>
        <w:numPr>
          <w:ilvl w:val="0"/>
          <w:numId w:val="43"/>
        </w:numPr>
        <w:shd w:val="clear" w:color="auto" w:fill="FFFFFF"/>
        <w:spacing w:after="0" w:line="240" w:lineRule="auto"/>
        <w:rPr>
          <w:rStyle w:val="Hyperlink"/>
          <w:rFonts w:ascii="Calibri" w:hAnsi="Calibri" w:cs="Calibri"/>
          <w:noProof/>
        </w:rPr>
      </w:pPr>
      <w:r w:rsidRPr="00DD7BD1">
        <w:rPr>
          <w:rFonts w:ascii="Calibri" w:hAnsi="Calibri" w:cs="Calibri"/>
          <w:noProof/>
        </w:rPr>
        <w:t xml:space="preserve">EEOC </w:t>
      </w:r>
      <w:hyperlink r:id="rId434" w:history="1">
        <w:r w:rsidRPr="00DD7BD1">
          <w:rPr>
            <w:rStyle w:val="Hyperlink"/>
            <w:rFonts w:ascii="Calibri" w:hAnsi="Calibri" w:cs="Calibri"/>
            <w:noProof/>
          </w:rPr>
          <w:t>Overview</w:t>
        </w:r>
      </w:hyperlink>
      <w:r w:rsidRPr="00DD7BD1">
        <w:rPr>
          <w:rStyle w:val="Hyperlink"/>
          <w:rFonts w:ascii="Calibri" w:hAnsi="Calibri" w:cs="Calibri"/>
          <w:noProof/>
        </w:rPr>
        <w:t xml:space="preserve"> - </w:t>
      </w:r>
      <w:r w:rsidRPr="00DD7BD1">
        <w:rPr>
          <w:rFonts w:ascii="Calibri" w:hAnsi="Calibri" w:cs="Calibri"/>
          <w:noProof/>
        </w:rPr>
        <w:t>Pregnancy Discrimination and Pregnancy-Related Disability Discrimination</w:t>
      </w:r>
    </w:p>
    <w:p w14:paraId="06392C42" w14:textId="77777777" w:rsidR="00FD0A5D" w:rsidRPr="00DD7BD1" w:rsidRDefault="00FD0A5D">
      <w:pPr>
        <w:pStyle w:val="ListParagraph"/>
        <w:numPr>
          <w:ilvl w:val="0"/>
          <w:numId w:val="43"/>
        </w:numPr>
        <w:shd w:val="clear" w:color="auto" w:fill="FFFFFF"/>
        <w:spacing w:after="0" w:line="240" w:lineRule="auto"/>
        <w:rPr>
          <w:rFonts w:ascii="Calibri" w:eastAsia="Times New Roman" w:hAnsi="Calibri" w:cs="Calibri"/>
          <w:color w:val="282828"/>
        </w:rPr>
      </w:pPr>
      <w:r w:rsidRPr="00DD7BD1">
        <w:rPr>
          <w:rFonts w:ascii="Calibri" w:hAnsi="Calibri" w:cs="Calibri"/>
          <w:noProof/>
        </w:rPr>
        <w:t xml:space="preserve">EEOC </w:t>
      </w:r>
      <w:hyperlink r:id="rId435" w:history="1">
        <w:r w:rsidRPr="00DD7BD1">
          <w:rPr>
            <w:rStyle w:val="Hyperlink"/>
            <w:rFonts w:ascii="Calibri" w:hAnsi="Calibri" w:cs="Calibri"/>
            <w:noProof/>
          </w:rPr>
          <w:t>Summary</w:t>
        </w:r>
      </w:hyperlink>
      <w:r w:rsidRPr="00DD7BD1">
        <w:rPr>
          <w:rStyle w:val="Hyperlink"/>
          <w:rFonts w:ascii="Calibri" w:hAnsi="Calibri" w:cs="Calibri"/>
          <w:noProof/>
        </w:rPr>
        <w:t xml:space="preserve"> - </w:t>
      </w:r>
      <w:r w:rsidRPr="00DD7BD1">
        <w:rPr>
          <w:rFonts w:ascii="Calibri" w:hAnsi="Calibri" w:cs="Calibri"/>
          <w:noProof/>
        </w:rPr>
        <w:t>Key Provisions of the EEOC’s Final Rule to Implement the Pregnant Workers Fairness Act</w:t>
      </w:r>
    </w:p>
    <w:p w14:paraId="5A639BC5" w14:textId="77777777" w:rsidR="00FD0A5D" w:rsidRPr="00DD7BD1" w:rsidRDefault="00FD0A5D" w:rsidP="00FD0A5D">
      <w:pPr>
        <w:shd w:val="clear" w:color="auto" w:fill="FFFFFF"/>
        <w:spacing w:after="0" w:line="240" w:lineRule="auto"/>
        <w:rPr>
          <w:rFonts w:ascii="Calibri" w:eastAsia="Times New Roman" w:hAnsi="Calibri" w:cs="Calibri"/>
          <w:b/>
          <w:bCs/>
          <w:color w:val="282828"/>
          <w:sz w:val="16"/>
          <w:szCs w:val="16"/>
          <w:highlight w:val="lightGray"/>
        </w:rPr>
      </w:pPr>
    </w:p>
    <w:p w14:paraId="3A5BAC75"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Learn More:</w:t>
      </w:r>
    </w:p>
    <w:p w14:paraId="69F3E0D0"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rPr>
        <w:t>Below are some key takeaways to be aware of even if you expect to accommodate most requests:</w:t>
      </w:r>
    </w:p>
    <w:p w14:paraId="4C04835F"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430BE5C"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Some Accommodations Are Presumptively Reasonable</w:t>
      </w:r>
      <w:r w:rsidRPr="00DD7BD1">
        <w:rPr>
          <w:rFonts w:ascii="Calibri" w:eastAsia="Times New Roman" w:hAnsi="Calibri" w:cs="Calibri"/>
        </w:rPr>
        <w:br/>
        <w:t>The following accommodations for pregnant employees are presumed to be reasonable, meaning an employer will need an </w:t>
      </w:r>
      <w:r w:rsidRPr="00DD7BD1">
        <w:rPr>
          <w:rFonts w:ascii="Calibri" w:eastAsia="Times New Roman" w:hAnsi="Calibri" w:cs="Calibri"/>
          <w:i/>
          <w:iCs/>
        </w:rPr>
        <w:t>exceptionally</w:t>
      </w:r>
      <w:r w:rsidRPr="00DD7BD1">
        <w:rPr>
          <w:rFonts w:ascii="Calibri" w:eastAsia="Times New Roman" w:hAnsi="Calibri" w:cs="Calibri"/>
        </w:rPr>
        <w:t> good rationale for denying them based on undue hardship:</w:t>
      </w:r>
    </w:p>
    <w:p w14:paraId="3D03AA03"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carry or keep water near and drink, as needed</w:t>
      </w:r>
    </w:p>
    <w:p w14:paraId="509DFFB8"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additional restroom breaks, as needed</w:t>
      </w:r>
    </w:p>
    <w:p w14:paraId="58680C62"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whose work requires standing to sit and whose work requires sitting to stand, as needed</w:t>
      </w:r>
    </w:p>
    <w:p w14:paraId="2AB003F0"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breaks to eat and drink, as needed</w:t>
      </w:r>
    </w:p>
    <w:p w14:paraId="3D93DD1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DD7BD1">
        <w:rPr>
          <w:rFonts w:ascii="Calibri" w:eastAsia="Times New Roman" w:hAnsi="Calibri" w:cs="Calibri"/>
          <w:i/>
          <w:iCs/>
        </w:rPr>
        <w:t>do</w:t>
      </w:r>
      <w:r w:rsidRPr="00DD7BD1">
        <w:rPr>
          <w:rFonts w:ascii="Calibri" w:eastAsia="Times New Roman" w:hAnsi="Calibri" w:cs="Calibri"/>
        </w:rPr>
        <w:t> create an undue hardship, we recommend speaking with an attorney before denying them.</w:t>
      </w:r>
    </w:p>
    <w:p w14:paraId="6C957918"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3D53815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Requests for Documentation Are Limited</w:t>
      </w:r>
      <w:r w:rsidRPr="00DD7BD1">
        <w:rPr>
          <w:rFonts w:ascii="Calibri" w:eastAsia="Times New Roman" w:hAnsi="Calibri" w:cs="Calibri"/>
        </w:rPr>
        <w:br/>
        <w:t>Employers can only ask for documentation to support a request for accommodation when it’s </w:t>
      </w:r>
      <w:r w:rsidRPr="00DD7BD1">
        <w:rPr>
          <w:rFonts w:ascii="Calibri" w:eastAsia="Times New Roman" w:hAnsi="Calibri" w:cs="Calibri"/>
          <w:i/>
          <w:iCs/>
        </w:rPr>
        <w:t>reasonable under the circumstances</w:t>
      </w:r>
      <w:r w:rsidRPr="00DD7BD1">
        <w:rPr>
          <w:rFonts w:ascii="Calibri" w:eastAsia="Times New Roman" w:hAnsi="Calibri" w:cs="Calibri"/>
        </w:rPr>
        <w:t>. Blanket policies that automatically require documentation aren’t permitted.</w:t>
      </w:r>
    </w:p>
    <w:p w14:paraId="47957E3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In the following situations, seeking supporting documentation is considered unreasonable and </w:t>
      </w:r>
      <w:r w:rsidRPr="00DD7BD1">
        <w:rPr>
          <w:rFonts w:ascii="Calibri" w:eastAsia="Times New Roman" w:hAnsi="Calibri" w:cs="Calibri"/>
          <w:i/>
          <w:iCs/>
        </w:rPr>
        <w:t>isn’t allowed</w:t>
      </w:r>
      <w:r w:rsidRPr="00DD7BD1">
        <w:rPr>
          <w:rFonts w:ascii="Calibri" w:eastAsia="Times New Roman" w:hAnsi="Calibri" w:cs="Calibri"/>
        </w:rPr>
        <w:t>:</w:t>
      </w:r>
    </w:p>
    <w:p w14:paraId="4D179969"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limitation and accommodation needed are obvious</w:t>
      </w:r>
    </w:p>
    <w:p w14:paraId="1D65290A"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employer already has sufficient information to determine that the employee has a limitation and needs an accommodation because of it</w:t>
      </w:r>
    </w:p>
    <w:p w14:paraId="4CE41A95"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a pregnant employee requests one of the presumptively reasonable accommodations listed in the section above</w:t>
      </w:r>
    </w:p>
    <w:p w14:paraId="65DC9793"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employee requests an accommodation related to pumping at work (or nursing, if feasible)</w:t>
      </w:r>
    </w:p>
    <w:p w14:paraId="5AAFCD40"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requested accommodation is available to employees with a non-PWFA limitation </w:t>
      </w:r>
      <w:r w:rsidRPr="00DD7BD1">
        <w:rPr>
          <w:rFonts w:ascii="Calibri" w:eastAsia="Times New Roman" w:hAnsi="Calibri" w:cs="Calibri"/>
          <w:i/>
          <w:iCs/>
        </w:rPr>
        <w:t>without</w:t>
      </w:r>
      <w:r w:rsidRPr="00DD7BD1">
        <w:rPr>
          <w:rFonts w:ascii="Calibri" w:eastAsia="Times New Roman" w:hAnsi="Calibri" w:cs="Calibri"/>
        </w:rPr>
        <w:t> providing documentation</w:t>
      </w:r>
    </w:p>
    <w:p w14:paraId="2561EAD7"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When collecting documentation </w:t>
      </w:r>
      <w:r w:rsidRPr="00DD7BD1">
        <w:rPr>
          <w:rFonts w:ascii="Calibri" w:eastAsia="Times New Roman" w:hAnsi="Calibri" w:cs="Calibri"/>
          <w:i/>
          <w:iCs/>
        </w:rPr>
        <w:t>is</w:t>
      </w:r>
      <w:r w:rsidRPr="00DD7BD1">
        <w:rPr>
          <w:rFonts w:ascii="Calibri" w:eastAsia="Times New Roman" w:hAnsi="Calibri" w:cs="Calibri"/>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27176D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The Definitions Are Broad (and Might Surprise You)</w:t>
      </w:r>
      <w:r w:rsidRPr="00DD7BD1">
        <w:rPr>
          <w:rFonts w:ascii="Calibri" w:eastAsia="Times New Roman" w:hAnsi="Calibri" w:cs="Calibri"/>
        </w:rPr>
        <w:br/>
      </w:r>
      <w:r w:rsidRPr="00DD7BD1">
        <w:rPr>
          <w:rFonts w:ascii="Calibri" w:eastAsia="Times New Roman" w:hAnsi="Calibri" w:cs="Calibri"/>
          <w:i/>
          <w:iCs/>
          <w:u w:val="single"/>
        </w:rPr>
        <w:t>Known limitations</w:t>
      </w:r>
      <w:r w:rsidRPr="00DD7BD1">
        <w:rPr>
          <w:rFonts w:ascii="Calibri" w:eastAsia="Times New Roman" w:hAnsi="Calibri" w:cs="Calibri"/>
        </w:rPr>
        <w:t> that must be accommodated can be modest, minor, or episodic and don’t need to rise to the level of a disability—they also include medical care, meaning you need to allow time off for appointments. </w:t>
      </w:r>
      <w:r w:rsidRPr="00DD7BD1">
        <w:rPr>
          <w:rFonts w:ascii="Calibri" w:eastAsia="Times New Roman" w:hAnsi="Calibri" w:cs="Calibri"/>
          <w:i/>
          <w:iCs/>
        </w:rPr>
        <w:t>Pregnancy and childbirth</w:t>
      </w:r>
      <w:r w:rsidRPr="00DD7BD1">
        <w:rPr>
          <w:rFonts w:ascii="Calibri" w:eastAsia="Times New Roman" w:hAnsi="Calibri" w:cs="Calibri"/>
        </w:rPr>
        <w:t> include (among other things) infertility, fertility treatment, and the use of contraception. And </w:t>
      </w:r>
      <w:r w:rsidRPr="00DD7BD1">
        <w:rPr>
          <w:rFonts w:ascii="Calibri" w:eastAsia="Times New Roman" w:hAnsi="Calibri" w:cs="Calibri"/>
          <w:i/>
          <w:iCs/>
        </w:rPr>
        <w:t>related medical conditions</w:t>
      </w:r>
      <w:r w:rsidRPr="00DD7BD1">
        <w:rPr>
          <w:rFonts w:ascii="Calibri" w:eastAsia="Times New Roman" w:hAnsi="Calibri" w:cs="Calibri"/>
        </w:rPr>
        <w:t> (among </w:t>
      </w:r>
      <w:r w:rsidRPr="00DD7BD1">
        <w:rPr>
          <w:rFonts w:ascii="Calibri" w:eastAsia="Times New Roman" w:hAnsi="Calibri" w:cs="Calibri"/>
          <w:i/>
          <w:iCs/>
        </w:rPr>
        <w:t>many</w:t>
      </w:r>
      <w:r w:rsidRPr="00DD7BD1">
        <w:rPr>
          <w:rFonts w:ascii="Calibri" w:eastAsia="Times New Roman" w:hAnsi="Calibri" w:cs="Calibri"/>
        </w:rPr>
        <w:t> other things) include termination of pregnancy, including by miscarriage, stillbirth, or abortion.</w:t>
      </w:r>
    </w:p>
    <w:p w14:paraId="35E8E814"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431C162A"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Employers Can’t Require “Magic Words” or Special Forms</w:t>
      </w:r>
      <w:r w:rsidRPr="00DD7BD1">
        <w:rPr>
          <w:rFonts w:ascii="Calibri" w:eastAsia="Times New Roman" w:hAnsi="Calibri" w:cs="Calibri"/>
        </w:rPr>
        <w:br/>
        <w:t>An employee’s request for accommodation can be made orally, in writing, or by any other effective means. Employers can’t require that it be in a specific format or use specific language for them to acknowledge the request. Employers also can’t require that supporting documentation be on a specific form.</w:t>
      </w:r>
    </w:p>
    <w:p w14:paraId="278B2D5D"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3A461FC" w14:textId="79522C82"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Accommodations Should Be Provided Without Delay</w:t>
      </w:r>
      <w:r w:rsidRPr="00DD7BD1">
        <w:rPr>
          <w:rFonts w:ascii="Calibri" w:eastAsia="Times New Roman" w:hAnsi="Calibri" w:cs="Calibri"/>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7A24FF" w14:textId="57FCB999"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Webcast: Reasonable Accommodation: A Deeper Dive into the Interactive Process under the ADA and Title VII</w:t>
      </w:r>
    </w:p>
    <w:p w14:paraId="33EA29A6" w14:textId="77777777" w:rsidR="00275725" w:rsidRPr="00DD7BD1" w:rsidRDefault="00275725" w:rsidP="00275725">
      <w:pPr>
        <w:pStyle w:val="Heading1"/>
        <w:spacing w:before="0" w:beforeAutospacing="0" w:after="0" w:afterAutospacing="0"/>
        <w:rPr>
          <w:rFonts w:ascii="Calibri" w:hAnsi="Calibri" w:cs="Calibri"/>
          <w:b w:val="0"/>
          <w:bCs w:val="0"/>
          <w:color w:val="000000"/>
          <w:sz w:val="22"/>
          <w:szCs w:val="22"/>
        </w:rPr>
      </w:pPr>
      <w:r w:rsidRPr="00DD7BD1">
        <w:rPr>
          <w:rFonts w:ascii="Calibri" w:hAnsi="Calibri" w:cs="Calibri"/>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  Access the March 21</w:t>
      </w:r>
      <w:r w:rsidRPr="00DD7BD1">
        <w:rPr>
          <w:rFonts w:ascii="Calibri" w:hAnsi="Calibri" w:cs="Calibri"/>
          <w:b w:val="0"/>
          <w:bCs w:val="0"/>
          <w:color w:val="000000"/>
          <w:sz w:val="22"/>
          <w:szCs w:val="22"/>
          <w:vertAlign w:val="superscript"/>
        </w:rPr>
        <w:t>st</w:t>
      </w:r>
      <w:r w:rsidRPr="00DD7BD1">
        <w:rPr>
          <w:rFonts w:ascii="Calibri" w:hAnsi="Calibri" w:cs="Calibri"/>
          <w:b w:val="0"/>
          <w:bCs w:val="0"/>
          <w:color w:val="000000"/>
          <w:sz w:val="22"/>
          <w:szCs w:val="22"/>
        </w:rPr>
        <w:t xml:space="preserve"> recording, click </w:t>
      </w:r>
      <w:hyperlink r:id="rId436" w:tgtFrame="_blank" w:history="1">
        <w:r w:rsidRPr="00DD7BD1">
          <w:rPr>
            <w:rStyle w:val="Hyperlink"/>
            <w:rFonts w:ascii="Calibri" w:eastAsiaTheme="minorHAnsi" w:hAnsi="Calibri" w:cs="Calibri"/>
            <w:b w:val="0"/>
            <w:bCs w:val="0"/>
            <w:kern w:val="0"/>
            <w:sz w:val="22"/>
            <w:szCs w:val="22"/>
          </w:rPr>
          <w:t>here</w:t>
        </w:r>
      </w:hyperlink>
    </w:p>
    <w:p w14:paraId="394C8512"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99CD1E"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CDC Issues New COVID-Related Guidance</w:t>
      </w:r>
    </w:p>
    <w:p w14:paraId="3CC338C3" w14:textId="27ADF780" w:rsidR="00275725" w:rsidRPr="00DD7BD1" w:rsidRDefault="00275725" w:rsidP="00275725">
      <w:pPr>
        <w:pStyle w:val="BodyText"/>
        <w:spacing w:after="0" w:line="240" w:lineRule="auto"/>
        <w:ind w:right="360"/>
        <w:rPr>
          <w:rFonts w:cs="Calibri"/>
          <w:color w:val="auto"/>
          <w:sz w:val="23"/>
          <w:szCs w:val="23"/>
          <w:shd w:val="clear" w:color="auto" w:fill="FFFFFF"/>
        </w:rPr>
      </w:pPr>
      <w:r w:rsidRPr="00DD7BD1">
        <w:rPr>
          <w:rFonts w:cs="Calibri"/>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Pr="00DD7BD1" w:rsidRDefault="00275725" w:rsidP="00427CA7">
      <w:pPr>
        <w:pStyle w:val="BodyText"/>
        <w:spacing w:after="0" w:line="240" w:lineRule="auto"/>
        <w:ind w:right="360"/>
        <w:rPr>
          <w:rFonts w:cs="Calibri"/>
          <w:color w:val="auto"/>
          <w:sz w:val="23"/>
          <w:szCs w:val="23"/>
          <w:shd w:val="clear" w:color="auto" w:fill="FFFFFF"/>
        </w:rPr>
      </w:pPr>
      <w:r w:rsidRPr="00DD7BD1">
        <w:rPr>
          <w:rFonts w:cs="Calibri"/>
          <w:b/>
          <w:bCs/>
          <w:color w:val="auto"/>
          <w:szCs w:val="22"/>
          <w:highlight w:val="lightGray"/>
        </w:rPr>
        <w:t>Employer Takeaway</w:t>
      </w:r>
      <w:r w:rsidRPr="00DD7BD1">
        <w:rPr>
          <w:rFonts w:cs="Calibri"/>
          <w:b/>
          <w:bCs/>
          <w:szCs w:val="22"/>
          <w:highlight w:val="lightGray"/>
        </w:rPr>
        <w:t>:</w:t>
      </w:r>
      <w:r w:rsidRPr="00DD7BD1">
        <w:rPr>
          <w:rFonts w:cs="Calibri"/>
          <w:b/>
          <w:bCs/>
        </w:rPr>
        <w:t xml:space="preserve"> </w:t>
      </w:r>
      <w:r w:rsidRPr="00DD7BD1">
        <w:rPr>
          <w:rFonts w:cs="Calibri"/>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DD7BD1" w:rsidRDefault="00427CA7" w:rsidP="00427CA7">
      <w:pPr>
        <w:pStyle w:val="BodyText"/>
        <w:spacing w:after="0" w:line="240" w:lineRule="auto"/>
        <w:ind w:right="360"/>
        <w:rPr>
          <w:rFonts w:cs="Calibri"/>
          <w:color w:val="auto"/>
          <w:sz w:val="16"/>
          <w:szCs w:val="16"/>
          <w:shd w:val="clear" w:color="auto" w:fill="FFFFFF"/>
        </w:rPr>
      </w:pPr>
    </w:p>
    <w:p w14:paraId="5FA06D1B" w14:textId="77777777" w:rsidR="00275725" w:rsidRPr="00DD7BD1" w:rsidRDefault="00275725" w:rsidP="00275725">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Employers Should Monitor Both Pro &amp; Anti DEI Court Challenges &amp;  Legislation</w:t>
      </w:r>
    </w:p>
    <w:p w14:paraId="28869534" w14:textId="77777777" w:rsidR="00275725" w:rsidRPr="00DD7BD1" w:rsidRDefault="00275725" w:rsidP="00275725">
      <w:pPr>
        <w:shd w:val="clear" w:color="auto" w:fill="FFFFFF"/>
        <w:spacing w:after="0" w:line="240" w:lineRule="auto"/>
        <w:jc w:val="both"/>
        <w:rPr>
          <w:rFonts w:ascii="Calibri" w:eastAsia="Times New Roman" w:hAnsi="Calibri" w:cs="Calibri"/>
          <w:b/>
          <w:bCs/>
          <w:spacing w:val="3"/>
        </w:rPr>
      </w:pPr>
      <w:r w:rsidRPr="00DD7BD1">
        <w:rPr>
          <w:rFonts w:ascii="Calibri" w:eastAsia="Times New Roman" w:hAnsi="Calibri" w:cs="Calibri"/>
          <w:b/>
          <w:bCs/>
          <w:spacing w:val="3"/>
        </w:rPr>
        <w:t>Key Takeaways</w:t>
      </w:r>
    </w:p>
    <w:p w14:paraId="4E16B10D"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State legislators on both sides of the aisle have passed bills and introduced others to either pare back or promote DEI initiatives.</w:t>
      </w:r>
    </w:p>
    <w:p w14:paraId="55F3B84A" w14:textId="26E48423"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DD7BD1" w:rsidRDefault="00275725" w:rsidP="00275725">
      <w:pPr>
        <w:pStyle w:val="Heading2"/>
        <w:shd w:val="clear" w:color="auto" w:fill="FFFFFF"/>
        <w:spacing w:before="0" w:line="240" w:lineRule="auto"/>
        <w:jc w:val="both"/>
        <w:rPr>
          <w:rFonts w:ascii="Calibri" w:hAnsi="Calibri" w:cs="Calibri"/>
          <w:b/>
          <w:bCs/>
          <w:color w:val="auto"/>
          <w:spacing w:val="3"/>
          <w:sz w:val="22"/>
          <w:szCs w:val="22"/>
        </w:rPr>
      </w:pPr>
      <w:r w:rsidRPr="00DD7BD1">
        <w:rPr>
          <w:rFonts w:ascii="Calibri" w:hAnsi="Calibri" w:cs="Calibri"/>
          <w:b/>
          <w:bCs/>
          <w:color w:val="auto"/>
          <w:spacing w:val="3"/>
          <w:sz w:val="22"/>
          <w:szCs w:val="22"/>
        </w:rPr>
        <w:t>State Legislation Relating to DEI Initiatives</w:t>
      </w:r>
    </w:p>
    <w:p w14:paraId="338034F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Most recently, on March 20, 2024, the governor of </w:t>
      </w:r>
      <w:r w:rsidRPr="00DD7BD1">
        <w:rPr>
          <w:rFonts w:ascii="Calibri" w:hAnsi="Calibri" w:cs="Calibri"/>
          <w:b/>
          <w:bCs/>
          <w:spacing w:val="3"/>
          <w:sz w:val="22"/>
          <w:szCs w:val="22"/>
        </w:rPr>
        <w:t>Alabama</w:t>
      </w:r>
      <w:r w:rsidRPr="00DD7BD1">
        <w:rPr>
          <w:rFonts w:ascii="Calibri" w:hAnsi="Calibri" w:cs="Calibri"/>
          <w:spacing w:val="3"/>
          <w:sz w:val="22"/>
          <w:szCs w:val="22"/>
        </w:rPr>
        <w:t xml:space="preserve"> signed </w:t>
      </w:r>
      <w:hyperlink r:id="rId437" w:history="1">
        <w:r w:rsidRPr="00DD7BD1">
          <w:rPr>
            <w:rStyle w:val="Hyperlink"/>
            <w:rFonts w:ascii="Calibri" w:eastAsiaTheme="minorHAnsi" w:hAnsi="Calibri" w:cs="Calibri"/>
            <w:sz w:val="22"/>
            <w:szCs w:val="22"/>
          </w:rPr>
          <w:t>Senate Bill (SB) 129</w:t>
        </w:r>
      </w:hyperlink>
      <w:r w:rsidRPr="00DD7BD1">
        <w:rPr>
          <w:rFonts w:ascii="Calibri" w:hAnsi="Calibri" w:cs="Calibri"/>
          <w:color w:val="292929"/>
          <w:spacing w:val="3"/>
          <w:sz w:val="22"/>
          <w:szCs w:val="22"/>
        </w:rPr>
        <w:t> </w:t>
      </w:r>
      <w:r w:rsidRPr="00DD7BD1">
        <w:rPr>
          <w:rFonts w:ascii="Calibri" w:hAnsi="Calibri" w:cs="Calibri"/>
          <w:spacing w:val="3"/>
          <w:sz w:val="22"/>
          <w:szCs w:val="22"/>
        </w:rPr>
        <w:t>into law, a sweeping measure that prohibits state agencies and schools from sponsoring DEI programs or requiring their employees or students to participate in them. Meanwhile, </w:t>
      </w:r>
      <w:r w:rsidRPr="00DD7BD1">
        <w:rPr>
          <w:rFonts w:ascii="Calibri" w:hAnsi="Calibri" w:cs="Calibri"/>
          <w:b/>
          <w:bCs/>
          <w:spacing w:val="3"/>
          <w:sz w:val="22"/>
          <w:szCs w:val="22"/>
        </w:rPr>
        <w:t>Utah</w:t>
      </w:r>
      <w:r w:rsidRPr="00DD7BD1">
        <w:rPr>
          <w:rFonts w:ascii="Calibri" w:hAnsi="Calibri" w:cs="Calibri"/>
          <w:spacing w:val="3"/>
          <w:sz w:val="22"/>
          <w:szCs w:val="22"/>
        </w:rPr>
        <w:t>’s governor signed into law </w:t>
      </w:r>
      <w:hyperlink r:id="rId438" w:tgtFrame="_blank" w:history="1">
        <w:r w:rsidRPr="00DD7BD1">
          <w:rPr>
            <w:rStyle w:val="Hyperlink"/>
            <w:rFonts w:ascii="Calibri" w:eastAsiaTheme="minorHAnsi" w:hAnsi="Calibri" w:cs="Calibri"/>
            <w:sz w:val="22"/>
            <w:szCs w:val="22"/>
          </w:rPr>
          <w:t>House Bill (HB) 261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Notably — and importantly, for private employers — while HB 261 passed quickly, a bill covering employers in the private sector</w:t>
      </w:r>
      <w:r w:rsidRPr="00DD7BD1">
        <w:rPr>
          <w:rFonts w:ascii="Calibri" w:hAnsi="Calibri" w:cs="Calibri"/>
          <w:color w:val="292929"/>
          <w:spacing w:val="3"/>
          <w:sz w:val="22"/>
          <w:szCs w:val="22"/>
        </w:rPr>
        <w:t>,</w:t>
      </w:r>
      <w:hyperlink r:id="rId439" w:tgtFrame="_blank" w:history="1">
        <w:r w:rsidRPr="00DD7BD1">
          <w:rPr>
            <w:rStyle w:val="Hyperlink"/>
            <w:rFonts w:ascii="Calibri" w:hAnsi="Calibri" w:cs="Calibri"/>
            <w:color w:val="1B517C"/>
            <w:spacing w:val="3"/>
            <w:sz w:val="22"/>
            <w:szCs w:val="22"/>
          </w:rPr>
          <w:t> </w:t>
        </w:r>
        <w:r w:rsidRPr="00DD7BD1">
          <w:rPr>
            <w:rStyle w:val="Hyperlink"/>
            <w:rFonts w:ascii="Calibri" w:eastAsiaTheme="minorHAnsi" w:hAnsi="Calibri" w:cs="Calibri"/>
            <w:sz w:val="22"/>
            <w:szCs w:val="22"/>
          </w:rPr>
          <w:t>HB 111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16"/>
          <w:szCs w:val="16"/>
        </w:rPr>
      </w:pPr>
    </w:p>
    <w:p w14:paraId="586572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Florida, North Carolina, North Dakota, Tennessee and Texas</w:t>
      </w:r>
      <w:r w:rsidRPr="00DD7BD1">
        <w:rPr>
          <w:rFonts w:ascii="Calibri" w:hAnsi="Calibri" w:cs="Calibri"/>
          <w:spacing w:val="3"/>
          <w:sz w:val="22"/>
          <w:szCs w:val="22"/>
        </w:rPr>
        <w:t xml:space="preserve"> have also enacted anti-DEI bills. </w:t>
      </w:r>
    </w:p>
    <w:p w14:paraId="46DB1E17"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Texas</w:t>
      </w:r>
      <w:r w:rsidRPr="00DD7BD1">
        <w:rPr>
          <w:rFonts w:ascii="Calibri" w:hAnsi="Calibri" w:cs="Calibri"/>
          <w:spacing w:val="3"/>
          <w:sz w:val="22"/>
          <w:szCs w:val="22"/>
        </w:rPr>
        <w:t xml:space="preserve"> adopted </w:t>
      </w:r>
      <w:hyperlink r:id="rId440" w:tgtFrame="_blank" w:history="1">
        <w:r w:rsidRPr="00DD7BD1">
          <w:rPr>
            <w:rStyle w:val="Hyperlink"/>
            <w:rFonts w:ascii="Calibri" w:eastAsiaTheme="minorHAnsi" w:hAnsi="Calibri" w:cs="Calibri"/>
            <w:sz w:val="22"/>
            <w:szCs w:val="22"/>
          </w:rPr>
          <w:t>SB 17</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which bans DEI offices and faculty and staff diversity trainings at public institutions. </w:t>
      </w:r>
    </w:p>
    <w:p w14:paraId="5F1E3318"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Tennessee</w:t>
      </w:r>
      <w:r w:rsidRPr="00DD7BD1">
        <w:rPr>
          <w:rFonts w:ascii="Calibri" w:hAnsi="Calibri" w:cs="Calibri"/>
          <w:spacing w:val="3"/>
          <w:sz w:val="22"/>
          <w:szCs w:val="22"/>
        </w:rPr>
        <w:t xml:space="preserve"> signed into law</w:t>
      </w:r>
      <w:r w:rsidRPr="00DD7BD1">
        <w:rPr>
          <w:rFonts w:ascii="Calibri" w:hAnsi="Calibri" w:cs="Calibri"/>
          <w:color w:val="292929"/>
          <w:spacing w:val="3"/>
          <w:sz w:val="22"/>
          <w:szCs w:val="22"/>
        </w:rPr>
        <w:t> </w:t>
      </w:r>
      <w:hyperlink r:id="rId441" w:tgtFrame="_blank" w:history="1">
        <w:r w:rsidRPr="00DD7BD1">
          <w:rPr>
            <w:rStyle w:val="Hyperlink"/>
            <w:rFonts w:ascii="Calibri" w:eastAsiaTheme="minorHAnsi" w:hAnsi="Calibri" w:cs="Calibri"/>
            <w:sz w:val="22"/>
            <w:szCs w:val="22"/>
          </w:rPr>
          <w:t>HB 158</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certain public institutions from mandating implicit bias training.</w:t>
      </w:r>
    </w:p>
    <w:p w14:paraId="249AF8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At the same time, other states have moved to require DEI initiatives. </w:t>
      </w:r>
    </w:p>
    <w:p w14:paraId="6833D6D1"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Washington </w:t>
      </w:r>
      <w:hyperlink r:id="rId442" w:tgtFrame="_blank" w:history="1">
        <w:r w:rsidRPr="00DD7BD1">
          <w:rPr>
            <w:rStyle w:val="Hyperlink"/>
            <w:rFonts w:ascii="Calibri" w:eastAsiaTheme="minorHAnsi" w:hAnsi="Calibri" w:cs="Calibri"/>
            <w:sz w:val="22"/>
            <w:szCs w:val="22"/>
          </w:rPr>
          <w:t>SB 5462</w:t>
        </w:r>
      </w:hyperlink>
      <w:r w:rsidRPr="00DD7BD1">
        <w:rPr>
          <w:rFonts w:ascii="Calibri" w:hAnsi="Calibri" w:cs="Calibri"/>
          <w:color w:val="292929"/>
          <w:spacing w:val="3"/>
          <w:sz w:val="22"/>
          <w:szCs w:val="22"/>
        </w:rPr>
        <w:t> </w:t>
      </w:r>
      <w:r w:rsidRPr="00DD7BD1">
        <w:rPr>
          <w:rFonts w:ascii="Calibri" w:hAnsi="Calibri" w:cs="Calibri"/>
          <w:spacing w:val="3"/>
          <w:sz w:val="22"/>
          <w:szCs w:val="22"/>
        </w:rPr>
        <w:t xml:space="preserve">would require school districts to adopt curricula that tell the perspectives of LGBTQ+ Washingtonians. </w:t>
      </w:r>
    </w:p>
    <w:p w14:paraId="27C50903"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And in </w:t>
      </w:r>
      <w:r w:rsidRPr="00DD7BD1">
        <w:rPr>
          <w:rFonts w:ascii="Calibri" w:hAnsi="Calibri" w:cs="Calibri"/>
          <w:b/>
          <w:bCs/>
          <w:spacing w:val="3"/>
          <w:sz w:val="22"/>
          <w:szCs w:val="22"/>
        </w:rPr>
        <w:t>California</w:t>
      </w:r>
      <w:r w:rsidRPr="00DD7BD1">
        <w:rPr>
          <w:rFonts w:ascii="Calibri" w:hAnsi="Calibri" w:cs="Calibri"/>
          <w:spacing w:val="3"/>
          <w:sz w:val="22"/>
          <w:szCs w:val="22"/>
        </w:rPr>
        <w:t>, </w:t>
      </w:r>
      <w:hyperlink r:id="rId443" w:tgtFrame="_blank" w:history="1">
        <w:r w:rsidRPr="00DD7BD1">
          <w:rPr>
            <w:rStyle w:val="Hyperlink"/>
            <w:rFonts w:ascii="Calibri" w:eastAsiaTheme="minorHAnsi" w:hAnsi="Calibri" w:cs="Calibri"/>
            <w:sz w:val="22"/>
            <w:szCs w:val="22"/>
          </w:rPr>
          <w:t>SB 54</w:t>
        </w:r>
      </w:hyperlink>
      <w:r w:rsidRPr="00DD7BD1">
        <w:rPr>
          <w:rFonts w:ascii="Calibri" w:hAnsi="Calibri" w:cs="Calibri"/>
          <w:spacing w:val="3"/>
          <w:sz w:val="22"/>
          <w:szCs w:val="22"/>
        </w:rPr>
        <w:t> requires venture capital companies to report the diversity of the founding members of businesses in which they invest.</w:t>
      </w:r>
    </w:p>
    <w:p w14:paraId="4CF77FF2" w14:textId="77777777" w:rsidR="00275725" w:rsidRPr="00DD7BD1" w:rsidRDefault="00275725" w:rsidP="00275725">
      <w:pPr>
        <w:pStyle w:val="NormalWeb"/>
        <w:shd w:val="clear" w:color="auto" w:fill="FFFFFF"/>
        <w:spacing w:before="0" w:beforeAutospacing="0" w:after="0" w:afterAutospacing="0"/>
        <w:rPr>
          <w:rFonts w:ascii="Calibri" w:hAnsi="Calibri" w:cs="Calibri"/>
          <w:color w:val="292929"/>
          <w:spacing w:val="3"/>
          <w:sz w:val="16"/>
          <w:szCs w:val="16"/>
        </w:rPr>
      </w:pPr>
      <w:bookmarkStart w:id="49" w:name="_Hlk163118037"/>
    </w:p>
    <w:p w14:paraId="4DF4482C"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Pay Transparency (Ohio, Minnesota &amp; DC Updates)</w:t>
      </w:r>
    </w:p>
    <w:p w14:paraId="2F8190FC"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601F4B71" w14:textId="6AABE123"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shd w:val="clear" w:color="auto" w:fill="FFFFFF"/>
        </w:rPr>
        <w:t>Pay transparency laws are in effect in 9 states: California, Colorado, Connecticut, Hawaii, Maryland, Nevada, New York, Rhode Island, and Washington. The District of Columbia and Illinois pay transparency laws are scheduled to go into effect on June 30, 2024, and January 1, 2025, respectively. Additionally, at least 7 local jurisdictions have pay transparency laws in effect, and proposed legislation is pending in many other state and local jurisdictions. </w:t>
      </w:r>
      <w:r w:rsidRPr="00DD7BD1">
        <w:rPr>
          <w:rFonts w:ascii="Calibri" w:hAnsi="Calibri" w:cs="Calibri"/>
        </w:rPr>
        <w:t>As employers, it is essential to proactively adapt to the upcoming pay transparency legislation to ensure compliance and foster a fair and inclusive work environment. Start 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DD7BD1" w:rsidRDefault="00275725" w:rsidP="00275725">
      <w:pPr>
        <w:pStyle w:val="NormalWeb"/>
        <w:shd w:val="clear" w:color="auto" w:fill="FFFFFF"/>
        <w:spacing w:before="0" w:beforeAutospacing="0" w:after="0" w:afterAutospacing="0"/>
        <w:jc w:val="both"/>
        <w:rPr>
          <w:rFonts w:ascii="Calibri" w:eastAsiaTheme="minorHAnsi" w:hAnsi="Calibri" w:cs="Calibri"/>
          <w:b/>
          <w:bCs/>
          <w:sz w:val="22"/>
          <w:szCs w:val="22"/>
          <w:highlight w:val="lightGray"/>
        </w:rPr>
      </w:pPr>
      <w:r w:rsidRPr="00DD7BD1">
        <w:rPr>
          <w:rFonts w:ascii="Calibri" w:eastAsiaTheme="minorHAnsi" w:hAnsi="Calibri" w:cs="Calibri"/>
          <w:b/>
          <w:bCs/>
          <w:sz w:val="22"/>
          <w:szCs w:val="22"/>
          <w:highlight w:val="lightGray"/>
        </w:rPr>
        <w:t>Learn More:</w:t>
      </w:r>
      <w:r w:rsidRPr="00DD7BD1">
        <w:rPr>
          <w:rFonts w:ascii="Calibri" w:hAnsi="Calibri" w:cs="Calibri"/>
          <w:sz w:val="28"/>
          <w:szCs w:val="28"/>
        </w:rPr>
        <w:t xml:space="preserve"> </w:t>
      </w:r>
      <w:r w:rsidRPr="00DD7BD1">
        <w:rPr>
          <w:rFonts w:ascii="Calibri" w:hAnsi="Calibri" w:cs="Calibri"/>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Columbus, Ohio:</w:t>
      </w:r>
      <w:r w:rsidRPr="00DD7BD1">
        <w:rPr>
          <w:rFonts w:ascii="Calibri" w:hAnsi="Calibri" w:cs="Calibri"/>
          <w:sz w:val="22"/>
          <w:szCs w:val="22"/>
        </w:rPr>
        <w:t> Effective March 1, 2024, Columbus prohibits employers with 15 or more employees from inquiring about an applicant's salary history. </w:t>
      </w:r>
      <w:hyperlink r:id="rId444" w:tgtFrame="_blank" w:history="1">
        <w:r w:rsidRPr="00DD7BD1">
          <w:rPr>
            <w:rStyle w:val="Hyperlink"/>
            <w:rFonts w:ascii="Calibri" w:eastAsiaTheme="minorHAnsi" w:hAnsi="Calibri" w:cs="Calibri"/>
            <w:sz w:val="22"/>
            <w:szCs w:val="22"/>
          </w:rPr>
          <w:t>Ordinance 0709-2023</w:t>
        </w:r>
      </w:hyperlink>
      <w:r w:rsidRPr="00DD7BD1">
        <w:rPr>
          <w:rFonts w:ascii="Calibri" w:hAnsi="Calibri" w:cs="Calibri"/>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Minnesota:</w:t>
      </w:r>
      <w:r w:rsidRPr="00DD7BD1">
        <w:rPr>
          <w:rFonts w:ascii="Calibri" w:hAnsi="Calibri" w:cs="Calibri"/>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445" w:tgtFrame="_blank" w:history="1">
        <w:r w:rsidRPr="00DD7BD1">
          <w:rPr>
            <w:rStyle w:val="Hyperlink"/>
            <w:rFonts w:ascii="Calibri" w:eastAsiaTheme="minorHAnsi" w:hAnsi="Calibri" w:cs="Calibri"/>
            <w:sz w:val="22"/>
            <w:szCs w:val="22"/>
          </w:rPr>
          <w:t>The Wage Disclosure Protection law</w:t>
        </w:r>
      </w:hyperlink>
      <w:r w:rsidRPr="00DD7BD1">
        <w:rPr>
          <w:rFonts w:ascii="Calibri" w:hAnsi="Calibri" w:cs="Calibri"/>
          <w:sz w:val="22"/>
          <w:szCs w:val="22"/>
        </w:rPr>
        <w:t> exempts certain federal, state, or local law provisions and voluntary disclosures by applicants.</w:t>
      </w:r>
    </w:p>
    <w:p w14:paraId="52F87896"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Washington, D.C.:</w:t>
      </w:r>
      <w:r w:rsidRPr="00DD7BD1">
        <w:rPr>
          <w:rFonts w:ascii="Calibri" w:hAnsi="Calibri" w:cs="Calibri"/>
          <w:sz w:val="22"/>
          <w:szCs w:val="22"/>
        </w:rPr>
        <w:t> Scheduled for enactment on June 30, 2024, Washington, D.C.'s new </w:t>
      </w:r>
      <w:hyperlink r:id="rId446" w:tgtFrame="_blank" w:history="1">
        <w:r w:rsidRPr="00DD7BD1">
          <w:rPr>
            <w:rStyle w:val="Hyperlink"/>
            <w:rFonts w:ascii="Calibri" w:eastAsiaTheme="minorHAnsi" w:hAnsi="Calibri" w:cs="Calibri"/>
            <w:sz w:val="22"/>
            <w:szCs w:val="22"/>
          </w:rPr>
          <w:t>Pay Scale and Benefits Disclosure Amendment Act of 2023</w:t>
        </w:r>
      </w:hyperlink>
      <w:r w:rsidRPr="00DD7BD1">
        <w:rPr>
          <w:rStyle w:val="Hyperlink"/>
          <w:rFonts w:ascii="Calibri" w:eastAsiaTheme="minorHAnsi" w:hAnsi="Calibri" w:cs="Calibri"/>
        </w:rPr>
        <w:t>,</w:t>
      </w:r>
      <w:r w:rsidRPr="00DD7BD1">
        <w:rPr>
          <w:rFonts w:ascii="Calibri" w:hAnsi="Calibri" w:cs="Calibri"/>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empowered to investigate and seek remedies. </w:t>
      </w:r>
    </w:p>
    <w:bookmarkEnd w:id="49"/>
    <w:p w14:paraId="2136EC8F" w14:textId="77777777" w:rsidR="00275725" w:rsidRPr="00DD7BD1" w:rsidRDefault="00275725" w:rsidP="00275725">
      <w:pPr>
        <w:pStyle w:val="BodyText"/>
        <w:spacing w:after="0" w:line="240" w:lineRule="auto"/>
        <w:ind w:right="360"/>
        <w:jc w:val="center"/>
        <w:rPr>
          <w:rFonts w:cs="Calibri"/>
          <w:b/>
          <w:bCs/>
          <w:color w:val="auto"/>
          <w:sz w:val="16"/>
          <w:szCs w:val="16"/>
        </w:rPr>
      </w:pPr>
    </w:p>
    <w:p w14:paraId="531DEA29" w14:textId="782CBD7C" w:rsidR="00275725" w:rsidRPr="00DD7BD1" w:rsidRDefault="00275725" w:rsidP="0027572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Blocked from Implementing Expansive Joint Employer Rule in Advance of the March 11</w:t>
      </w:r>
      <w:r w:rsidRPr="00DD7BD1">
        <w:rPr>
          <w:rFonts w:ascii="Calibri" w:hAnsi="Calibri" w:cs="Calibri"/>
          <w:sz w:val="28"/>
          <w:szCs w:val="28"/>
          <w:vertAlign w:val="superscript"/>
        </w:rPr>
        <w:t>th</w:t>
      </w:r>
      <w:r w:rsidRPr="00DD7BD1">
        <w:rPr>
          <w:rFonts w:ascii="Calibri" w:hAnsi="Calibri" w:cs="Calibri"/>
          <w:sz w:val="28"/>
          <w:szCs w:val="28"/>
        </w:rPr>
        <w:t xml:space="preserve"> Effective Date</w:t>
      </w:r>
    </w:p>
    <w:p w14:paraId="3DAD1A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color w:val="333333"/>
          <w:sz w:val="16"/>
          <w:szCs w:val="16"/>
        </w:rPr>
      </w:pPr>
    </w:p>
    <w:p w14:paraId="7F9C6D0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BACKGROUND</w:t>
      </w:r>
    </w:p>
    <w:p w14:paraId="2F0ED227"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8, 2024, the US District Court for the Eastern District of Texas vacated a 2023 rule issued by the NLRB, which would have </w:t>
      </w:r>
      <w:hyperlink r:id="rId447" w:tgtFrame="_blank" w:history="1">
        <w:r w:rsidRPr="00DD7BD1">
          <w:rPr>
            <w:rStyle w:val="Hyperlink"/>
            <w:rFonts w:ascii="Calibri" w:eastAsiaTheme="minorHAnsi" w:hAnsi="Calibri" w:cs="Calibri"/>
            <w:sz w:val="22"/>
            <w:szCs w:val="22"/>
          </w:rPr>
          <w:t>vastly expanded the circumstances under which separate companies can be considered joint employers</w:t>
        </w:r>
      </w:hyperlink>
      <w:r w:rsidRPr="00DD7BD1">
        <w:rPr>
          <w:rStyle w:val="Hyperlink"/>
          <w:rFonts w:ascii="Calibri" w:eastAsiaTheme="minorHAnsi" w:hAnsi="Calibri" w:cs="Calibri"/>
        </w:rPr>
        <w:t>.</w:t>
      </w:r>
      <w:hyperlink r:id="rId448" w:anchor="_ftn1" w:tgtFrame="_blank" w:history="1">
        <w:r w:rsidRPr="00DD7BD1">
          <w:rPr>
            <w:rStyle w:val="Hyperlink"/>
            <w:rFonts w:ascii="Calibri" w:eastAsiaTheme="minorHAnsi" w:hAnsi="Calibri" w:cs="Calibri"/>
            <w:sz w:val="22"/>
            <w:szCs w:val="22"/>
          </w:rPr>
          <w:t>[1]</w:t>
        </w:r>
      </w:hyperlink>
      <w:r w:rsidRPr="00DD7BD1">
        <w:rPr>
          <w:rFonts w:ascii="Calibri" w:hAnsi="Calibri" w:cs="Calibri"/>
          <w:color w:val="333333"/>
          <w:sz w:val="22"/>
          <w:szCs w:val="22"/>
        </w:rPr>
        <w:t> </w:t>
      </w:r>
      <w:r w:rsidRPr="00DD7BD1">
        <w:rPr>
          <w:rFonts w:ascii="Calibri" w:hAnsi="Calibri" w:cs="Calibri"/>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449" w:anchor="_ftn2" w:tgtFrame="_blank" w:history="1">
        <w:r w:rsidRPr="00DD7BD1">
          <w:rPr>
            <w:rStyle w:val="Hyperlink"/>
            <w:rFonts w:ascii="Calibri" w:hAnsi="Calibri" w:cs="Calibri"/>
            <w:color w:val="auto"/>
            <w:sz w:val="22"/>
            <w:szCs w:val="22"/>
          </w:rPr>
          <w:t>[2]</w:t>
        </w:r>
      </w:hyperlink>
    </w:p>
    <w:p w14:paraId="2D66DCD7" w14:textId="01E6A399"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u w:val="single"/>
        </w:rPr>
        <w:t>The 2023 Rule, which would have gone into effect on March 11, 2024, deems virtually any company that contracts for third-party labor as a joint employer.</w:t>
      </w:r>
      <w:r w:rsidRPr="00DD7BD1">
        <w:rPr>
          <w:rFonts w:ascii="Calibri" w:hAnsi="Calibri" w:cs="Calibri"/>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450" w:anchor="_ftn3" w:tgtFrame="_blank" w:history="1">
        <w:r w:rsidRPr="00DD7BD1">
          <w:rPr>
            <w:rStyle w:val="Hyperlink"/>
            <w:rFonts w:ascii="Calibri" w:hAnsi="Calibri" w:cs="Calibri"/>
            <w:color w:val="auto"/>
            <w:sz w:val="22"/>
            <w:szCs w:val="22"/>
          </w:rPr>
          <w:t>[3]</w:t>
        </w:r>
      </w:hyperlink>
    </w:p>
    <w:p w14:paraId="5E32E15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451" w:anchor="_ftn4" w:tgtFrame="_blank" w:history="1">
        <w:r w:rsidRPr="00DD7BD1">
          <w:rPr>
            <w:rStyle w:val="Hyperlink"/>
            <w:rFonts w:ascii="Calibri" w:hAnsi="Calibri" w:cs="Calibri"/>
            <w:color w:val="auto"/>
            <w:sz w:val="22"/>
            <w:szCs w:val="22"/>
          </w:rPr>
          <w:t>[4]</w:t>
        </w:r>
      </w:hyperlink>
    </w:p>
    <w:p w14:paraId="60FAEFFD"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In its March 8 decision, the district court held the 2023 Rule contrary to the NLRB’s authority because it exceeded the bounds of the common law definition of an employer.</w:t>
      </w:r>
      <w:hyperlink r:id="rId452" w:anchor="_ftn5" w:tgtFrame="_blank" w:history="1">
        <w:r w:rsidRPr="00DD7BD1">
          <w:rPr>
            <w:rStyle w:val="Hyperlink"/>
            <w:rFonts w:ascii="Calibri" w:hAnsi="Calibri" w:cs="Calibri"/>
            <w:color w:val="auto"/>
            <w:sz w:val="22"/>
            <w:szCs w:val="22"/>
          </w:rPr>
          <w:t>[5]</w:t>
        </w:r>
      </w:hyperlink>
      <w:r w:rsidRPr="00DD7BD1">
        <w:rPr>
          <w:rFonts w:ascii="Calibri" w:hAnsi="Calibri" w:cs="Calibri"/>
          <w:sz w:val="22"/>
          <w:szCs w:val="22"/>
        </w:rPr>
        <w:t> The court also found that the Board failed to provide a sufficient justification for rescinding the 2020 Rule.</w:t>
      </w:r>
    </w:p>
    <w:p w14:paraId="15D597A7" w14:textId="77777777" w:rsidR="00275725" w:rsidRPr="00DD7BD1" w:rsidRDefault="00275725" w:rsidP="00275725">
      <w:pPr>
        <w:pStyle w:val="NormalWeb"/>
        <w:shd w:val="clear" w:color="auto" w:fill="FFFFFF"/>
        <w:spacing w:before="0" w:beforeAutospacing="0" w:after="0" w:afterAutospacing="0"/>
        <w:jc w:val="both"/>
        <w:rPr>
          <w:rStyle w:val="Strong"/>
          <w:rFonts w:ascii="Calibri" w:hAnsi="Calibri" w:cs="Calibri"/>
          <w:sz w:val="16"/>
          <w:szCs w:val="16"/>
        </w:rPr>
      </w:pPr>
    </w:p>
    <w:p w14:paraId="3E2793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‘Substantial Direct and Immediate Control’ is the Operative Standard – For Now</w:t>
      </w:r>
    </w:p>
    <w:p w14:paraId="0F60A05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take action in response to the district court’s decision, which may include one or more of the following:</w:t>
      </w:r>
    </w:p>
    <w:p w14:paraId="08F2EFC9"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Appeal District Court’s Ruling to the US Court of Appeals for the Fifth Circuit:</w:t>
      </w:r>
      <w:r w:rsidRPr="00DD7BD1">
        <w:rPr>
          <w:rFonts w:ascii="Calibri" w:hAnsi="Calibri" w:cs="Calibri"/>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DD7BD1">
        <w:rPr>
          <w:rStyle w:val="Emphasis"/>
          <w:rFonts w:ascii="Calibri" w:hAnsi="Calibri" w:cs="Calibri"/>
        </w:rPr>
        <w:t>Browning-Ferris,</w:t>
      </w:r>
      <w:r w:rsidRPr="00DD7BD1">
        <w:rPr>
          <w:rFonts w:ascii="Calibri" w:hAnsi="Calibri" w:cs="Calibri"/>
        </w:rPr>
        <w:t> which established an approach similar to—although not quite as expansive as—the 2023 Rule.</w:t>
      </w:r>
      <w:hyperlink r:id="rId453" w:anchor="_ftn6" w:tgtFrame="_blank" w:history="1">
        <w:r w:rsidRPr="00DD7BD1">
          <w:rPr>
            <w:rStyle w:val="Hyperlink"/>
            <w:rFonts w:ascii="Calibri" w:hAnsi="Calibri" w:cs="Calibri"/>
            <w:color w:val="auto"/>
          </w:rPr>
          <w:t>[6]</w:t>
        </w:r>
      </w:hyperlink>
      <w:r w:rsidRPr="00DD7BD1">
        <w:rPr>
          <w:rFonts w:ascii="Calibri" w:hAnsi="Calibri" w:cs="Calibri"/>
        </w:rPr>
        <w:t> The Board may then choose to abandon rulemaking for the joint employer standard and establish future joint employer policy through case-by-case adjudication (see below).</w:t>
      </w:r>
    </w:p>
    <w:p w14:paraId="6AE5B9E0"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Rescind 2020 Rule and Promulgate New Joint Employer Standard Through Adjudication:</w:t>
      </w:r>
      <w:r w:rsidRPr="00DD7BD1">
        <w:rPr>
          <w:rFonts w:ascii="Calibri" w:hAnsi="Calibri" w:cs="Calibri"/>
        </w:rPr>
        <w:t> The Board could engage in new rulemaking to rescind the 2020 Rule, which would require a lengthy notice and comment process. As noted above, a rescission of the 2020 Rule would restore the Board’s prior precedent in </w:t>
      </w:r>
      <w:r w:rsidRPr="00DD7BD1">
        <w:rPr>
          <w:rStyle w:val="Emphasis"/>
          <w:rFonts w:ascii="Calibri" w:hAnsi="Calibri" w:cs="Calibri"/>
        </w:rPr>
        <w:t>Browning-Ferris,</w:t>
      </w:r>
      <w:hyperlink r:id="rId454" w:anchor="_ftn7" w:tgtFrame="_blank" w:history="1">
        <w:r w:rsidRPr="00DD7BD1">
          <w:rPr>
            <w:rStyle w:val="Hyperlink"/>
            <w:rFonts w:ascii="Calibri" w:hAnsi="Calibri" w:cs="Calibri"/>
            <w:color w:val="auto"/>
          </w:rPr>
          <w:t>[7]</w:t>
        </w:r>
      </w:hyperlink>
      <w:r w:rsidRPr="00DD7BD1">
        <w:rPr>
          <w:rFonts w:ascii="Calibri" w:hAnsi="Calibri" w:cs="Calibri"/>
        </w:rPr>
        <w:t> which established an approach similar to the 2023 Rule. The Board could then decide future joint employer issues through case-by-case adjudication, which is how the Board addressed joint employer issues prior to the 2020 Rule.</w:t>
      </w:r>
      <w:hyperlink r:id="rId455" w:anchor="_ftn8" w:tgtFrame="_blank" w:history="1">
        <w:r w:rsidRPr="00DD7BD1">
          <w:rPr>
            <w:rStyle w:val="Hyperlink"/>
            <w:rFonts w:ascii="Calibri" w:hAnsi="Calibri" w:cs="Calibri"/>
            <w:color w:val="auto"/>
          </w:rPr>
          <w:t>[8]</w:t>
        </w:r>
      </w:hyperlink>
      <w:r w:rsidRPr="00DD7BD1">
        <w:rPr>
          <w:rFonts w:ascii="Calibri" w:hAnsi="Calibri" w:cs="Calibri"/>
        </w:rPr>
        <w:t> The Board could adopt a new standard under this case adjudication approach that is very similar, if not identical, to the 2023 Rule without engaging in rulemaking.</w:t>
      </w:r>
    </w:p>
    <w:p w14:paraId="0A18A7A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 Original Morgan Lewis Lawflash dated March 27</w:t>
      </w:r>
      <w:r w:rsidRPr="00DD7BD1">
        <w:rPr>
          <w:rFonts w:ascii="Calibri" w:hAnsi="Calibri" w:cs="Calibri"/>
          <w:sz w:val="22"/>
          <w:szCs w:val="22"/>
          <w:vertAlign w:val="superscript"/>
        </w:rPr>
        <w:t>th</w:t>
      </w:r>
      <w:r w:rsidRPr="00DD7BD1">
        <w:rPr>
          <w:rFonts w:ascii="Calibri" w:hAnsi="Calibri" w:cs="Calibri"/>
          <w:sz w:val="22"/>
          <w:szCs w:val="22"/>
        </w:rPr>
        <w:t xml:space="preserve">. Access it </w:t>
      </w:r>
      <w:hyperlink r:id="rId456" w:history="1">
        <w:r w:rsidRPr="00DD7BD1">
          <w:rPr>
            <w:rStyle w:val="Hyperlink"/>
            <w:rFonts w:ascii="Calibri" w:hAnsi="Calibri" w:cs="Calibri"/>
            <w:sz w:val="22"/>
            <w:szCs w:val="22"/>
          </w:rPr>
          <w:t>HERE</w:t>
        </w:r>
      </w:hyperlink>
    </w:p>
    <w:p w14:paraId="6EE3C2F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16"/>
          <w:szCs w:val="16"/>
        </w:rPr>
      </w:pPr>
    </w:p>
    <w:p w14:paraId="32BCA5FA" w14:textId="2D03B294" w:rsidR="00275725" w:rsidRPr="00DD7BD1" w:rsidRDefault="00275725" w:rsidP="0027572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Issues Independent Contractor Final Rule</w:t>
      </w:r>
    </w:p>
    <w:p w14:paraId="2816E648" w14:textId="58AE2D10"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On January 9, 2024, the U.S. Department of Labor (DOL) released a </w:t>
      </w:r>
      <w:hyperlink r:id="rId457" w:history="1">
        <w:r w:rsidRPr="00DD7BD1">
          <w:rPr>
            <w:rStyle w:val="Hyperlink"/>
            <w:rFonts w:ascii="Calibri" w:hAnsi="Calibri" w:cs="Calibri"/>
          </w:rPr>
          <w:t>final rule</w:t>
        </w:r>
      </w:hyperlink>
      <w:r w:rsidRPr="00DD7BD1">
        <w:rPr>
          <w:rFonts w:ascii="Calibri" w:hAnsi="Calibri" w:cs="Calibri"/>
        </w:rPr>
        <w:t xml:space="preserve">, effective March 11, 2024, revising the agency’s guidance on how to analyze who is an employee or independent contractor under the Fair Labor Standards Act (FLSA). This final rule rescinds the current independent contractor </w:t>
      </w:r>
      <w:hyperlink r:id="rId458" w:history="1">
        <w:r w:rsidRPr="00DD7BD1">
          <w:rPr>
            <w:rStyle w:val="Hyperlink"/>
            <w:rFonts w:ascii="Calibri" w:hAnsi="Calibri" w:cs="Calibri"/>
          </w:rPr>
          <w:t>rule</w:t>
        </w:r>
      </w:hyperlink>
      <w:r w:rsidRPr="00DD7BD1">
        <w:rPr>
          <w:rFonts w:ascii="Calibri" w:hAnsi="Calibri" w:cs="Calibri"/>
        </w:rPr>
        <w:t xml:space="preserve"> that was published on January 7, 2021, and mirrors the DOL’s </w:t>
      </w:r>
      <w:hyperlink r:id="rId459" w:history="1">
        <w:r w:rsidRPr="00DD7BD1">
          <w:rPr>
            <w:rStyle w:val="Hyperlink"/>
            <w:rFonts w:ascii="Calibri" w:hAnsi="Calibri" w:cs="Calibri"/>
          </w:rPr>
          <w:t>proposed rule</w:t>
        </w:r>
      </w:hyperlink>
      <w:r w:rsidRPr="00DD7BD1">
        <w:rPr>
          <w:rFonts w:ascii="Calibri" w:hAnsi="Calibri" w:cs="Calibri"/>
        </w:rPr>
        <w:t>.</w:t>
      </w:r>
    </w:p>
    <w:p w14:paraId="118D0E2F"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Takeaways:</w:t>
      </w:r>
    </w:p>
    <w:p w14:paraId="6B65D320"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DOL’s final rule rescinds the 2021 Independent Contractor Rule. </w:t>
      </w:r>
    </w:p>
    <w:p w14:paraId="3C61595A"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restores the multifactor, totality-of-the-circumstances when determining whether a worker is an employee or independent contractor under the FLSA. </w:t>
      </w:r>
    </w:p>
    <w:p w14:paraId="7DADACBB"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requires entities to analyzes all 6 economic realities test factors without assigning a predetermined weight to a particular factor. </w:t>
      </w:r>
    </w:p>
    <w:p w14:paraId="0AC87660" w14:textId="77777777" w:rsidR="00275725" w:rsidRPr="00DD7BD1" w:rsidRDefault="00275725" w:rsidP="00275725">
      <w:pPr>
        <w:pStyle w:val="BList1"/>
        <w:ind w:left="450"/>
        <w:jc w:val="both"/>
        <w:rPr>
          <w:rFonts w:ascii="Calibri" w:hAnsi="Calibri" w:cs="Calibri"/>
        </w:rPr>
      </w:pPr>
      <w:r w:rsidRPr="00DD7BD1">
        <w:rPr>
          <w:rFonts w:ascii="Calibri" w:hAnsi="Calibri" w:cs="Calibri"/>
        </w:rPr>
        <w:t xml:space="preserve">It may result in classifying a greater number of workers as employees, not independent contractors. </w:t>
      </w:r>
    </w:p>
    <w:p w14:paraId="7B4A6042" w14:textId="5FE1134C"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The DOL has released </w:t>
      </w:r>
      <w:hyperlink r:id="rId460" w:history="1">
        <w:r w:rsidRPr="00DD7BD1">
          <w:rPr>
            <w:rStyle w:val="Hyperlink"/>
            <w:rFonts w:ascii="Calibri" w:hAnsi="Calibri" w:cs="Calibri"/>
          </w:rPr>
          <w:t>guidance</w:t>
        </w:r>
      </w:hyperlink>
      <w:r w:rsidRPr="00DD7BD1">
        <w:rPr>
          <w:rFonts w:ascii="Calibri" w:hAnsi="Calibri" w:cs="Calibri"/>
        </w:rPr>
        <w:t xml:space="preserve"> to help employers comply with the final rule.</w:t>
      </w:r>
    </w:p>
    <w:p w14:paraId="6F5BC23A" w14:textId="77777777"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b/>
          <w:bCs/>
          <w:highlight w:val="lightGray"/>
        </w:rPr>
        <w:t>Learn More</w:t>
      </w:r>
    </w:p>
    <w:p w14:paraId="15E5A9C8" w14:textId="76FB0BAF"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DD7BD1" w:rsidRDefault="00275725" w:rsidP="00275725">
      <w:pPr>
        <w:pStyle w:val="BodyText"/>
        <w:spacing w:after="0" w:line="240" w:lineRule="auto"/>
        <w:rPr>
          <w:rFonts w:cs="Calibri"/>
          <w:color w:val="auto"/>
        </w:rPr>
      </w:pPr>
      <w:r w:rsidRPr="00DD7BD1">
        <w:rPr>
          <w:rFonts w:cs="Calibri"/>
          <w:color w:val="auto"/>
        </w:rPr>
        <w:t>The DOL published the 2021 Independent Contractor Rule on January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the work and the worker’s opportunity for profit and loss based on initiative and/or investment. These factors carried more weight in determining the status of independent contractors.</w:t>
      </w:r>
    </w:p>
    <w:p w14:paraId="57CBFB72" w14:textId="7E0026FE"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DD7BD1" w:rsidRDefault="009040C5" w:rsidP="009040C5">
      <w:pPr>
        <w:pStyle w:val="BodyText"/>
        <w:spacing w:after="0" w:line="240" w:lineRule="auto"/>
        <w:ind w:right="360"/>
        <w:rPr>
          <w:rFonts w:cs="Calibri"/>
          <w:color w:val="auto"/>
          <w:sz w:val="16"/>
          <w:szCs w:val="16"/>
        </w:rPr>
      </w:pPr>
    </w:p>
    <w:p w14:paraId="632B4633"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NLRB’s General Counsel Says Employers Cannot Bar Outside Employment</w:t>
      </w:r>
    </w:p>
    <w:p w14:paraId="0E30F463"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color w:val="000000"/>
          <w:sz w:val="22"/>
          <w:szCs w:val="22"/>
        </w:rPr>
      </w:pPr>
      <w:r w:rsidRPr="00DD7BD1">
        <w:rPr>
          <w:rFonts w:ascii="Calibri" w:hAnsi="Calibri" w:cs="Calibri"/>
          <w:color w:val="000000"/>
          <w:sz w:val="22"/>
          <w:szCs w:val="22"/>
          <w:highlight w:val="lightGray"/>
        </w:rPr>
        <w:t>Employer Takeaway:</w:t>
      </w:r>
      <w:r w:rsidRPr="00DD7BD1">
        <w:rPr>
          <w:rFonts w:ascii="Calibri" w:hAnsi="Calibri" w:cs="Calibri"/>
          <w:b w:val="0"/>
          <w:bCs w:val="0"/>
          <w:color w:val="000000"/>
          <w:sz w:val="22"/>
          <w:szCs w:val="22"/>
        </w:rPr>
        <w:t xml:space="preserve"> If you have a policy strictly prohibiting all outside employment., it may be time to review and update that policy.</w:t>
      </w:r>
    </w:p>
    <w:p w14:paraId="071C35F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16"/>
          <w:szCs w:val="16"/>
          <w:shd w:val="clear" w:color="auto" w:fill="FFFFFF"/>
        </w:rPr>
      </w:pPr>
    </w:p>
    <w:p w14:paraId="604FCAFA"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r w:rsidRPr="00DD7BD1">
        <w:rPr>
          <w:rFonts w:ascii="Calibri" w:hAnsi="Calibri" w:cs="Calibri"/>
          <w:spacing w:val="3"/>
          <w:sz w:val="22"/>
          <w:szCs w:val="22"/>
          <w:highlight w:val="darkGray"/>
          <w:shd w:val="clear" w:color="auto" w:fill="FFFFFF"/>
        </w:rPr>
        <w:t>Learn More:</w:t>
      </w:r>
      <w:r w:rsidRPr="00DD7BD1">
        <w:rPr>
          <w:rFonts w:ascii="Calibri" w:hAnsi="Calibri" w:cs="Calibri"/>
          <w:b w:val="0"/>
          <w:bCs w:val="0"/>
          <w:spacing w:val="3"/>
          <w:sz w:val="22"/>
          <w:szCs w:val="22"/>
          <w:shd w:val="clear" w:color="auto" w:fill="FFFFFF"/>
        </w:rPr>
        <w:t xml:space="preserve"> The National Labor Relations Board (NLRB) is chipping away at employment agreements and other restrictive covenants one clause at a time. In a recent </w:t>
      </w:r>
      <w:hyperlink r:id="rId461" w:tgtFrame="_blank" w:history="1">
        <w:r w:rsidRPr="00DD7BD1">
          <w:rPr>
            <w:rStyle w:val="Hyperlink"/>
            <w:rFonts w:ascii="Calibri" w:hAnsi="Calibri" w:cs="Calibri"/>
            <w:b w:val="0"/>
            <w:bCs w:val="0"/>
            <w:color w:val="1B517C"/>
            <w:spacing w:val="3"/>
            <w:sz w:val="22"/>
            <w:szCs w:val="22"/>
            <w:shd w:val="clear" w:color="auto" w:fill="FFFFFF"/>
          </w:rPr>
          <w:t>memorandum</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p>
    <w:p w14:paraId="35591DE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z w:val="22"/>
          <w:szCs w:val="22"/>
        </w:rPr>
      </w:pPr>
      <w:r w:rsidRPr="00DD7BD1">
        <w:rPr>
          <w:rFonts w:ascii="Calibri" w:hAnsi="Calibri" w:cs="Calibri"/>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DD7BD1" w:rsidRDefault="009040C5" w:rsidP="009040C5">
      <w:pPr>
        <w:pStyle w:val="BodyText"/>
        <w:spacing w:after="0" w:line="240" w:lineRule="auto"/>
        <w:ind w:right="360"/>
        <w:rPr>
          <w:rFonts w:cs="Calibri"/>
          <w:color w:val="auto"/>
          <w:sz w:val="16"/>
          <w:szCs w:val="16"/>
        </w:rPr>
      </w:pPr>
    </w:p>
    <w:p w14:paraId="752E8DB1" w14:textId="77777777" w:rsidR="009040C5" w:rsidRPr="00DD7BD1" w:rsidRDefault="009040C5" w:rsidP="009040C5">
      <w:pPr>
        <w:pStyle w:val="BodyText"/>
        <w:spacing w:after="0" w:line="240" w:lineRule="auto"/>
        <w:ind w:right="360"/>
        <w:jc w:val="center"/>
        <w:rPr>
          <w:rFonts w:cs="Calibri"/>
          <w:b/>
          <w:bCs/>
          <w:color w:val="111111"/>
          <w:sz w:val="28"/>
          <w:szCs w:val="28"/>
        </w:rPr>
      </w:pPr>
      <w:r w:rsidRPr="00DD7BD1">
        <w:rPr>
          <w:rFonts w:cs="Calibri"/>
          <w:b/>
          <w:bCs/>
          <w:color w:val="111111"/>
          <w:sz w:val="28"/>
          <w:szCs w:val="28"/>
        </w:rPr>
        <w:t>Out of Work: Union Strike Activity Surged in 2023</w:t>
      </w:r>
    </w:p>
    <w:p w14:paraId="15FEADA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b/>
          <w:bCs/>
          <w:color w:val="000000"/>
          <w:kern w:val="36"/>
          <w:sz w:val="22"/>
          <w:szCs w:val="22"/>
          <w:highlight w:val="lightGray"/>
        </w:rPr>
        <w:t>Employer Takeaway:</w:t>
      </w:r>
      <w:r w:rsidRPr="00DD7BD1">
        <w:rPr>
          <w:rFonts w:ascii="Calibri" w:hAnsi="Calibri" w:cs="Calibri"/>
          <w:color w:val="000000"/>
          <w:sz w:val="22"/>
          <w:szCs w:val="22"/>
        </w:rPr>
        <w:t xml:space="preserve"> 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16"/>
          <w:szCs w:val="16"/>
        </w:rPr>
      </w:pPr>
    </w:p>
    <w:p w14:paraId="0F06940E"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22"/>
          <w:szCs w:val="22"/>
        </w:rPr>
      </w:pPr>
      <w:r w:rsidRPr="00DD7BD1">
        <w:rPr>
          <w:rFonts w:ascii="Calibri" w:hAnsi="Calibri" w:cs="Calibri"/>
          <w:b/>
          <w:bCs/>
          <w:spacing w:val="3"/>
          <w:sz w:val="22"/>
          <w:szCs w:val="22"/>
          <w:highlight w:val="darkGray"/>
          <w:shd w:val="clear" w:color="auto" w:fill="FFFFFF"/>
        </w:rPr>
        <w:t>Learn More:</w:t>
      </w:r>
      <w:r w:rsidRPr="00DD7BD1">
        <w:rPr>
          <w:rFonts w:ascii="Calibri" w:hAnsi="Calibri" w:cs="Calibri"/>
          <w:b/>
          <w:bCs/>
          <w:color w:val="000000"/>
          <w:sz w:val="22"/>
          <w:szCs w:val="22"/>
        </w:rPr>
        <w:t xml:space="preserve"> </w:t>
      </w:r>
      <w:r w:rsidRPr="00DD7BD1">
        <w:rPr>
          <w:rFonts w:ascii="Calibri" w:hAnsi="Calibri" w:cs="Calibri"/>
          <w:color w:val="000000"/>
          <w:sz w:val="22"/>
          <w:szCs w:val="22"/>
        </w:rPr>
        <w:t>Unions continued to dominate headlines in late 2023, with the Starbucks saga </w:t>
      </w:r>
      <w:hyperlink r:id="rId462" w:tgtFrame="_blank" w:history="1">
        <w:r w:rsidRPr="00DD7BD1">
          <w:rPr>
            <w:rStyle w:val="Hyperlink"/>
            <w:rFonts w:ascii="Calibri" w:eastAsiaTheme="minorHAnsi" w:hAnsi="Calibri" w:cs="Calibri"/>
            <w:sz w:val="22"/>
            <w:szCs w:val="22"/>
          </w:rPr>
          <w:t>continuing to unfold</w:t>
        </w:r>
      </w:hyperlink>
      <w:r w:rsidRPr="00DD7BD1">
        <w:rPr>
          <w:rFonts w:ascii="Calibri" w:hAnsi="Calibri" w:cs="Calibri"/>
          <w:color w:val="000000"/>
          <w:sz w:val="22"/>
          <w:szCs w:val="22"/>
        </w:rPr>
        <w:t> and the United Auto</w:t>
      </w:r>
      <w:r w:rsidRPr="00DD7BD1">
        <w:rPr>
          <w:rFonts w:ascii="Calibri" w:hAnsi="Calibri" w:cs="Calibri"/>
          <w:color w:val="000000"/>
          <w:sz w:val="21"/>
          <w:szCs w:val="21"/>
        </w:rPr>
        <w:t xml:space="preserve"> </w:t>
      </w:r>
      <w:r w:rsidRPr="00DD7BD1">
        <w:rPr>
          <w:rFonts w:ascii="Calibri" w:hAnsi="Calibri" w:cs="Calibri"/>
          <w:color w:val="000000"/>
          <w:sz w:val="22"/>
          <w:szCs w:val="22"/>
        </w:rPr>
        <w:t>Workers (UAW) – for the first time in its history – coordinating a </w:t>
      </w:r>
      <w:hyperlink r:id="rId463" w:tgtFrame="_blank" w:history="1">
        <w:r w:rsidRPr="00DD7BD1">
          <w:rPr>
            <w:rStyle w:val="Hyperlink"/>
            <w:rFonts w:ascii="Calibri" w:eastAsiaTheme="minorHAnsi" w:hAnsi="Calibri" w:cs="Calibri"/>
            <w:sz w:val="22"/>
            <w:szCs w:val="22"/>
          </w:rPr>
          <w:t>simultaneous strike</w:t>
        </w:r>
      </w:hyperlink>
      <w:r w:rsidRPr="00DD7BD1">
        <w:rPr>
          <w:rFonts w:ascii="Calibri" w:hAnsi="Calibri" w:cs="Calibri"/>
          <w:color w:val="000000"/>
          <w:sz w:val="22"/>
          <w:szCs w:val="22"/>
        </w:rPr>
        <w:t> at the “Big Three” automakers in Detroit.</w:t>
      </w:r>
    </w:p>
    <w:p w14:paraId="0A6A9AC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UAW's historic strike against American auto manufacturers was not an outlier. According to a </w:t>
      </w:r>
      <w:hyperlink r:id="rId464" w:tgtFrame="_blank" w:history="1">
        <w:r w:rsidRPr="00DD7BD1">
          <w:rPr>
            <w:rStyle w:val="Hyperlink"/>
            <w:rFonts w:ascii="Calibri" w:hAnsi="Calibri" w:cs="Calibri"/>
            <w:color w:val="194C81"/>
            <w:sz w:val="22"/>
            <w:szCs w:val="22"/>
            <w:u w:val="none"/>
          </w:rPr>
          <w:t>recent article</w:t>
        </w:r>
      </w:hyperlink>
      <w:r w:rsidRPr="00DD7BD1">
        <w:rPr>
          <w:rFonts w:ascii="Calibri" w:hAnsi="Calibri" w:cs="Calibri"/>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465" w:tgtFrame="_blank" w:history="1">
        <w:r w:rsidRPr="00DD7BD1">
          <w:rPr>
            <w:rStyle w:val="Hyperlink"/>
            <w:rFonts w:ascii="Calibri" w:hAnsi="Calibri" w:cs="Calibri"/>
            <w:color w:val="194C81"/>
            <w:sz w:val="22"/>
            <w:szCs w:val="22"/>
            <w:u w:val="none"/>
          </w:rPr>
          <w:t xml:space="preserve">in </w:t>
        </w:r>
        <w:r w:rsidRPr="00DD7BD1">
          <w:rPr>
            <w:rStyle w:val="Hyperlink"/>
            <w:rFonts w:ascii="Calibri" w:eastAsiaTheme="minorHAnsi" w:hAnsi="Calibri" w:cs="Calibri"/>
            <w:sz w:val="22"/>
            <w:szCs w:val="22"/>
          </w:rPr>
          <w:t>2022 as wel</w:t>
        </w:r>
        <w:r w:rsidRPr="00DD7BD1">
          <w:rPr>
            <w:rStyle w:val="Hyperlink"/>
            <w:rFonts w:ascii="Calibri" w:hAnsi="Calibri" w:cs="Calibri"/>
            <w:color w:val="194C81"/>
            <w:sz w:val="22"/>
            <w:szCs w:val="22"/>
            <w:u w:val="none"/>
          </w:rPr>
          <w:t>l</w:t>
        </w:r>
      </w:hyperlink>
      <w:r w:rsidRPr="00DD7BD1">
        <w:rPr>
          <w:rFonts w:ascii="Calibri" w:hAnsi="Calibri" w:cs="Calibri"/>
          <w:color w:val="000000"/>
          <w:sz w:val="22"/>
          <w:szCs w:val="22"/>
        </w:rPr>
        <w:t>.</w:t>
      </w:r>
    </w:p>
    <w:p w14:paraId="726D29F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A myriad labor law and other legal issues come into play for employers when workers decide to go on strike. </w:t>
      </w:r>
    </w:p>
    <w:p w14:paraId="60F0AE7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For example:</w:t>
      </w:r>
    </w:p>
    <w:p w14:paraId="0C6115AC"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some states, employees on strike get unemployment benefits in certain circumstances and in others they do not</w:t>
      </w:r>
    </w:p>
    <w:p w14:paraId="4F91E30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Most – but not all – benefit plans provide that employees on strike are not eligible for benefits and must elect COBRA, which typically is very costly, to continue coverage</w:t>
      </w:r>
    </w:p>
    <w:p w14:paraId="2ABED1A4"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Countless other legal issues come into play as well. </w:t>
      </w:r>
    </w:p>
    <w:p w14:paraId="757D5B77"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t>
      </w:r>
      <w:r w:rsidRPr="00DD7BD1">
        <w:rPr>
          <w:rFonts w:ascii="Calibri" w:hAnsi="Calibri" w:cs="Calibri"/>
          <w:sz w:val="22"/>
          <w:szCs w:val="22"/>
        </w:rPr>
        <w:t xml:space="preserve">National Law Review: </w:t>
      </w:r>
      <w:r w:rsidRPr="00DD7BD1">
        <w:rPr>
          <w:rFonts w:ascii="Calibri" w:hAnsi="Calibri" w:cs="Calibri"/>
          <w:sz w:val="22"/>
          <w:szCs w:val="22"/>
          <w:shd w:val="clear" w:color="auto" w:fill="FFFFFF"/>
        </w:rPr>
        <w:t>Thursday, January 25, 2024, BARNES &amp; THORNBURG LLP</w:t>
      </w:r>
    </w:p>
    <w:p w14:paraId="652ACABB" w14:textId="77777777" w:rsidR="009040C5" w:rsidRPr="00DD7BD1" w:rsidRDefault="009040C5" w:rsidP="009040C5">
      <w:pPr>
        <w:pStyle w:val="BodyText"/>
        <w:spacing w:after="0" w:line="240" w:lineRule="auto"/>
        <w:ind w:right="360"/>
        <w:rPr>
          <w:rFonts w:cs="Calibri"/>
          <w:color w:val="auto"/>
          <w:sz w:val="16"/>
          <w:szCs w:val="16"/>
        </w:rPr>
      </w:pPr>
    </w:p>
    <w:p w14:paraId="35B0545B" w14:textId="77777777" w:rsidR="009040C5" w:rsidRPr="00DD7BD1" w:rsidRDefault="009040C5" w:rsidP="009040C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HR WORK BREAK PODCAST: HR Work Break: Keeping Employees Engaged</w:t>
      </w:r>
    </w:p>
    <w:p w14:paraId="48A0FA87" w14:textId="77777777" w:rsidR="009040C5" w:rsidRPr="00DD7BD1" w:rsidRDefault="009040C5" w:rsidP="009040C5">
      <w:pPr>
        <w:pStyle w:val="BodyText"/>
        <w:spacing w:after="0" w:line="240" w:lineRule="auto"/>
        <w:ind w:right="360"/>
        <w:rPr>
          <w:rFonts w:cs="Calibri"/>
          <w:b/>
          <w:bCs/>
          <w:color w:val="auto"/>
          <w:sz w:val="23"/>
          <w:szCs w:val="23"/>
        </w:rPr>
      </w:pPr>
      <w:r w:rsidRPr="00DD7BD1">
        <w:rPr>
          <w:rFonts w:cs="Calibri"/>
          <w:b/>
          <w:bCs/>
          <w:color w:val="auto"/>
          <w:sz w:val="23"/>
          <w:szCs w:val="23"/>
        </w:rPr>
        <w:t>Listen</w:t>
      </w:r>
      <w:hyperlink r:id="rId466" w:history="1">
        <w:r w:rsidRPr="00DD7BD1">
          <w:rPr>
            <w:rStyle w:val="Hyperlink"/>
            <w:rFonts w:cs="Calibri"/>
            <w:b/>
            <w:bCs/>
            <w:sz w:val="23"/>
            <w:szCs w:val="23"/>
          </w:rPr>
          <w:t xml:space="preserve"> HERE</w:t>
        </w:r>
      </w:hyperlink>
    </w:p>
    <w:p w14:paraId="62B7F438" w14:textId="77777777" w:rsidR="009040C5" w:rsidRPr="00DD7BD1" w:rsidRDefault="009040C5" w:rsidP="009040C5">
      <w:pPr>
        <w:pStyle w:val="BodyText"/>
        <w:spacing w:after="0" w:line="240" w:lineRule="auto"/>
        <w:ind w:right="360"/>
        <w:rPr>
          <w:rFonts w:cs="Calibri"/>
          <w:color w:val="auto"/>
          <w:szCs w:val="22"/>
          <w:shd w:val="clear" w:color="auto" w:fill="FFFFFF"/>
        </w:rPr>
      </w:pPr>
      <w:r w:rsidRPr="00DD7BD1">
        <w:rPr>
          <w:rFonts w:cs="Calibri"/>
          <w:color w:val="auto"/>
          <w:szCs w:val="22"/>
          <w:shd w:val="clear" w:color="auto" w:fill="FFFFFF"/>
        </w:rPr>
        <w:t>Recent research at </w:t>
      </w:r>
      <w:hyperlink r:id="rId467" w:tgtFrame="_blank" w:history="1">
        <w:r w:rsidRPr="00DD7BD1">
          <w:rPr>
            <w:rStyle w:val="Hyperlink"/>
            <w:rFonts w:cs="Calibri"/>
            <w:szCs w:val="22"/>
          </w:rPr>
          <w:t>Gallup</w:t>
        </w:r>
      </w:hyperlink>
      <w:r w:rsidRPr="00DD7BD1">
        <w:rPr>
          <w:rStyle w:val="Hyperlink"/>
          <w:rFonts w:cs="Calibri"/>
          <w:szCs w:val="22"/>
        </w:rPr>
        <w:t> </w:t>
      </w:r>
      <w:r w:rsidRPr="00DD7BD1">
        <w:rPr>
          <w:rFonts w:cs="Calibri"/>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 HR Work Break Podcast Guest: Shannon Gabriel, Vice President of Leadership Solutions at TBM Consulting</w:t>
      </w:r>
    </w:p>
    <w:p w14:paraId="730082F9" w14:textId="77777777" w:rsidR="009040C5" w:rsidRPr="00DD7BD1" w:rsidRDefault="009040C5" w:rsidP="009040C5">
      <w:pPr>
        <w:pStyle w:val="BodyText"/>
        <w:spacing w:after="0" w:line="240" w:lineRule="auto"/>
        <w:ind w:right="360"/>
        <w:rPr>
          <w:rFonts w:eastAsiaTheme="minorHAnsi" w:cs="Calibri"/>
          <w:b/>
          <w:bCs/>
          <w:color w:val="auto"/>
          <w:sz w:val="16"/>
          <w:szCs w:val="16"/>
        </w:rPr>
      </w:pPr>
    </w:p>
    <w:p w14:paraId="50F323B9" w14:textId="180AD7AB" w:rsidR="00145775" w:rsidRPr="00DD7BD1" w:rsidRDefault="00145775" w:rsidP="00145775">
      <w:pPr>
        <w:pStyle w:val="BodyText"/>
        <w:spacing w:after="0" w:line="240" w:lineRule="auto"/>
        <w:ind w:right="360"/>
        <w:jc w:val="center"/>
        <w:rPr>
          <w:rFonts w:eastAsiaTheme="minorHAnsi" w:cs="Calibri"/>
          <w:b/>
          <w:bCs/>
          <w:color w:val="auto"/>
          <w:sz w:val="28"/>
          <w:szCs w:val="28"/>
        </w:rPr>
      </w:pPr>
      <w:r w:rsidRPr="00DD7BD1">
        <w:rPr>
          <w:rFonts w:eastAsiaTheme="minorHAnsi" w:cs="Calibri"/>
          <w:b/>
          <w:bCs/>
          <w:color w:val="auto"/>
          <w:sz w:val="28"/>
          <w:szCs w:val="28"/>
        </w:rPr>
        <w:t>FCRA Summary &amp; Employer Obligation Changes</w:t>
      </w:r>
    </w:p>
    <w:p w14:paraId="1AAE5776"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rPr>
        <w:t>Employers utilizing credit reports to deny employment MUST ensure the 3</w:t>
      </w:r>
      <w:r w:rsidRPr="00DD7BD1">
        <w:rPr>
          <w:rFonts w:ascii="Calibri" w:hAnsi="Calibri" w:cs="Calibri"/>
          <w:sz w:val="22"/>
          <w:szCs w:val="22"/>
          <w:vertAlign w:val="superscript"/>
        </w:rPr>
        <w:t>rd</w:t>
      </w:r>
      <w:r w:rsidRPr="00DD7BD1">
        <w:rPr>
          <w:rFonts w:ascii="Calibri" w:hAnsi="Calibri" w:cs="Calibri"/>
          <w:sz w:val="22"/>
          <w:szCs w:val="22"/>
        </w:rPr>
        <w:t xml:space="preserve"> Party conducting Background Investigations are adhering to this employer obligation.</w:t>
      </w:r>
    </w:p>
    <w:p w14:paraId="2D5E08E2"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12"/>
          <w:szCs w:val="12"/>
        </w:rPr>
      </w:pPr>
    </w:p>
    <w:p w14:paraId="0B8796BA"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20, 2023, the Consumer Financial Protection Bureau (CFPB) issued a </w:t>
      </w:r>
      <w:hyperlink r:id="rId468" w:tgtFrame="_blank" w:history="1">
        <w:r w:rsidRPr="00DD7BD1">
          <w:rPr>
            <w:rStyle w:val="Hyperlink"/>
            <w:rFonts w:ascii="Calibri" w:hAnsi="Calibri" w:cs="Calibri"/>
            <w:sz w:val="22"/>
            <w:szCs w:val="22"/>
          </w:rPr>
          <w:t>final rule</w:t>
        </w:r>
      </w:hyperlink>
      <w:r w:rsidRPr="00DD7BD1">
        <w:rPr>
          <w:rFonts w:ascii="Calibri" w:hAnsi="Calibri" w:cs="Calibri"/>
          <w:color w:val="282828"/>
          <w:sz w:val="22"/>
          <w:szCs w:val="22"/>
        </w:rPr>
        <w:t> </w:t>
      </w:r>
      <w:r w:rsidRPr="00DD7BD1">
        <w:rPr>
          <w:rFonts w:ascii="Calibri" w:hAnsi="Calibri" w:cs="Calibri"/>
          <w:sz w:val="22"/>
          <w:szCs w:val="22"/>
        </w:rPr>
        <w:t>which, among other things, updates their </w:t>
      </w:r>
      <w:hyperlink r:id="rId469" w:tgtFrame="_blank" w:history="1">
        <w:r w:rsidRPr="00DD7BD1">
          <w:rPr>
            <w:rStyle w:val="Hyperlink"/>
            <w:rFonts w:ascii="Calibri" w:hAnsi="Calibri" w:cs="Calibri"/>
            <w:sz w:val="22"/>
            <w:szCs w:val="22"/>
          </w:rPr>
          <w:t>Summary of Your Rights Under the Fair Credit Reporting Act</w:t>
        </w:r>
      </w:hyperlink>
      <w:r w:rsidRPr="00DD7BD1">
        <w:rPr>
          <w:rFonts w:ascii="Calibri" w:hAnsi="Calibri" w:cs="Calibri"/>
          <w:color w:val="282828"/>
          <w:sz w:val="22"/>
          <w:szCs w:val="22"/>
        </w:rPr>
        <w:t> </w:t>
      </w:r>
      <w:r w:rsidRPr="00DD7BD1">
        <w:rPr>
          <w:rFonts w:ascii="Calibri" w:hAnsi="Calibri" w:cs="Calibri"/>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D7BD1">
        <w:rPr>
          <w:rFonts w:ascii="Calibri" w:hAnsi="Calibri" w:cs="Calibri"/>
          <w:b/>
          <w:bCs/>
          <w:sz w:val="22"/>
          <w:szCs w:val="22"/>
        </w:rPr>
        <w:t>March 20, 2024</w:t>
      </w:r>
      <w:r w:rsidRPr="00DD7BD1">
        <w:rPr>
          <w:rFonts w:ascii="Calibri" w:hAnsi="Calibri" w:cs="Calibri"/>
          <w:sz w:val="22"/>
          <w:szCs w:val="22"/>
        </w:rPr>
        <w:t>. </w:t>
      </w:r>
    </w:p>
    <w:p w14:paraId="6BAE2221"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sz w:val="16"/>
          <w:szCs w:val="16"/>
        </w:rPr>
      </w:pPr>
    </w:p>
    <w:p w14:paraId="12602D8C" w14:textId="3D9E24DE" w:rsidR="00145775" w:rsidRPr="00DD7BD1" w:rsidRDefault="00145775" w:rsidP="00145775">
      <w:pPr>
        <w:pStyle w:val="BList1"/>
        <w:numPr>
          <w:ilvl w:val="0"/>
          <w:numId w:val="0"/>
        </w:numPr>
        <w:spacing w:before="0" w:after="0" w:line="240" w:lineRule="auto"/>
        <w:contextualSpacing w:val="0"/>
        <w:jc w:val="center"/>
        <w:rPr>
          <w:rFonts w:ascii="Calibri" w:hAnsi="Calibri" w:cs="Calibri"/>
          <w:b/>
          <w:bCs/>
          <w:color w:val="C00000"/>
          <w:sz w:val="28"/>
          <w:szCs w:val="28"/>
        </w:rPr>
      </w:pPr>
      <w:r w:rsidRPr="00DD7BD1">
        <w:rPr>
          <w:rFonts w:ascii="Calibri" w:hAnsi="Calibri" w:cs="Calibri"/>
          <w:b/>
          <w:bCs/>
          <w:sz w:val="28"/>
          <w:szCs w:val="28"/>
        </w:rPr>
        <w:t>IRS Limit Updates Annual Benefit Maximums for Health Flexible Spending Accounts &amp; More</w:t>
      </w:r>
    </w:p>
    <w:p w14:paraId="0EC01A85"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Ensure limits are updated and reflective in your Payroll System</w:t>
      </w:r>
    </w:p>
    <w:p w14:paraId="7AC61ECE" w14:textId="77777777" w:rsidR="00145775" w:rsidRPr="00DD7BD1" w:rsidRDefault="00145775" w:rsidP="00D66B68">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Each year in the fall, the IRS announces new limits for several types of benefits that have maximums subject to annual indexing. You can find the full list of the latest released amounts for 2024 in </w:t>
      </w:r>
      <w:hyperlink r:id="rId470" w:tgtFrame="_blank" w:history="1">
        <w:r w:rsidRPr="00DD7BD1">
          <w:rPr>
            <w:rStyle w:val="Hyperlink"/>
            <w:rFonts w:ascii="Calibri" w:hAnsi="Calibri" w:cs="Calibri"/>
            <w:sz w:val="22"/>
            <w:szCs w:val="22"/>
          </w:rPr>
          <w:t>IRS Revenue Procedure 2023-34</w:t>
        </w:r>
      </w:hyperlink>
      <w:r w:rsidRPr="00DD7BD1">
        <w:rPr>
          <w:rStyle w:val="Hyperlink"/>
          <w:rFonts w:ascii="Calibri" w:hAnsi="Calibri" w:cs="Calibri"/>
          <w:sz w:val="22"/>
          <w:szCs w:val="22"/>
        </w:rPr>
        <w:t>,</w:t>
      </w:r>
      <w:r w:rsidRPr="00DD7BD1">
        <w:rPr>
          <w:rFonts w:ascii="Calibri" w:hAnsi="Calibri" w:cs="Calibri"/>
          <w:color w:val="282828"/>
          <w:sz w:val="22"/>
          <w:szCs w:val="22"/>
        </w:rPr>
        <w:t xml:space="preserve"> </w:t>
      </w:r>
      <w:r w:rsidRPr="00DD7BD1">
        <w:rPr>
          <w:rFonts w:ascii="Calibri" w:hAnsi="Calibri" w:cs="Calibri"/>
          <w:sz w:val="22"/>
          <w:szCs w:val="22"/>
        </w:rPr>
        <w:t>but we’ve outlined the most common items employers ask us about.</w:t>
      </w:r>
    </w:p>
    <w:p w14:paraId="24D92A38" w14:textId="77777777" w:rsidR="00D66B68" w:rsidRPr="00DD7BD1" w:rsidRDefault="00D66B68" w:rsidP="00D66B68">
      <w:pPr>
        <w:pStyle w:val="Heading1"/>
        <w:shd w:val="clear" w:color="auto" w:fill="FFFFFF"/>
        <w:spacing w:before="0" w:beforeAutospacing="0" w:after="0" w:afterAutospacing="0"/>
        <w:jc w:val="both"/>
        <w:rPr>
          <w:rFonts w:ascii="Calibri" w:hAnsi="Calibri" w:cs="Calibri"/>
          <w:sz w:val="12"/>
          <w:szCs w:val="12"/>
        </w:rPr>
      </w:pPr>
    </w:p>
    <w:p w14:paraId="1D98B169" w14:textId="01AEAAC0" w:rsidR="00145775" w:rsidRPr="00DD7BD1" w:rsidRDefault="00145775" w:rsidP="00D66B68">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Health Flexible Spending Account (HFSA): </w:t>
      </w:r>
      <w:r w:rsidRPr="00DD7BD1">
        <w:rPr>
          <w:rFonts w:ascii="Calibri" w:hAnsi="Calibri" w:cs="Calibri"/>
          <w:b w:val="0"/>
          <w:bCs w:val="0"/>
          <w:sz w:val="22"/>
          <w:szCs w:val="22"/>
        </w:rPr>
        <w:t>For plan years beginning in 2024, the maximum HFSA contribution limit is $3,200. For HFSAs that include a carryover feature, the maximum carryover is $640.</w:t>
      </w:r>
    </w:p>
    <w:p w14:paraId="2EF4113D"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05DAC444" w14:textId="3A356F1A"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w:t>
      </w:r>
      <w:r w:rsidRPr="00DD7BD1">
        <w:rPr>
          <w:rFonts w:ascii="Calibri" w:eastAsia="Times New Roman" w:hAnsi="Calibri" w:cs="Calibri"/>
          <w:b/>
          <w:bCs/>
        </w:rPr>
        <w:t>dependent care FSA</w:t>
      </w:r>
      <w:r w:rsidRPr="00DD7BD1">
        <w:rPr>
          <w:rFonts w:ascii="Calibri" w:eastAsia="Times New Roman" w:hAnsi="Calibri" w:cs="Calibri"/>
        </w:rPr>
        <w:t xml:space="preserve"> contribution maximum is not subject to annual indexing and remains $5,000 (or $2,500 each if the employee and spouse file separate income tax returns) for calendar year 2024.</w:t>
      </w:r>
    </w:p>
    <w:p w14:paraId="6E9402B8"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34A8243E" w14:textId="64460E00"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limits for</w:t>
      </w:r>
      <w:r w:rsidRPr="00DD7BD1">
        <w:rPr>
          <w:rFonts w:ascii="Calibri" w:eastAsia="Times New Roman" w:hAnsi="Calibri" w:cs="Calibri"/>
          <w:b/>
          <w:bCs/>
        </w:rPr>
        <w:t xml:space="preserve"> health savings accounts (HSAs) and high deductible health plans (HDHPs) </w:t>
      </w:r>
      <w:r w:rsidRPr="00DD7BD1">
        <w:rPr>
          <w:rFonts w:ascii="Calibri" w:eastAsia="Times New Roman" w:hAnsi="Calibri" w:cs="Calibri"/>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D7BD1"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Self-only: $4,150   Family: $8,300</w:t>
            </w:r>
          </w:p>
          <w:p w14:paraId="59421525"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Catch-up: $1,000 (age 55 or older)</w:t>
            </w:r>
          </w:p>
        </w:tc>
      </w:tr>
      <w:tr w:rsidR="00145775" w:rsidRPr="00DD7BD1"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$1,600   Family: $3,200</w:t>
            </w:r>
          </w:p>
        </w:tc>
      </w:tr>
      <w:tr w:rsidR="00145775" w:rsidRPr="00DD7BD1"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$8,050   Family: $16,100</w:t>
            </w:r>
          </w:p>
        </w:tc>
      </w:tr>
    </w:tbl>
    <w:p w14:paraId="27FDDC24" w14:textId="77777777" w:rsidR="00145775" w:rsidRPr="00DD7BD1" w:rsidRDefault="00145775" w:rsidP="00022BF0">
      <w:pPr>
        <w:pStyle w:val="Heading1"/>
        <w:shd w:val="clear" w:color="auto" w:fill="FFFFFF"/>
        <w:spacing w:before="0" w:beforeAutospacing="0" w:after="0" w:afterAutospacing="0" w:line="264" w:lineRule="atLeast"/>
        <w:jc w:val="center"/>
        <w:rPr>
          <w:rFonts w:ascii="Calibri" w:hAnsi="Calibri" w:cs="Calibri"/>
          <w:color w:val="000000"/>
          <w:sz w:val="20"/>
          <w:szCs w:val="20"/>
        </w:rPr>
      </w:pPr>
    </w:p>
    <w:p w14:paraId="4BBE3424" w14:textId="711E06F5"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 xml:space="preserve">DOL </w:t>
      </w:r>
      <w:r w:rsidRPr="00DD7BD1">
        <w:rPr>
          <w:rFonts w:ascii="Calibri" w:hAnsi="Calibri" w:cs="Calibri"/>
          <w:color w:val="000000"/>
          <w:sz w:val="28"/>
          <w:szCs w:val="28"/>
          <w:u w:val="single"/>
        </w:rPr>
        <w:t>Proposed</w:t>
      </w:r>
      <w:r w:rsidRPr="00DD7BD1">
        <w:rPr>
          <w:rFonts w:ascii="Calibri" w:hAnsi="Calibri" w:cs="Calibri"/>
          <w:color w:val="000000"/>
          <w:sz w:val="28"/>
          <w:szCs w:val="28"/>
        </w:rPr>
        <w:t xml:space="preserve"> Rule - Raising Salary Threshold for Exempt Employees</w:t>
      </w:r>
    </w:p>
    <w:p w14:paraId="5AE33785" w14:textId="77777777"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Once the proposed rule is officially published in the Federal Register, there will be a time for input and comments concerning the proposed changes before the DOL issues a final rule.</w:t>
      </w:r>
    </w:p>
    <w:p w14:paraId="26083590" w14:textId="5CEF155A" w:rsidR="00022BF0" w:rsidRPr="00DD7BD1" w:rsidRDefault="00022BF0" w:rsidP="00D66B68">
      <w:pPr>
        <w:pStyle w:val="Heading1"/>
        <w:shd w:val="clear" w:color="auto" w:fill="FFFFFF"/>
        <w:spacing w:before="0" w:beforeAutospacing="0" w:after="0" w:afterAutospacing="0"/>
        <w:jc w:val="both"/>
        <w:rPr>
          <w:rFonts w:ascii="Calibri" w:hAnsi="Calibri" w:cs="Calibri"/>
          <w:b w:val="0"/>
          <w:bCs w:val="0"/>
          <w:spacing w:val="3"/>
          <w:sz w:val="22"/>
          <w:szCs w:val="22"/>
          <w:shd w:val="clear" w:color="auto" w:fill="FFFFFF"/>
        </w:rPr>
      </w:pPr>
      <w:r w:rsidRPr="00DD7BD1">
        <w:rPr>
          <w:rFonts w:ascii="Calibri" w:hAnsi="Calibri" w:cs="Calibri"/>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00D66B68" w:rsidRPr="00DD7BD1">
        <w:rPr>
          <w:rFonts w:ascii="Calibri" w:hAnsi="Calibri" w:cs="Calibri"/>
          <w:b w:val="0"/>
          <w:bCs w:val="0"/>
          <w:spacing w:val="3"/>
          <w:sz w:val="22"/>
          <w:szCs w:val="22"/>
          <w:shd w:val="clear" w:color="auto" w:fill="FFFFFF"/>
        </w:rPr>
        <w:t xml:space="preserve"> </w:t>
      </w:r>
      <w:r w:rsidRPr="00DD7BD1">
        <w:rPr>
          <w:rFonts w:ascii="Calibri" w:hAnsi="Calibri" w:cs="Calibri"/>
          <w:b w:val="0"/>
          <w:bCs w:val="0"/>
          <w:spacing w:val="3"/>
          <w:sz w:val="23"/>
          <w:szCs w:val="23"/>
          <w:u w:val="single"/>
          <w:shd w:val="clear" w:color="auto" w:fill="FFFFFF"/>
        </w:rPr>
        <w:t>ETC will continue to monitor and provide updates regarding the proposed changes become effective</w:t>
      </w:r>
    </w:p>
    <w:p w14:paraId="1542AB78" w14:textId="77777777" w:rsidR="00022BF0" w:rsidRPr="00DD7BD1" w:rsidRDefault="00022BF0" w:rsidP="00022BF0">
      <w:pPr>
        <w:pStyle w:val="Heading1"/>
        <w:shd w:val="clear" w:color="auto" w:fill="FFFFFF"/>
        <w:spacing w:before="0" w:beforeAutospacing="0" w:after="0" w:afterAutospacing="0"/>
        <w:jc w:val="both"/>
        <w:rPr>
          <w:rFonts w:ascii="Calibri" w:hAnsi="Calibri" w:cs="Calibri"/>
          <w:b w:val="0"/>
          <w:bCs w:val="0"/>
          <w:spacing w:val="3"/>
          <w:sz w:val="16"/>
          <w:szCs w:val="16"/>
          <w:shd w:val="clear" w:color="auto" w:fill="FFFFFF"/>
        </w:rPr>
      </w:pPr>
    </w:p>
    <w:p w14:paraId="39B8E333" w14:textId="76F93E2C" w:rsidR="00022BF0" w:rsidRPr="00DD7BD1" w:rsidRDefault="00022BF0" w:rsidP="00022BF0">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IRS Announces 2024 Standard Mileage Rates Effective Jan 1, 2024</w:t>
      </w:r>
    </w:p>
    <w:p w14:paraId="04F0F5BF"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 xml:space="preserve">On Dec. 14, 2023, the IRS </w:t>
      </w:r>
      <w:hyperlink r:id="rId471" w:history="1">
        <w:r w:rsidRPr="00DD7BD1">
          <w:rPr>
            <w:rStyle w:val="Hyperlink"/>
            <w:rFonts w:eastAsia="Calibri" w:cs="Calibri"/>
            <w:szCs w:val="22"/>
          </w:rPr>
          <w:t>announced</w:t>
        </w:r>
      </w:hyperlink>
      <w:r w:rsidRPr="00DD7BD1">
        <w:rPr>
          <w:rFonts w:cs="Calibri"/>
          <w:szCs w:val="22"/>
        </w:rPr>
        <w:t xml:space="preserve"> </w:t>
      </w:r>
      <w:r w:rsidRPr="00DD7BD1">
        <w:rPr>
          <w:rFonts w:cs="Calibri"/>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The 2024 standard mileage rates for the use of a car (also vans, pickups or panel trucks) will be:</w:t>
      </w:r>
    </w:p>
    <w:p w14:paraId="2AADAB22"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67 cents per mile driven for business use, up 1 ½ cents from the rate for 2023;</w:t>
      </w:r>
    </w:p>
    <w:p w14:paraId="638B0773"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21 cents per mile driven for medical purposes or for moving purposes for qualified active duty members of the Armed Forces, down one cent from the rate for 2023; and</w:t>
      </w:r>
    </w:p>
    <w:p w14:paraId="67A9A748"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14 cents per mile driven in service of charitable organizations. The rate is set by statute and remains unchanged from 2023.</w:t>
      </w:r>
    </w:p>
    <w:p w14:paraId="7283738F" w14:textId="77777777" w:rsidR="00022BF0" w:rsidRPr="00DD7BD1" w:rsidRDefault="00022BF0" w:rsidP="00022BF0">
      <w:pPr>
        <w:pStyle w:val="Xbox"/>
        <w:numPr>
          <w:ilvl w:val="0"/>
          <w:numId w:val="0"/>
        </w:numPr>
        <w:spacing w:after="0" w:line="240" w:lineRule="auto"/>
        <w:ind w:left="540"/>
        <w:rPr>
          <w:rFonts w:cs="Calibri"/>
          <w:color w:val="auto"/>
          <w:sz w:val="12"/>
          <w:szCs w:val="12"/>
        </w:rPr>
      </w:pPr>
    </w:p>
    <w:p w14:paraId="37F51F33" w14:textId="77777777" w:rsidR="00022BF0" w:rsidRPr="00DD7BD1" w:rsidRDefault="00022BF0" w:rsidP="00022BF0">
      <w:pPr>
        <w:pStyle w:val="BodyText"/>
        <w:spacing w:after="0" w:line="240" w:lineRule="auto"/>
        <w:rPr>
          <w:rFonts w:cs="Calibri"/>
          <w:b/>
          <w:color w:val="auto"/>
          <w:szCs w:val="22"/>
        </w:rPr>
      </w:pPr>
      <w:r w:rsidRPr="00DD7BD1">
        <w:rPr>
          <w:rFonts w:cs="Calibri"/>
          <w:color w:val="auto"/>
          <w:szCs w:val="22"/>
        </w:rPr>
        <w:t xml:space="preserve">Under the Tax Cuts and Jobs Act, taxpayers </w:t>
      </w:r>
      <w:r w:rsidRPr="00DD7BD1">
        <w:rPr>
          <w:rFonts w:cs="Calibri"/>
          <w:b/>
          <w:color w:val="auto"/>
          <w:szCs w:val="22"/>
        </w:rPr>
        <w:t>cannot</w:t>
      </w:r>
      <w:r w:rsidRPr="00DD7BD1">
        <w:rPr>
          <w:rFonts w:cs="Calibri"/>
          <w:color w:val="auto"/>
          <w:szCs w:val="22"/>
        </w:rPr>
        <w:t xml:space="preserve"> claim a miscellaneous itemized deduction for unreimbursed employee travel expenses. Taxpayers also </w:t>
      </w:r>
      <w:r w:rsidRPr="00DD7BD1">
        <w:rPr>
          <w:rFonts w:cs="Calibri"/>
          <w:b/>
          <w:color w:val="auto"/>
          <w:szCs w:val="22"/>
        </w:rPr>
        <w:t xml:space="preserve">cannot </w:t>
      </w:r>
      <w:r w:rsidRPr="00DD7BD1">
        <w:rPr>
          <w:rFonts w:cs="Calibri"/>
          <w:color w:val="auto"/>
          <w:szCs w:val="22"/>
        </w:rPr>
        <w:t xml:space="preserve">claim a deduction for moving expenses, unless they are members of the Armed Forces on active duty moving under orders to a permanent change of station. </w:t>
      </w:r>
    </w:p>
    <w:p w14:paraId="51BAB0E2"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Taxpayers always have the option of calculating the actual costs of using their vehicle rather than using the standard mileage rates.</w:t>
      </w:r>
    </w:p>
    <w:p w14:paraId="16039334" w14:textId="77777777" w:rsidR="00B06DBE" w:rsidRPr="00DD7BD1" w:rsidRDefault="00B06DBE" w:rsidP="00022BF0">
      <w:pPr>
        <w:pStyle w:val="BodyText"/>
        <w:spacing w:after="0" w:line="240" w:lineRule="auto"/>
        <w:rPr>
          <w:rFonts w:cs="Calibri"/>
          <w:color w:val="auto"/>
          <w:sz w:val="12"/>
          <w:szCs w:val="12"/>
        </w:rPr>
      </w:pPr>
    </w:p>
    <w:p w14:paraId="729EA80D" w14:textId="52D322E8" w:rsidR="00BC08A5" w:rsidRPr="00DD7BD1" w:rsidRDefault="00022BF0" w:rsidP="00145775">
      <w:pPr>
        <w:pStyle w:val="BodyText"/>
        <w:spacing w:after="0" w:line="240" w:lineRule="auto"/>
        <w:rPr>
          <w:rFonts w:cs="Calibri"/>
          <w:color w:val="auto"/>
          <w:szCs w:val="22"/>
        </w:rPr>
      </w:pPr>
      <w:r w:rsidRPr="00DD7BD1">
        <w:rPr>
          <w:rFonts w:cs="Calibri"/>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DD7BD1" w:rsidRDefault="00B06DBE" w:rsidP="00E818D9">
      <w:pPr>
        <w:pStyle w:val="Heading1"/>
        <w:shd w:val="clear" w:color="auto" w:fill="FFFFFF"/>
        <w:tabs>
          <w:tab w:val="left" w:pos="1080"/>
        </w:tabs>
        <w:spacing w:before="0" w:beforeAutospacing="0" w:after="0" w:afterAutospacing="0"/>
        <w:rPr>
          <w:rFonts w:ascii="Calibri" w:eastAsiaTheme="minorHAnsi" w:hAnsi="Calibri" w:cs="Calibri"/>
          <w:kern w:val="0"/>
          <w:sz w:val="12"/>
          <w:szCs w:val="12"/>
        </w:rPr>
      </w:pPr>
    </w:p>
    <w:p w14:paraId="670B98B8" w14:textId="08EF011E" w:rsidR="00F465F8" w:rsidRPr="00DD7BD1" w:rsidRDefault="00F465F8" w:rsidP="00F465F8">
      <w:pPr>
        <w:pStyle w:val="Heading1"/>
        <w:shd w:val="clear" w:color="auto" w:fill="FFFFFF"/>
        <w:tabs>
          <w:tab w:val="left" w:pos="1080"/>
        </w:tabs>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Exchange Notice Updated</w:t>
      </w:r>
    </w:p>
    <w:p w14:paraId="70E1EAEC" w14:textId="5AFFFA1C" w:rsidR="002006C2" w:rsidRPr="00DD7BD1" w:rsidRDefault="00F465F8" w:rsidP="00427CA7">
      <w:pPr>
        <w:pStyle w:val="NormalWeb"/>
        <w:shd w:val="clear" w:color="auto" w:fill="FFFFFF"/>
        <w:spacing w:before="0" w:beforeAutospacing="0"/>
        <w:jc w:val="both"/>
        <w:rPr>
          <w:rFonts w:ascii="Calibri" w:hAnsi="Calibri" w:cs="Calibri"/>
          <w:sz w:val="22"/>
          <w:szCs w:val="22"/>
        </w:rPr>
      </w:pPr>
      <w:r w:rsidRPr="00DD7BD1">
        <w:rPr>
          <w:rFonts w:ascii="Calibri" w:hAnsi="Calibri" w:cs="Calibri"/>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472" w:tgtFrame="_blank" w:history="1">
        <w:r w:rsidRPr="00DD7BD1">
          <w:rPr>
            <w:rStyle w:val="Hyperlink"/>
            <w:rFonts w:ascii="Calibri" w:eastAsia="Calibri" w:hAnsi="Calibri" w:cs="Calibri"/>
            <w:sz w:val="22"/>
            <w:szCs w:val="22"/>
          </w:rPr>
          <w:t>website</w:t>
        </w:r>
      </w:hyperlink>
      <w:r w:rsidRPr="00DD7BD1">
        <w:rPr>
          <w:rStyle w:val="Hyperlink"/>
          <w:rFonts w:ascii="Calibri" w:eastAsia="Calibri" w:hAnsi="Calibri" w:cs="Calibri"/>
          <w:sz w:val="22"/>
          <w:szCs w:val="22"/>
        </w:rPr>
        <w:t> </w:t>
      </w:r>
      <w:r w:rsidRPr="00DD7BD1">
        <w:rPr>
          <w:rFonts w:ascii="Calibri" w:hAnsi="Calibri" w:cs="Calibri"/>
          <w:sz w:val="22"/>
          <w:szCs w:val="22"/>
        </w:rPr>
        <w:t>in English and Spanish. The model notices have an expiration date of December 31, 2026. The previous versions expired on July 31, 2023, August 31, 2023, September 30, 2023, October 31, 2023, and November 30, 2023</w:t>
      </w:r>
      <w:r w:rsidR="00427CA7" w:rsidRPr="00DD7BD1">
        <w:rPr>
          <w:rFonts w:ascii="Calibri" w:hAnsi="Calibri" w:cs="Calibri"/>
          <w:sz w:val="22"/>
          <w:szCs w:val="22"/>
        </w:rPr>
        <w:t>.</w:t>
      </w:r>
    </w:p>
    <w:p w14:paraId="2FE9B764" w14:textId="77777777" w:rsidR="002006C2" w:rsidRPr="00DD7BD1" w:rsidRDefault="002006C2" w:rsidP="00427CA7">
      <w:pPr>
        <w:pStyle w:val="NormalWeb"/>
        <w:shd w:val="clear" w:color="auto" w:fill="FFFFFF"/>
        <w:spacing w:before="0" w:beforeAutospacing="0"/>
        <w:jc w:val="both"/>
        <w:rPr>
          <w:rFonts w:ascii="Calibri" w:hAnsi="Calibri" w:cs="Calibri"/>
          <w:sz w:val="22"/>
          <w:szCs w:val="22"/>
        </w:rPr>
      </w:pPr>
    </w:p>
    <w:p w14:paraId="17EB55AE" w14:textId="77777777" w:rsidR="00D11F7B" w:rsidRPr="00DD7BD1" w:rsidRDefault="00D11F7B">
      <w:pP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br w:type="page"/>
      </w:r>
    </w:p>
    <w:p w14:paraId="170271C0" w14:textId="77777777" w:rsidR="006C775B" w:rsidRPr="00DD7BD1" w:rsidRDefault="006C775B"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36946860" w14:textId="18EA7FCE" w:rsidR="006C775B" w:rsidRPr="00DD7BD1" w:rsidRDefault="00EC23F8" w:rsidP="00EC23F8">
      <w:pPr>
        <w:shd w:val="clear" w:color="auto" w:fill="FFFFFF"/>
        <w:jc w:val="center"/>
        <w:rPr>
          <w:rFonts w:ascii="Calibri" w:hAnsi="Calibri" w:cs="Calibri"/>
          <w:b/>
          <w:bCs/>
          <w:color w:val="0070C0"/>
          <w:sz w:val="32"/>
          <w:szCs w:val="32"/>
          <w:lang w:val="en"/>
        </w:rPr>
      </w:pPr>
      <w:bookmarkStart w:id="50" w:name="_Hlk139469249"/>
      <w:r w:rsidRPr="00EC23F8">
        <w:rPr>
          <w:rFonts w:ascii="Calibri" w:hAnsi="Calibri" w:cs="Calibri"/>
          <w:b/>
          <w:bCs/>
          <w:color w:val="C00000"/>
          <w:sz w:val="32"/>
          <w:szCs w:val="32"/>
          <w:lang w:val="en"/>
        </w:rPr>
        <w:t xml:space="preserve">State/City </w:t>
      </w:r>
      <w:r w:rsidR="006C775B" w:rsidRPr="00DD7BD1">
        <w:rPr>
          <w:rFonts w:ascii="Calibri" w:hAnsi="Calibri" w:cs="Calibri"/>
          <w:b/>
          <w:bCs/>
          <w:color w:val="C00000"/>
          <w:sz w:val="32"/>
          <w:szCs w:val="32"/>
          <w:lang w:val="en"/>
        </w:rPr>
        <w:t xml:space="preserve">New Regulatory </w:t>
      </w:r>
      <w:r>
        <w:rPr>
          <w:rFonts w:ascii="Calibri" w:hAnsi="Calibri" w:cs="Calibri"/>
          <w:b/>
          <w:bCs/>
          <w:color w:val="C00000"/>
          <w:sz w:val="32"/>
          <w:szCs w:val="32"/>
          <w:lang w:val="en"/>
        </w:rPr>
        <w:t xml:space="preserve">Compliance </w:t>
      </w:r>
      <w:r w:rsidR="006C775B" w:rsidRPr="00DD7BD1">
        <w:rPr>
          <w:rFonts w:ascii="Calibri" w:hAnsi="Calibri" w:cs="Calibri"/>
          <w:b/>
          <w:bCs/>
          <w:color w:val="C00000"/>
          <w:sz w:val="32"/>
          <w:szCs w:val="32"/>
          <w:lang w:val="en"/>
        </w:rPr>
        <w:t>Announcements &amp; Reminders</w:t>
      </w:r>
      <w:bookmarkEnd w:id="50"/>
    </w:p>
    <w:p w14:paraId="3402AFD2" w14:textId="4E1C812D" w:rsidR="00022BF0" w:rsidRPr="00DD7BD1" w:rsidRDefault="00022BF0" w:rsidP="00022BF0">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Alabama</w:t>
      </w:r>
    </w:p>
    <w:p w14:paraId="37E8020E" w14:textId="3D6F25E7"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5AA39698" w14:textId="77777777" w:rsidR="008C6649" w:rsidRPr="00DD7BD1" w:rsidRDefault="008C6649" w:rsidP="008C664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DD7BD1" w:rsidRDefault="008C6649" w:rsidP="00022BF0">
      <w:pPr>
        <w:pStyle w:val="Heading1"/>
        <w:shd w:val="clear" w:color="auto" w:fill="FFFFFF"/>
        <w:spacing w:before="0" w:beforeAutospacing="0" w:after="0" w:afterAutospacing="0" w:line="264" w:lineRule="atLeast"/>
        <w:jc w:val="center"/>
        <w:rPr>
          <w:rStyle w:val="Strong"/>
          <w:rFonts w:ascii="Calibri" w:hAnsi="Calibri" w:cs="Calibri"/>
          <w:b/>
          <w:bCs/>
          <w:kern w:val="0"/>
          <w:sz w:val="20"/>
          <w:szCs w:val="20"/>
        </w:rPr>
      </w:pPr>
    </w:p>
    <w:p w14:paraId="661FD89D" w14:textId="5448C5B2"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282828"/>
          <w:kern w:val="0"/>
          <w:sz w:val="28"/>
          <w:szCs w:val="28"/>
        </w:rPr>
      </w:pPr>
      <w:r w:rsidRPr="00DD7BD1">
        <w:rPr>
          <w:rStyle w:val="Strong"/>
          <w:rFonts w:ascii="Calibri" w:hAnsi="Calibri" w:cs="Calibri"/>
          <w:b/>
          <w:bCs/>
          <w:kern w:val="0"/>
          <w:sz w:val="28"/>
          <w:szCs w:val="28"/>
        </w:rPr>
        <w:t>AL Employer Reporting Obligations Coming in January 2024</w:t>
      </w:r>
    </w:p>
    <w:p w14:paraId="6EC5EA41" w14:textId="77777777" w:rsidR="00022BF0" w:rsidRPr="00DD7BD1" w:rsidRDefault="00022BF0" w:rsidP="00022BF0">
      <w:pPr>
        <w:spacing w:after="0" w:line="240" w:lineRule="auto"/>
        <w:jc w:val="both"/>
        <w:rPr>
          <w:rFonts w:ascii="Calibri" w:hAnsi="Calibri" w:cs="Calibri"/>
          <w:color w:val="292929"/>
          <w:spacing w:val="3"/>
          <w:shd w:val="clear" w:color="auto" w:fill="FFFFFF"/>
        </w:rPr>
      </w:pPr>
      <w:r w:rsidRPr="00DD7BD1">
        <w:rPr>
          <w:rFonts w:ascii="Calibri" w:hAnsi="Calibri" w:cs="Calibri"/>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D7BD1">
        <w:rPr>
          <w:rStyle w:val="Strong"/>
          <w:rFonts w:ascii="Calibri" w:hAnsi="Calibri" w:cs="Calibri"/>
          <w:spacing w:val="3"/>
          <w:shd w:val="clear" w:color="auto" w:fill="FFFFFF"/>
        </w:rPr>
        <w:t>Employers are required to report this information to the Alabama Department of Revenue by January 31, 2024.</w:t>
      </w:r>
      <w:r w:rsidRPr="00DD7BD1">
        <w:rPr>
          <w:rFonts w:ascii="Calibri" w:hAnsi="Calibri" w:cs="Calibri"/>
          <w:spacing w:val="3"/>
          <w:shd w:val="clear" w:color="auto" w:fill="FFFFFF"/>
        </w:rPr>
        <w:t xml:space="preserve"> Second, starting with the tax year beginning on January 1, 2024, Alabama employers must supplement their initial report on either a </w:t>
      </w:r>
      <w:r w:rsidRPr="00DD7BD1">
        <w:rPr>
          <w:rFonts w:ascii="Calibri" w:hAnsi="Calibri" w:cs="Calibri"/>
          <w:b/>
          <w:bCs/>
          <w:spacing w:val="3"/>
          <w:u w:val="single"/>
          <w:shd w:val="clear" w:color="auto" w:fill="FFFFFF"/>
        </w:rPr>
        <w:t>monthly or quarterly basis.</w:t>
      </w:r>
    </w:p>
    <w:p w14:paraId="11EEFAD8"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02FC3440" w14:textId="77777777" w:rsidR="00E43496" w:rsidRPr="00DD7BD1" w:rsidRDefault="009D5684" w:rsidP="00E43496">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Alaska</w:t>
      </w:r>
    </w:p>
    <w:p w14:paraId="3F36F93E" w14:textId="0B66D4BE" w:rsidR="00E43496" w:rsidRPr="00DD7BD1" w:rsidRDefault="00E43496" w:rsidP="00E43496">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Paid Sick Leave in Effect – </w:t>
      </w:r>
      <w:r w:rsidRPr="00DD7BD1">
        <w:rPr>
          <w:rFonts w:ascii="Calibri" w:hAnsi="Calibri" w:cs="Calibri"/>
          <w:b/>
          <w:color w:val="C00000"/>
          <w:spacing w:val="-4"/>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Sept</w:t>
      </w:r>
      <w:r w:rsidRPr="00DD7BD1">
        <w:rPr>
          <w:rFonts w:ascii="Calibri" w:hAnsi="Calibri" w:cs="Calibri"/>
          <w:b/>
          <w:color w:val="C00000"/>
          <w:spacing w:val="-9"/>
          <w:sz w:val="28"/>
        </w:rPr>
        <w:t xml:space="preserve"> </w:t>
      </w:r>
      <w:r w:rsidRPr="00DD7BD1">
        <w:rPr>
          <w:rFonts w:ascii="Calibri" w:hAnsi="Calibri" w:cs="Calibri"/>
          <w:b/>
          <w:color w:val="C00000"/>
          <w:spacing w:val="-4"/>
          <w:sz w:val="28"/>
        </w:rPr>
        <w:t>25,</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2025</w:t>
      </w:r>
    </w:p>
    <w:p w14:paraId="458DF90A" w14:textId="77777777" w:rsidR="00A85628" w:rsidRPr="00DD7BD1" w:rsidRDefault="00A85628" w:rsidP="00E43496">
      <w:pPr>
        <w:pStyle w:val="BodyText"/>
        <w:spacing w:after="0" w:line="240" w:lineRule="auto"/>
        <w:ind w:right="-180"/>
        <w:rPr>
          <w:rFonts w:cs="Calibri"/>
          <w:color w:val="auto"/>
          <w:w w:val="110"/>
          <w:szCs w:val="22"/>
        </w:rPr>
      </w:pPr>
      <w:r w:rsidRPr="00DD7BD1">
        <w:rPr>
          <w:rFonts w:cs="Calibri"/>
          <w:color w:val="auto"/>
          <w:w w:val="110"/>
          <w:szCs w:val="22"/>
        </w:rPr>
        <w:t>PSL law went into effect on July 1, 2025, with the regulations taking effect as of September 25, 2025.</w:t>
      </w:r>
    </w:p>
    <w:p w14:paraId="37601A48" w14:textId="77777777" w:rsidR="00E43496" w:rsidRPr="00DD7BD1" w:rsidRDefault="00E43496" w:rsidP="00E43496">
      <w:pPr>
        <w:pStyle w:val="BodyText"/>
        <w:spacing w:after="0" w:line="240" w:lineRule="auto"/>
        <w:ind w:right="-180"/>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5"/>
          <w:w w:val="110"/>
          <w:szCs w:val="22"/>
        </w:rPr>
        <w:t xml:space="preserve"> </w:t>
      </w:r>
      <w:r w:rsidRPr="00DD7BD1">
        <w:rPr>
          <w:rFonts w:cs="Calibri"/>
          <w:color w:val="auto"/>
          <w:w w:val="110"/>
          <w:szCs w:val="22"/>
        </w:rPr>
        <w:t>apply</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u w:val="single"/>
        </w:rPr>
        <w:t>all</w:t>
      </w:r>
      <w:r w:rsidRPr="00DD7BD1">
        <w:rPr>
          <w:rFonts w:cs="Calibri"/>
          <w:color w:val="auto"/>
          <w:spacing w:val="-10"/>
          <w:w w:val="110"/>
          <w:szCs w:val="22"/>
          <w:u w:val="single"/>
        </w:rPr>
        <w:t xml:space="preserve"> </w:t>
      </w:r>
      <w:r w:rsidRPr="00DD7BD1">
        <w:rPr>
          <w:rFonts w:cs="Calibri"/>
          <w:color w:val="auto"/>
          <w:w w:val="110"/>
          <w:szCs w:val="22"/>
          <w:u w:val="single"/>
        </w:rPr>
        <w:t>sizes</w:t>
      </w:r>
      <w:r w:rsidRPr="00DD7BD1">
        <w:rPr>
          <w:rFonts w:cs="Calibri"/>
          <w:color w:val="auto"/>
          <w:spacing w:val="-8"/>
          <w:w w:val="110"/>
          <w:szCs w:val="22"/>
          <w:u w:val="single"/>
        </w:rPr>
        <w:t xml:space="preserve"> </w:t>
      </w:r>
      <w:r w:rsidRPr="00DD7BD1">
        <w:rPr>
          <w:rFonts w:cs="Calibri"/>
          <w:color w:val="auto"/>
          <w:w w:val="110"/>
          <w:szCs w:val="22"/>
          <w:u w:val="single"/>
        </w:rPr>
        <w:t>in</w:t>
      </w:r>
      <w:r w:rsidRPr="00DD7BD1">
        <w:rPr>
          <w:rFonts w:cs="Calibri"/>
          <w:color w:val="auto"/>
          <w:spacing w:val="-11"/>
          <w:w w:val="110"/>
          <w:szCs w:val="22"/>
          <w:u w:val="single"/>
        </w:rPr>
        <w:t xml:space="preserve"> </w:t>
      </w:r>
      <w:r w:rsidRPr="00DD7BD1">
        <w:rPr>
          <w:rFonts w:cs="Calibri"/>
          <w:color w:val="auto"/>
          <w:w w:val="110"/>
          <w:szCs w:val="22"/>
          <w:u w:val="single"/>
        </w:rPr>
        <w:t>Alaska</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regulations</w:t>
      </w:r>
      <w:r w:rsidRPr="00DD7BD1">
        <w:rPr>
          <w:rFonts w:cs="Calibri"/>
          <w:color w:val="auto"/>
          <w:spacing w:val="-8"/>
          <w:w w:val="110"/>
          <w:szCs w:val="22"/>
        </w:rPr>
        <w:t xml:space="preserve"> </w:t>
      </w:r>
      <w:r w:rsidRPr="00DD7BD1">
        <w:rPr>
          <w:rFonts w:cs="Calibri"/>
          <w:color w:val="auto"/>
          <w:w w:val="110"/>
          <w:szCs w:val="22"/>
        </w:rPr>
        <w:t>largely</w:t>
      </w:r>
      <w:r w:rsidRPr="00DD7BD1">
        <w:rPr>
          <w:rFonts w:cs="Calibri"/>
          <w:color w:val="auto"/>
          <w:spacing w:val="-10"/>
          <w:w w:val="110"/>
          <w:szCs w:val="22"/>
        </w:rPr>
        <w:t xml:space="preserve"> </w:t>
      </w:r>
      <w:r w:rsidRPr="00DD7BD1">
        <w:rPr>
          <w:rFonts w:cs="Calibri"/>
          <w:color w:val="auto"/>
          <w:w w:val="110"/>
          <w:szCs w:val="22"/>
        </w:rPr>
        <w:t>clarify,</w:t>
      </w:r>
      <w:r w:rsidRPr="00DD7BD1">
        <w:rPr>
          <w:rFonts w:cs="Calibri"/>
          <w:color w:val="auto"/>
          <w:spacing w:val="-12"/>
          <w:w w:val="110"/>
          <w:szCs w:val="22"/>
        </w:rPr>
        <w:t xml:space="preserve"> </w:t>
      </w:r>
      <w:r w:rsidRPr="00DD7BD1">
        <w:rPr>
          <w:rFonts w:cs="Calibri"/>
          <w:color w:val="auto"/>
          <w:w w:val="110"/>
          <w:szCs w:val="22"/>
        </w:rPr>
        <w:t>verify,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expand</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spacing w:val="-5"/>
          <w:w w:val="110"/>
          <w:szCs w:val="22"/>
        </w:rPr>
        <w:t>the</w:t>
      </w:r>
      <w:r w:rsidRPr="00DD7BD1">
        <w:rPr>
          <w:rFonts w:cs="Calibri"/>
          <w:color w:val="auto"/>
          <w:szCs w:val="22"/>
        </w:rPr>
        <w:t xml:space="preserve"> </w:t>
      </w:r>
      <w:r w:rsidRPr="00DD7BD1">
        <w:rPr>
          <w:rFonts w:cs="Calibri"/>
          <w:color w:val="auto"/>
          <w:w w:val="110"/>
          <w:szCs w:val="22"/>
        </w:rPr>
        <w:t>state’s</w:t>
      </w:r>
      <w:r w:rsidRPr="00DD7BD1">
        <w:rPr>
          <w:rFonts w:cs="Calibri"/>
          <w:color w:val="auto"/>
          <w:spacing w:val="7"/>
          <w:w w:val="110"/>
          <w:szCs w:val="22"/>
        </w:rPr>
        <w:t xml:space="preserve"> </w:t>
      </w:r>
      <w:r w:rsidRPr="00DD7BD1">
        <w:rPr>
          <w:rFonts w:cs="Calibri"/>
          <w:color w:val="auto"/>
          <w:w w:val="110"/>
          <w:szCs w:val="22"/>
        </w:rPr>
        <w:t>existing</w:t>
      </w:r>
      <w:r w:rsidRPr="00DD7BD1">
        <w:rPr>
          <w:rFonts w:cs="Calibri"/>
          <w:color w:val="auto"/>
          <w:spacing w:val="10"/>
          <w:w w:val="110"/>
          <w:szCs w:val="22"/>
        </w:rPr>
        <w:t xml:space="preserve"> </w:t>
      </w:r>
      <w:hyperlink r:id="rId473">
        <w:r w:rsidRPr="00DD7BD1">
          <w:rPr>
            <w:rFonts w:cs="Calibri"/>
            <w:color w:val="006FC0"/>
            <w:spacing w:val="-2"/>
            <w:w w:val="110"/>
            <w:szCs w:val="22"/>
            <w:u w:val="single" w:color="006FC0"/>
          </w:rPr>
          <w:t>FAQs</w:t>
        </w:r>
      </w:hyperlink>
      <w:r w:rsidRPr="00DD7BD1">
        <w:rPr>
          <w:rFonts w:cs="Calibri"/>
          <w:spacing w:val="-2"/>
          <w:w w:val="110"/>
          <w:szCs w:val="22"/>
        </w:rPr>
        <w:t>.</w:t>
      </w:r>
    </w:p>
    <w:p w14:paraId="7CDD0C2D" w14:textId="77777777" w:rsidR="00E43496" w:rsidRPr="00DD7BD1" w:rsidRDefault="00E43496" w:rsidP="00E43496">
      <w:pPr>
        <w:pStyle w:val="BodyText"/>
        <w:spacing w:after="0" w:line="240" w:lineRule="auto"/>
        <w:ind w:left="360"/>
        <w:rPr>
          <w:rFonts w:cs="Calibri"/>
          <w:b/>
          <w:bCs/>
          <w:color w:val="auto"/>
          <w:sz w:val="16"/>
          <w:szCs w:val="16"/>
        </w:rPr>
      </w:pPr>
    </w:p>
    <w:p w14:paraId="47291A40"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Below</w:t>
      </w:r>
      <w:r w:rsidRPr="00DD7BD1">
        <w:rPr>
          <w:rFonts w:cs="Calibri"/>
          <w:b/>
          <w:bCs/>
          <w:color w:val="auto"/>
          <w:spacing w:val="21"/>
          <w:szCs w:val="22"/>
        </w:rPr>
        <w:t xml:space="preserve"> </w:t>
      </w:r>
      <w:r w:rsidRPr="00DD7BD1">
        <w:rPr>
          <w:rFonts w:cs="Calibri"/>
          <w:b/>
          <w:bCs/>
          <w:color w:val="auto"/>
          <w:szCs w:val="22"/>
        </w:rPr>
        <w:t>are</w:t>
      </w:r>
      <w:r w:rsidRPr="00DD7BD1">
        <w:rPr>
          <w:rFonts w:cs="Calibri"/>
          <w:b/>
          <w:bCs/>
          <w:color w:val="auto"/>
          <w:spacing w:val="23"/>
          <w:szCs w:val="22"/>
        </w:rPr>
        <w:t xml:space="preserve"> </w:t>
      </w:r>
      <w:r w:rsidRPr="00DD7BD1">
        <w:rPr>
          <w:rFonts w:cs="Calibri"/>
          <w:b/>
          <w:bCs/>
          <w:color w:val="auto"/>
          <w:spacing w:val="-2"/>
          <w:szCs w:val="22"/>
        </w:rPr>
        <w:t>highlights:</w:t>
      </w:r>
    </w:p>
    <w:p w14:paraId="0EE0E57D"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3"/>
          <w:w w:val="110"/>
        </w:rPr>
        <w:t xml:space="preserve"> </w:t>
      </w:r>
      <w:r w:rsidRPr="00DD7BD1">
        <w:rPr>
          <w:rFonts w:ascii="Calibri" w:hAnsi="Calibri" w:cs="Calibri"/>
          <w:w w:val="110"/>
        </w:rPr>
        <w:t>don’t</w:t>
      </w:r>
      <w:r w:rsidRPr="00DD7BD1">
        <w:rPr>
          <w:rFonts w:ascii="Calibri" w:hAnsi="Calibri" w:cs="Calibri"/>
          <w:spacing w:val="-11"/>
          <w:w w:val="110"/>
        </w:rPr>
        <w:t xml:space="preserve"> </w:t>
      </w:r>
      <w:r w:rsidRPr="00DD7BD1">
        <w:rPr>
          <w:rFonts w:ascii="Calibri" w:hAnsi="Calibri" w:cs="Calibri"/>
          <w:w w:val="110"/>
        </w:rPr>
        <w:t>designate</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fixed</w:t>
      </w:r>
      <w:r w:rsidRPr="00DD7BD1">
        <w:rPr>
          <w:rFonts w:ascii="Calibri" w:hAnsi="Calibri" w:cs="Calibri"/>
          <w:spacing w:val="-12"/>
          <w:w w:val="110"/>
        </w:rPr>
        <w:t xml:space="preserve"> </w:t>
      </w:r>
      <w:r w:rsidRPr="00DD7BD1">
        <w:rPr>
          <w:rFonts w:ascii="Calibri" w:hAnsi="Calibri" w:cs="Calibri"/>
          <w:w w:val="110"/>
        </w:rPr>
        <w:t>52-week</w:t>
      </w:r>
      <w:r w:rsidRPr="00DD7BD1">
        <w:rPr>
          <w:rFonts w:ascii="Calibri" w:hAnsi="Calibri" w:cs="Calibri"/>
          <w:spacing w:val="-12"/>
          <w:w w:val="110"/>
        </w:rPr>
        <w:t xml:space="preserve"> </w:t>
      </w:r>
      <w:r w:rsidRPr="00DD7BD1">
        <w:rPr>
          <w:rFonts w:ascii="Calibri" w:hAnsi="Calibri" w:cs="Calibri"/>
          <w:w w:val="110"/>
        </w:rPr>
        <w:t>benefit</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3"/>
          <w:w w:val="110"/>
        </w:rPr>
        <w:t xml:space="preserve"> </w:t>
      </w:r>
      <w:r w:rsidRPr="00DD7BD1">
        <w:rPr>
          <w:rFonts w:ascii="Calibri" w:hAnsi="Calibri" w:cs="Calibri"/>
          <w:w w:val="110"/>
        </w:rPr>
        <w:t>will</w:t>
      </w:r>
      <w:r w:rsidRPr="00DD7BD1">
        <w:rPr>
          <w:rFonts w:ascii="Calibri" w:hAnsi="Calibri" w:cs="Calibri"/>
          <w:spacing w:val="-12"/>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use</w:t>
      </w:r>
      <w:r w:rsidRPr="00DD7BD1">
        <w:rPr>
          <w:rFonts w:ascii="Calibri" w:hAnsi="Calibri" w:cs="Calibri"/>
          <w:spacing w:val="-10"/>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calendar</w:t>
      </w:r>
      <w:r w:rsidRPr="00DD7BD1">
        <w:rPr>
          <w:rFonts w:ascii="Calibri" w:hAnsi="Calibri" w:cs="Calibri"/>
          <w:spacing w:val="-11"/>
          <w:w w:val="110"/>
        </w:rPr>
        <w:t xml:space="preserve"> </w:t>
      </w:r>
      <w:r w:rsidRPr="00DD7BD1">
        <w:rPr>
          <w:rFonts w:ascii="Calibri" w:hAnsi="Calibri" w:cs="Calibri"/>
          <w:w w:val="110"/>
        </w:rPr>
        <w:t>year</w:t>
      </w:r>
      <w:r w:rsidRPr="00DD7BD1">
        <w:rPr>
          <w:rFonts w:ascii="Calibri" w:hAnsi="Calibri" w:cs="Calibri"/>
          <w:spacing w:val="-11"/>
          <w:w w:val="110"/>
        </w:rPr>
        <w:t xml:space="preserve"> </w:t>
      </w:r>
      <w:r w:rsidRPr="00DD7BD1">
        <w:rPr>
          <w:rFonts w:ascii="Calibri" w:hAnsi="Calibri" w:cs="Calibri"/>
          <w:w w:val="110"/>
        </w:rPr>
        <w:t xml:space="preserve">by </w:t>
      </w:r>
      <w:r w:rsidRPr="00DD7BD1">
        <w:rPr>
          <w:rFonts w:ascii="Calibri" w:hAnsi="Calibri" w:cs="Calibri"/>
          <w:spacing w:val="-2"/>
          <w:w w:val="110"/>
        </w:rPr>
        <w:t>default.</w:t>
      </w:r>
    </w:p>
    <w:p w14:paraId="64D0B6E3"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8"/>
          <w:w w:val="110"/>
        </w:rPr>
        <w:t xml:space="preserve"> </w:t>
      </w:r>
      <w:r w:rsidRPr="00DD7BD1">
        <w:rPr>
          <w:rFonts w:ascii="Calibri" w:hAnsi="Calibri" w:cs="Calibri"/>
          <w:w w:val="110"/>
        </w:rPr>
        <w:t>that</w:t>
      </w:r>
      <w:r w:rsidRPr="00DD7BD1">
        <w:rPr>
          <w:rFonts w:ascii="Calibri" w:hAnsi="Calibri" w:cs="Calibri"/>
          <w:spacing w:val="-8"/>
          <w:w w:val="110"/>
        </w:rPr>
        <w:t xml:space="preserve"> </w:t>
      </w:r>
      <w:r w:rsidRPr="00DD7BD1">
        <w:rPr>
          <w:rFonts w:ascii="Calibri" w:hAnsi="Calibri" w:cs="Calibri"/>
          <w:w w:val="110"/>
        </w:rPr>
        <w:t>frontload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0"/>
          <w:w w:val="110"/>
        </w:rPr>
        <w:t xml:space="preserve"> </w:t>
      </w:r>
      <w:r w:rsidRPr="00DD7BD1">
        <w:rPr>
          <w:rFonts w:ascii="Calibri" w:hAnsi="Calibri" w:cs="Calibri"/>
          <w:w w:val="110"/>
        </w:rPr>
        <w:t>full</w:t>
      </w:r>
      <w:r w:rsidRPr="00DD7BD1">
        <w:rPr>
          <w:rFonts w:ascii="Calibri" w:hAnsi="Calibri" w:cs="Calibri"/>
          <w:spacing w:val="-9"/>
          <w:w w:val="110"/>
        </w:rPr>
        <w:t xml:space="preserve"> </w:t>
      </w:r>
      <w:r w:rsidRPr="00DD7BD1">
        <w:rPr>
          <w:rFonts w:ascii="Calibri" w:hAnsi="Calibri" w:cs="Calibri"/>
          <w:w w:val="110"/>
        </w:rPr>
        <w:t>annual</w:t>
      </w:r>
      <w:r w:rsidRPr="00DD7BD1">
        <w:rPr>
          <w:rFonts w:ascii="Calibri" w:hAnsi="Calibri" w:cs="Calibri"/>
          <w:spacing w:val="-9"/>
          <w:w w:val="110"/>
        </w:rPr>
        <w:t xml:space="preserve"> </w:t>
      </w:r>
      <w:r w:rsidRPr="00DD7BD1">
        <w:rPr>
          <w:rFonts w:ascii="Calibri" w:hAnsi="Calibri" w:cs="Calibri"/>
          <w:w w:val="110"/>
        </w:rPr>
        <w:t>PSL</w:t>
      </w:r>
      <w:r w:rsidRPr="00DD7BD1">
        <w:rPr>
          <w:rFonts w:ascii="Calibri" w:hAnsi="Calibri" w:cs="Calibri"/>
          <w:spacing w:val="-7"/>
          <w:w w:val="110"/>
        </w:rPr>
        <w:t xml:space="preserve"> </w:t>
      </w:r>
      <w:r w:rsidRPr="00DD7BD1">
        <w:rPr>
          <w:rFonts w:ascii="Calibri" w:hAnsi="Calibri" w:cs="Calibri"/>
          <w:w w:val="110"/>
        </w:rPr>
        <w:t>allotment</w:t>
      </w:r>
      <w:r w:rsidRPr="00DD7BD1">
        <w:rPr>
          <w:rFonts w:ascii="Calibri" w:hAnsi="Calibri" w:cs="Calibri"/>
          <w:spacing w:val="-12"/>
          <w:w w:val="110"/>
        </w:rPr>
        <w:t xml:space="preserve"> </w:t>
      </w:r>
      <w:r w:rsidRPr="00DD7BD1">
        <w:rPr>
          <w:rFonts w:ascii="Calibri" w:hAnsi="Calibri" w:cs="Calibri"/>
          <w:w w:val="110"/>
        </w:rPr>
        <w:t>at</w:t>
      </w:r>
      <w:r w:rsidRPr="00DD7BD1">
        <w:rPr>
          <w:rFonts w:ascii="Calibri" w:hAnsi="Calibri" w:cs="Calibri"/>
          <w:spacing w:val="-8"/>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beginning</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each</w:t>
      </w:r>
      <w:r w:rsidRPr="00DD7BD1">
        <w:rPr>
          <w:rFonts w:ascii="Calibri" w:hAnsi="Calibri" w:cs="Calibri"/>
          <w:spacing w:val="-10"/>
          <w:w w:val="110"/>
        </w:rPr>
        <w:t xml:space="preserve"> </w:t>
      </w:r>
      <w:r w:rsidRPr="00DD7BD1">
        <w:rPr>
          <w:rFonts w:ascii="Calibri" w:hAnsi="Calibri" w:cs="Calibri"/>
          <w:w w:val="110"/>
        </w:rPr>
        <w:t>benefit</w:t>
      </w:r>
      <w:r w:rsidRPr="00DD7BD1">
        <w:rPr>
          <w:rFonts w:ascii="Calibri" w:hAnsi="Calibri" w:cs="Calibri"/>
          <w:spacing w:val="-10"/>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don’t</w:t>
      </w:r>
      <w:r w:rsidRPr="00DD7BD1">
        <w:rPr>
          <w:rFonts w:ascii="Calibri" w:hAnsi="Calibri" w:cs="Calibri"/>
          <w:spacing w:val="-9"/>
          <w:w w:val="110"/>
        </w:rPr>
        <w:t xml:space="preserve"> </w:t>
      </w:r>
      <w:r w:rsidRPr="00DD7BD1">
        <w:rPr>
          <w:rFonts w:ascii="Calibri" w:hAnsi="Calibri" w:cs="Calibri"/>
          <w:w w:val="110"/>
        </w:rPr>
        <w:t>have</w:t>
      </w:r>
      <w:r w:rsidRPr="00DD7BD1">
        <w:rPr>
          <w:rFonts w:ascii="Calibri" w:hAnsi="Calibri" w:cs="Calibri"/>
          <w:spacing w:val="-7"/>
          <w:w w:val="110"/>
        </w:rPr>
        <w:t xml:space="preserve"> </w:t>
      </w:r>
      <w:r w:rsidRPr="00DD7BD1">
        <w:rPr>
          <w:rFonts w:ascii="Calibri" w:hAnsi="Calibri" w:cs="Calibri"/>
          <w:spacing w:val="-5"/>
          <w:w w:val="110"/>
        </w:rPr>
        <w:t xml:space="preserve">to </w:t>
      </w:r>
      <w:r w:rsidRPr="00DD7BD1">
        <w:rPr>
          <w:rFonts w:ascii="Calibri" w:hAnsi="Calibri" w:cs="Calibri"/>
          <w:w w:val="110"/>
        </w:rPr>
        <w:t>allow</w:t>
      </w:r>
      <w:r w:rsidRPr="00DD7BD1">
        <w:rPr>
          <w:rFonts w:ascii="Calibri" w:hAnsi="Calibri" w:cs="Calibri"/>
          <w:spacing w:val="-16"/>
          <w:w w:val="110"/>
        </w:rPr>
        <w:t xml:space="preserve"> </w:t>
      </w:r>
      <w:r w:rsidRPr="00DD7BD1">
        <w:rPr>
          <w:rFonts w:ascii="Calibri" w:hAnsi="Calibri" w:cs="Calibri"/>
          <w:spacing w:val="-2"/>
          <w:w w:val="110"/>
        </w:rPr>
        <w:t>carryover.</w:t>
      </w:r>
    </w:p>
    <w:p w14:paraId="3605116F"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t>Frontloaded</w:t>
      </w:r>
      <w:r w:rsidRPr="00DD7BD1">
        <w:rPr>
          <w:rFonts w:ascii="Calibri" w:hAnsi="Calibri" w:cs="Calibri"/>
          <w:spacing w:val="-7"/>
          <w:w w:val="110"/>
        </w:rPr>
        <w:t xml:space="preserve"> </w:t>
      </w:r>
      <w:r w:rsidRPr="00DD7BD1">
        <w:rPr>
          <w:rFonts w:ascii="Calibri" w:hAnsi="Calibri" w:cs="Calibri"/>
          <w:spacing w:val="-2"/>
          <w:w w:val="110"/>
        </w:rPr>
        <w:t>PSL</w:t>
      </w:r>
      <w:r w:rsidRPr="00DD7BD1">
        <w:rPr>
          <w:rFonts w:ascii="Calibri" w:hAnsi="Calibri" w:cs="Calibri"/>
          <w:spacing w:val="-6"/>
          <w:w w:val="110"/>
        </w:rPr>
        <w:t xml:space="preserve"> </w:t>
      </w:r>
      <w:r w:rsidRPr="00DD7BD1">
        <w:rPr>
          <w:rFonts w:ascii="Calibri" w:hAnsi="Calibri" w:cs="Calibri"/>
          <w:spacing w:val="-2"/>
          <w:w w:val="110"/>
        </w:rPr>
        <w:t>hours</w:t>
      </w:r>
      <w:r w:rsidRPr="00DD7BD1">
        <w:rPr>
          <w:rFonts w:ascii="Calibri" w:hAnsi="Calibri" w:cs="Calibri"/>
          <w:spacing w:val="-7"/>
          <w:w w:val="110"/>
        </w:rPr>
        <w:t xml:space="preserve"> </w:t>
      </w:r>
      <w:r w:rsidRPr="00DD7BD1">
        <w:rPr>
          <w:rFonts w:ascii="Calibri" w:hAnsi="Calibri" w:cs="Calibri"/>
          <w:spacing w:val="-2"/>
          <w:w w:val="110"/>
        </w:rPr>
        <w:t>can</w:t>
      </w:r>
      <w:r w:rsidRPr="00DD7BD1">
        <w:rPr>
          <w:rFonts w:ascii="Calibri" w:hAnsi="Calibri" w:cs="Calibri"/>
          <w:spacing w:val="-6"/>
          <w:w w:val="110"/>
        </w:rPr>
        <w:t xml:space="preserve"> </w:t>
      </w:r>
      <w:r w:rsidRPr="00DD7BD1">
        <w:rPr>
          <w:rFonts w:ascii="Calibri" w:hAnsi="Calibri" w:cs="Calibri"/>
          <w:spacing w:val="-2"/>
          <w:w w:val="110"/>
        </w:rPr>
        <w:t>be</w:t>
      </w:r>
      <w:r w:rsidRPr="00DD7BD1">
        <w:rPr>
          <w:rFonts w:ascii="Calibri" w:hAnsi="Calibri" w:cs="Calibri"/>
          <w:spacing w:val="-7"/>
          <w:w w:val="110"/>
        </w:rPr>
        <w:t xml:space="preserve"> </w:t>
      </w:r>
      <w:r w:rsidRPr="00DD7BD1">
        <w:rPr>
          <w:rFonts w:ascii="Calibri" w:hAnsi="Calibri" w:cs="Calibri"/>
          <w:spacing w:val="-2"/>
          <w:w w:val="110"/>
        </w:rPr>
        <w:t>prorated</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10"/>
          <w:w w:val="110"/>
        </w:rPr>
        <w:t xml:space="preserve"> </w:t>
      </w:r>
      <w:r w:rsidRPr="00DD7BD1">
        <w:rPr>
          <w:rFonts w:ascii="Calibri" w:hAnsi="Calibri" w:cs="Calibri"/>
          <w:spacing w:val="-2"/>
          <w:w w:val="110"/>
        </w:rPr>
        <w:t>part-time</w:t>
      </w:r>
      <w:r w:rsidRPr="00DD7BD1">
        <w:rPr>
          <w:rFonts w:ascii="Calibri" w:hAnsi="Calibri" w:cs="Calibri"/>
          <w:spacing w:val="-8"/>
          <w:w w:val="110"/>
        </w:rPr>
        <w:t xml:space="preserve"> </w:t>
      </w:r>
      <w:r w:rsidRPr="00DD7BD1">
        <w:rPr>
          <w:rFonts w:ascii="Calibri" w:hAnsi="Calibri" w:cs="Calibri"/>
          <w:spacing w:val="-2"/>
          <w:w w:val="110"/>
        </w:rPr>
        <w:t>employees</w:t>
      </w:r>
      <w:r w:rsidRPr="00DD7BD1">
        <w:rPr>
          <w:rFonts w:ascii="Calibri" w:hAnsi="Calibri" w:cs="Calibri"/>
          <w:spacing w:val="-8"/>
          <w:w w:val="110"/>
        </w:rPr>
        <w:t xml:space="preserve"> </w:t>
      </w:r>
      <w:r w:rsidRPr="00DD7BD1">
        <w:rPr>
          <w:rFonts w:ascii="Calibri" w:hAnsi="Calibri" w:cs="Calibri"/>
          <w:spacing w:val="-2"/>
          <w:w w:val="110"/>
        </w:rPr>
        <w:t>and</w:t>
      </w:r>
      <w:r w:rsidRPr="00DD7BD1">
        <w:rPr>
          <w:rFonts w:ascii="Calibri" w:hAnsi="Calibri" w:cs="Calibri"/>
          <w:spacing w:val="-10"/>
          <w:w w:val="110"/>
        </w:rPr>
        <w:t xml:space="preserve"> </w:t>
      </w:r>
      <w:r w:rsidRPr="00DD7BD1">
        <w:rPr>
          <w:rFonts w:ascii="Calibri" w:hAnsi="Calibri" w:cs="Calibri"/>
          <w:spacing w:val="-2"/>
          <w:w w:val="110"/>
        </w:rPr>
        <w:t>those</w:t>
      </w:r>
      <w:r w:rsidRPr="00DD7BD1">
        <w:rPr>
          <w:rFonts w:ascii="Calibri" w:hAnsi="Calibri" w:cs="Calibri"/>
          <w:spacing w:val="-9"/>
          <w:w w:val="110"/>
        </w:rPr>
        <w:t xml:space="preserve"> </w:t>
      </w:r>
      <w:r w:rsidRPr="00DD7BD1">
        <w:rPr>
          <w:rFonts w:ascii="Calibri" w:hAnsi="Calibri" w:cs="Calibri"/>
          <w:spacing w:val="-2"/>
          <w:w w:val="110"/>
        </w:rPr>
        <w:t>hired</w:t>
      </w:r>
      <w:r w:rsidRPr="00DD7BD1">
        <w:rPr>
          <w:rFonts w:ascii="Calibri" w:hAnsi="Calibri" w:cs="Calibri"/>
          <w:spacing w:val="-9"/>
          <w:w w:val="110"/>
        </w:rPr>
        <w:t xml:space="preserve"> </w:t>
      </w:r>
      <w:r w:rsidRPr="00DD7BD1">
        <w:rPr>
          <w:rFonts w:ascii="Calibri" w:hAnsi="Calibri" w:cs="Calibri"/>
          <w:spacing w:val="-2"/>
          <w:w w:val="110"/>
        </w:rPr>
        <w:t>mid-benefit</w:t>
      </w:r>
      <w:r w:rsidRPr="00DD7BD1">
        <w:rPr>
          <w:rFonts w:ascii="Calibri" w:hAnsi="Calibri" w:cs="Calibri"/>
          <w:spacing w:val="-10"/>
          <w:w w:val="110"/>
        </w:rPr>
        <w:t xml:space="preserve"> </w:t>
      </w:r>
      <w:r w:rsidRPr="00DD7BD1">
        <w:rPr>
          <w:rFonts w:ascii="Calibri" w:hAnsi="Calibri" w:cs="Calibri"/>
          <w:spacing w:val="-4"/>
          <w:w w:val="110"/>
        </w:rPr>
        <w:t>year.</w:t>
      </w:r>
    </w:p>
    <w:p w14:paraId="7B7AA98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t>Employers</w:t>
      </w:r>
      <w:r w:rsidRPr="00DD7BD1">
        <w:rPr>
          <w:rFonts w:ascii="Calibri" w:hAnsi="Calibri" w:cs="Calibri"/>
          <w:spacing w:val="-4"/>
          <w:w w:val="110"/>
        </w:rPr>
        <w:t xml:space="preserve"> </w:t>
      </w:r>
      <w:r w:rsidRPr="00DD7BD1">
        <w:rPr>
          <w:rFonts w:ascii="Calibri" w:hAnsi="Calibri" w:cs="Calibri"/>
          <w:spacing w:val="-2"/>
          <w:w w:val="110"/>
        </w:rPr>
        <w:t>can’t</w:t>
      </w:r>
      <w:r w:rsidRPr="00DD7BD1">
        <w:rPr>
          <w:rFonts w:ascii="Calibri" w:hAnsi="Calibri" w:cs="Calibri"/>
          <w:spacing w:val="-5"/>
          <w:w w:val="110"/>
        </w:rPr>
        <w:t xml:space="preserve"> </w:t>
      </w:r>
      <w:r w:rsidRPr="00DD7BD1">
        <w:rPr>
          <w:rFonts w:ascii="Calibri" w:hAnsi="Calibri" w:cs="Calibri"/>
          <w:spacing w:val="-2"/>
          <w:w w:val="110"/>
        </w:rPr>
        <w:t>require</w:t>
      </w:r>
      <w:r w:rsidRPr="00DD7BD1">
        <w:rPr>
          <w:rFonts w:ascii="Calibri" w:hAnsi="Calibri" w:cs="Calibri"/>
          <w:spacing w:val="-8"/>
          <w:w w:val="110"/>
        </w:rPr>
        <w:t xml:space="preserve"> </w:t>
      </w:r>
      <w:r w:rsidRPr="00DD7BD1">
        <w:rPr>
          <w:rFonts w:ascii="Calibri" w:hAnsi="Calibri" w:cs="Calibri"/>
          <w:spacing w:val="-2"/>
          <w:w w:val="110"/>
        </w:rPr>
        <w:t>that</w:t>
      </w:r>
      <w:r w:rsidRPr="00DD7BD1">
        <w:rPr>
          <w:rFonts w:ascii="Calibri" w:hAnsi="Calibri" w:cs="Calibri"/>
          <w:spacing w:val="-5"/>
          <w:w w:val="110"/>
        </w:rPr>
        <w:t xml:space="preserve"> </w:t>
      </w: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more</w:t>
      </w:r>
      <w:r w:rsidRPr="00DD7BD1">
        <w:rPr>
          <w:rFonts w:ascii="Calibri" w:hAnsi="Calibri" w:cs="Calibri"/>
          <w:spacing w:val="-4"/>
          <w:w w:val="110"/>
        </w:rPr>
        <w:t xml:space="preserve"> </w:t>
      </w:r>
      <w:r w:rsidRPr="00DD7BD1">
        <w:rPr>
          <w:rFonts w:ascii="Calibri" w:hAnsi="Calibri" w:cs="Calibri"/>
          <w:spacing w:val="-2"/>
          <w:w w:val="110"/>
        </w:rPr>
        <w:t>than</w:t>
      </w:r>
      <w:r w:rsidRPr="00DD7BD1">
        <w:rPr>
          <w:rFonts w:ascii="Calibri" w:hAnsi="Calibri" w:cs="Calibri"/>
          <w:spacing w:val="-7"/>
          <w:w w:val="110"/>
        </w:rPr>
        <w:t xml:space="preserve"> </w:t>
      </w:r>
      <w:r w:rsidRPr="00DD7BD1">
        <w:rPr>
          <w:rFonts w:ascii="Calibri" w:hAnsi="Calibri" w:cs="Calibri"/>
          <w:spacing w:val="-2"/>
          <w:w w:val="110"/>
        </w:rPr>
        <w:t>10</w:t>
      </w:r>
      <w:r w:rsidRPr="00DD7BD1">
        <w:rPr>
          <w:rFonts w:ascii="Calibri" w:hAnsi="Calibri" w:cs="Calibri"/>
          <w:spacing w:val="-3"/>
          <w:w w:val="110"/>
        </w:rPr>
        <w:t xml:space="preserve"> </w:t>
      </w:r>
      <w:r w:rsidRPr="00DD7BD1">
        <w:rPr>
          <w:rFonts w:ascii="Calibri" w:hAnsi="Calibri" w:cs="Calibri"/>
          <w:spacing w:val="-2"/>
          <w:w w:val="110"/>
        </w:rPr>
        <w:t>calendar</w:t>
      </w:r>
      <w:r w:rsidRPr="00DD7BD1">
        <w:rPr>
          <w:rFonts w:ascii="Calibri" w:hAnsi="Calibri" w:cs="Calibri"/>
          <w:spacing w:val="-8"/>
          <w:w w:val="110"/>
        </w:rPr>
        <w:t xml:space="preserve"> </w:t>
      </w:r>
      <w:r w:rsidRPr="00DD7BD1">
        <w:rPr>
          <w:rFonts w:ascii="Calibri" w:hAnsi="Calibri" w:cs="Calibri"/>
          <w:spacing w:val="-2"/>
          <w:w w:val="110"/>
        </w:rPr>
        <w:t>days’</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4"/>
          <w:w w:val="110"/>
        </w:rPr>
        <w:t xml:space="preserve"> </w:t>
      </w:r>
      <w:r w:rsidRPr="00DD7BD1">
        <w:rPr>
          <w:rFonts w:ascii="Calibri" w:hAnsi="Calibri" w:cs="Calibri"/>
          <w:spacing w:val="-2"/>
          <w:w w:val="110"/>
        </w:rPr>
        <w:t>for</w:t>
      </w:r>
      <w:r w:rsidRPr="00DD7BD1">
        <w:rPr>
          <w:rFonts w:ascii="Calibri" w:hAnsi="Calibri" w:cs="Calibri"/>
          <w:spacing w:val="-5"/>
          <w:w w:val="110"/>
        </w:rPr>
        <w:t xml:space="preserve"> </w:t>
      </w:r>
      <w:r w:rsidRPr="00DD7BD1">
        <w:rPr>
          <w:rFonts w:ascii="Calibri" w:hAnsi="Calibri" w:cs="Calibri"/>
          <w:spacing w:val="-2"/>
          <w:w w:val="110"/>
        </w:rPr>
        <w:t>foreseeable</w:t>
      </w:r>
      <w:r w:rsidRPr="00DD7BD1">
        <w:rPr>
          <w:rFonts w:ascii="Calibri" w:hAnsi="Calibri" w:cs="Calibri"/>
          <w:spacing w:val="-4"/>
          <w:w w:val="110"/>
        </w:rPr>
        <w:t xml:space="preserve"> </w:t>
      </w:r>
      <w:r w:rsidRPr="00DD7BD1">
        <w:rPr>
          <w:rFonts w:ascii="Calibri" w:hAnsi="Calibri" w:cs="Calibri"/>
          <w:spacing w:val="-2"/>
          <w:w w:val="110"/>
        </w:rPr>
        <w:t>leave.</w:t>
      </w:r>
    </w:p>
    <w:p w14:paraId="2BC6E14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9"/>
          <w:w w:val="110"/>
        </w:rPr>
        <w:t xml:space="preserve"> </w:t>
      </w:r>
      <w:r w:rsidRPr="00DD7BD1">
        <w:rPr>
          <w:rFonts w:ascii="Calibri" w:hAnsi="Calibri" w:cs="Calibri"/>
          <w:w w:val="110"/>
        </w:rPr>
        <w:t>can</w:t>
      </w:r>
      <w:r w:rsidRPr="00DD7BD1">
        <w:rPr>
          <w:rFonts w:ascii="Calibri" w:hAnsi="Calibri" w:cs="Calibri"/>
          <w:spacing w:val="-11"/>
          <w:w w:val="110"/>
        </w:rPr>
        <w:t xml:space="preserve"> </w:t>
      </w:r>
      <w:r w:rsidRPr="00DD7BD1">
        <w:rPr>
          <w:rFonts w:ascii="Calibri" w:hAnsi="Calibri" w:cs="Calibri"/>
          <w:w w:val="110"/>
        </w:rPr>
        <w:t>have</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policy</w:t>
      </w:r>
      <w:r w:rsidRPr="00DD7BD1">
        <w:rPr>
          <w:rFonts w:ascii="Calibri" w:hAnsi="Calibri" w:cs="Calibri"/>
          <w:spacing w:val="-8"/>
          <w:w w:val="110"/>
        </w:rPr>
        <w:t xml:space="preserve"> </w:t>
      </w:r>
      <w:r w:rsidRPr="00DD7BD1">
        <w:rPr>
          <w:rFonts w:ascii="Calibri" w:hAnsi="Calibri" w:cs="Calibri"/>
          <w:w w:val="110"/>
        </w:rPr>
        <w:t>allowing</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cash</w:t>
      </w:r>
      <w:r w:rsidRPr="00DD7BD1">
        <w:rPr>
          <w:rFonts w:ascii="Calibri" w:hAnsi="Calibri" w:cs="Calibri"/>
          <w:spacing w:val="-12"/>
          <w:w w:val="110"/>
        </w:rPr>
        <w:t xml:space="preserve"> </w:t>
      </w:r>
      <w:r w:rsidRPr="00DD7BD1">
        <w:rPr>
          <w:rFonts w:ascii="Calibri" w:hAnsi="Calibri" w:cs="Calibri"/>
          <w:w w:val="110"/>
        </w:rPr>
        <w:t>out</w:t>
      </w:r>
      <w:r w:rsidRPr="00DD7BD1">
        <w:rPr>
          <w:rFonts w:ascii="Calibri" w:hAnsi="Calibri" w:cs="Calibri"/>
          <w:spacing w:val="-9"/>
          <w:w w:val="110"/>
        </w:rPr>
        <w:t xml:space="preserve"> </w:t>
      </w:r>
      <w:r w:rsidRPr="00DD7BD1">
        <w:rPr>
          <w:rFonts w:ascii="Calibri" w:hAnsi="Calibri" w:cs="Calibri"/>
          <w:w w:val="110"/>
        </w:rPr>
        <w:t>their</w:t>
      </w:r>
      <w:r w:rsidRPr="00DD7BD1">
        <w:rPr>
          <w:rFonts w:ascii="Calibri" w:hAnsi="Calibri" w:cs="Calibri"/>
          <w:spacing w:val="-10"/>
          <w:w w:val="110"/>
        </w:rPr>
        <w:t xml:space="preserve"> </w:t>
      </w:r>
      <w:r w:rsidRPr="00DD7BD1">
        <w:rPr>
          <w:rFonts w:ascii="Calibri" w:hAnsi="Calibri" w:cs="Calibri"/>
          <w:w w:val="110"/>
        </w:rPr>
        <w:t>PSL,</w:t>
      </w:r>
      <w:r w:rsidRPr="00DD7BD1">
        <w:rPr>
          <w:rFonts w:ascii="Calibri" w:hAnsi="Calibri" w:cs="Calibri"/>
          <w:spacing w:val="-11"/>
          <w:w w:val="110"/>
        </w:rPr>
        <w:t xml:space="preserve"> </w:t>
      </w:r>
      <w:r w:rsidRPr="00DD7BD1">
        <w:rPr>
          <w:rFonts w:ascii="Calibri" w:hAnsi="Calibri" w:cs="Calibri"/>
          <w:w w:val="110"/>
        </w:rPr>
        <w:t>upon</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11"/>
          <w:w w:val="110"/>
        </w:rPr>
        <w:t xml:space="preserve"> </w:t>
      </w:r>
      <w:r w:rsidRPr="00DD7BD1">
        <w:rPr>
          <w:rFonts w:ascii="Calibri" w:hAnsi="Calibri" w:cs="Calibri"/>
          <w:spacing w:val="-2"/>
          <w:w w:val="110"/>
        </w:rPr>
        <w:t>written request.</w:t>
      </w:r>
    </w:p>
    <w:p w14:paraId="07BD7262" w14:textId="77777777" w:rsidR="00E43496" w:rsidRPr="00DD7BD1" w:rsidRDefault="00E43496" w:rsidP="00E43496">
      <w:pPr>
        <w:pStyle w:val="BodyText"/>
        <w:spacing w:after="0" w:line="240" w:lineRule="auto"/>
        <w:rPr>
          <w:rFonts w:cs="Calibri"/>
          <w:b/>
          <w:bCs/>
          <w:color w:val="auto"/>
          <w:sz w:val="16"/>
          <w:szCs w:val="16"/>
        </w:rPr>
      </w:pPr>
    </w:p>
    <w:p w14:paraId="09D9CA4F"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Employer Notice</w:t>
      </w:r>
    </w:p>
    <w:p w14:paraId="0332EEBA" w14:textId="77777777" w:rsidR="00E43496" w:rsidRPr="00DD7BD1" w:rsidRDefault="00E43496" w:rsidP="00E43496">
      <w:pPr>
        <w:pStyle w:val="BodyText"/>
        <w:spacing w:after="0" w:line="240" w:lineRule="auto"/>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3"/>
          <w:w w:val="110"/>
          <w:szCs w:val="22"/>
        </w:rPr>
        <w:t xml:space="preserve"> </w:t>
      </w:r>
      <w:r w:rsidRPr="00DD7BD1">
        <w:rPr>
          <w:rFonts w:cs="Calibri"/>
          <w:color w:val="auto"/>
          <w:w w:val="110"/>
          <w:szCs w:val="22"/>
        </w:rPr>
        <w:t>also</w:t>
      </w:r>
      <w:r w:rsidRPr="00DD7BD1">
        <w:rPr>
          <w:rFonts w:cs="Calibri"/>
          <w:color w:val="auto"/>
          <w:spacing w:val="-13"/>
          <w:w w:val="110"/>
          <w:szCs w:val="22"/>
        </w:rPr>
        <w:t xml:space="preserve"> </w:t>
      </w:r>
      <w:r w:rsidRPr="00DD7BD1">
        <w:rPr>
          <w:rFonts w:cs="Calibri"/>
          <w:color w:val="auto"/>
          <w:w w:val="110"/>
          <w:szCs w:val="22"/>
        </w:rPr>
        <w:t>add</w:t>
      </w:r>
      <w:r w:rsidRPr="00DD7BD1">
        <w:rPr>
          <w:rFonts w:cs="Calibri"/>
          <w:color w:val="auto"/>
          <w:spacing w:val="-14"/>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5"/>
          <w:w w:val="110"/>
          <w:szCs w:val="22"/>
        </w:rPr>
        <w:t xml:space="preserve"> </w:t>
      </w:r>
      <w:r w:rsidRPr="00DD7BD1">
        <w:rPr>
          <w:rFonts w:cs="Calibri"/>
          <w:color w:val="auto"/>
          <w:w w:val="110"/>
          <w:szCs w:val="22"/>
        </w:rPr>
        <w:t>requirements</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writing</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given</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spacing w:val="-2"/>
          <w:w w:val="110"/>
          <w:szCs w:val="22"/>
        </w:rPr>
        <w:t>employees.</w:t>
      </w:r>
    </w:p>
    <w:p w14:paraId="53FD079F"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Calibri" w:hAnsi="Calibri" w:cs="Calibri"/>
        </w:rPr>
      </w:pPr>
      <w:r w:rsidRPr="00DD7BD1">
        <w:rPr>
          <w:rFonts w:ascii="Calibri" w:hAnsi="Calibri" w:cs="Calibri"/>
          <w:spacing w:val="-2"/>
          <w:w w:val="105"/>
        </w:rPr>
        <w:t>First,</w:t>
      </w:r>
      <w:r w:rsidRPr="00DD7BD1">
        <w:rPr>
          <w:rFonts w:ascii="Calibri" w:hAnsi="Calibri" w:cs="Calibri"/>
          <w:spacing w:val="-9"/>
          <w:w w:val="105"/>
        </w:rPr>
        <w:t xml:space="preserve"> </w:t>
      </w:r>
      <w:r w:rsidRPr="00DD7BD1">
        <w:rPr>
          <w:rFonts w:ascii="Calibri" w:hAnsi="Calibri" w:cs="Calibri"/>
          <w:spacing w:val="-2"/>
          <w:w w:val="105"/>
        </w:rPr>
        <w:t>employers</w:t>
      </w:r>
      <w:r w:rsidRPr="00DD7BD1">
        <w:rPr>
          <w:rFonts w:ascii="Calibri" w:hAnsi="Calibri" w:cs="Calibri"/>
          <w:spacing w:val="-10"/>
          <w:w w:val="105"/>
        </w:rPr>
        <w:t xml:space="preserve"> </w:t>
      </w:r>
      <w:r w:rsidRPr="00DD7BD1">
        <w:rPr>
          <w:rFonts w:ascii="Calibri" w:hAnsi="Calibri" w:cs="Calibri"/>
          <w:spacing w:val="-2"/>
          <w:w w:val="105"/>
        </w:rPr>
        <w:t>must</w:t>
      </w:r>
      <w:r w:rsidRPr="00DD7BD1">
        <w:rPr>
          <w:rFonts w:ascii="Calibri" w:hAnsi="Calibri" w:cs="Calibri"/>
          <w:spacing w:val="-12"/>
          <w:w w:val="105"/>
        </w:rPr>
        <w:t xml:space="preserve"> </w:t>
      </w:r>
      <w:r w:rsidRPr="00DD7BD1">
        <w:rPr>
          <w:rFonts w:ascii="Calibri" w:hAnsi="Calibri" w:cs="Calibri"/>
          <w:spacing w:val="-2"/>
          <w:w w:val="105"/>
        </w:rPr>
        <w:t>inform</w:t>
      </w:r>
      <w:r w:rsidRPr="00DD7BD1">
        <w:rPr>
          <w:rFonts w:ascii="Calibri" w:hAnsi="Calibri" w:cs="Calibri"/>
          <w:spacing w:val="-11"/>
          <w:w w:val="105"/>
        </w:rPr>
        <w:t xml:space="preserve"> </w:t>
      </w:r>
      <w:r w:rsidRPr="00DD7BD1">
        <w:rPr>
          <w:rFonts w:ascii="Calibri" w:hAnsi="Calibri" w:cs="Calibri"/>
          <w:spacing w:val="-2"/>
          <w:w w:val="105"/>
        </w:rPr>
        <w:t>employees</w:t>
      </w:r>
      <w:r w:rsidRPr="00DD7BD1">
        <w:rPr>
          <w:rFonts w:ascii="Calibri" w:hAnsi="Calibri" w:cs="Calibri"/>
          <w:spacing w:val="-4"/>
          <w:w w:val="105"/>
        </w:rPr>
        <w:t xml:space="preserve"> </w:t>
      </w:r>
      <w:r w:rsidRPr="00DD7BD1">
        <w:rPr>
          <w:rFonts w:ascii="Calibri" w:hAnsi="Calibri" w:cs="Calibri"/>
          <w:b/>
          <w:spacing w:val="-2"/>
          <w:w w:val="105"/>
        </w:rPr>
        <w:t>if</w:t>
      </w:r>
      <w:r w:rsidRPr="00DD7BD1">
        <w:rPr>
          <w:rFonts w:ascii="Calibri" w:hAnsi="Calibri" w:cs="Calibri"/>
          <w:b/>
          <w:spacing w:val="-9"/>
          <w:w w:val="105"/>
        </w:rPr>
        <w:t xml:space="preserve"> </w:t>
      </w:r>
      <w:r w:rsidRPr="00DD7BD1">
        <w:rPr>
          <w:rFonts w:ascii="Calibri" w:hAnsi="Calibri" w:cs="Calibri"/>
          <w:b/>
          <w:spacing w:val="-2"/>
          <w:w w:val="105"/>
        </w:rPr>
        <w:t>an</w:t>
      </w:r>
      <w:r w:rsidRPr="00DD7BD1">
        <w:rPr>
          <w:rFonts w:ascii="Calibri" w:hAnsi="Calibri" w:cs="Calibri"/>
          <w:b/>
          <w:spacing w:val="-8"/>
          <w:w w:val="105"/>
        </w:rPr>
        <w:t xml:space="preserve"> </w:t>
      </w:r>
      <w:r w:rsidRPr="00DD7BD1">
        <w:rPr>
          <w:rFonts w:ascii="Calibri" w:hAnsi="Calibri" w:cs="Calibri"/>
          <w:b/>
          <w:spacing w:val="-2"/>
          <w:w w:val="105"/>
        </w:rPr>
        <w:t>existing</w:t>
      </w:r>
      <w:r w:rsidRPr="00DD7BD1">
        <w:rPr>
          <w:rFonts w:ascii="Calibri" w:hAnsi="Calibri" w:cs="Calibri"/>
          <w:b/>
          <w:spacing w:val="-10"/>
          <w:w w:val="105"/>
        </w:rPr>
        <w:t xml:space="preserve"> </w:t>
      </w:r>
      <w:r w:rsidRPr="00DD7BD1">
        <w:rPr>
          <w:rFonts w:ascii="Calibri" w:hAnsi="Calibri" w:cs="Calibri"/>
          <w:b/>
          <w:spacing w:val="-2"/>
          <w:w w:val="105"/>
        </w:rPr>
        <w:t>paid</w:t>
      </w:r>
      <w:r w:rsidRPr="00DD7BD1">
        <w:rPr>
          <w:rFonts w:ascii="Calibri" w:hAnsi="Calibri" w:cs="Calibri"/>
          <w:b/>
          <w:spacing w:val="-8"/>
          <w:w w:val="105"/>
        </w:rPr>
        <w:t xml:space="preserve"> </w:t>
      </w:r>
      <w:r w:rsidRPr="00DD7BD1">
        <w:rPr>
          <w:rFonts w:ascii="Calibri" w:hAnsi="Calibri" w:cs="Calibri"/>
          <w:b/>
          <w:spacing w:val="-2"/>
          <w:w w:val="105"/>
        </w:rPr>
        <w:t>leave</w:t>
      </w:r>
      <w:r w:rsidRPr="00DD7BD1">
        <w:rPr>
          <w:rFonts w:ascii="Calibri" w:hAnsi="Calibri" w:cs="Calibri"/>
          <w:b/>
          <w:spacing w:val="-10"/>
          <w:w w:val="105"/>
        </w:rPr>
        <w:t xml:space="preserve"> </w:t>
      </w:r>
      <w:r w:rsidRPr="00DD7BD1">
        <w:rPr>
          <w:rFonts w:ascii="Calibri" w:hAnsi="Calibri" w:cs="Calibri"/>
          <w:b/>
          <w:spacing w:val="-2"/>
          <w:w w:val="105"/>
        </w:rPr>
        <w:t>policy</w:t>
      </w:r>
      <w:r w:rsidRPr="00DD7BD1">
        <w:rPr>
          <w:rFonts w:ascii="Calibri" w:hAnsi="Calibri" w:cs="Calibri"/>
          <w:b/>
          <w:spacing w:val="-9"/>
          <w:w w:val="105"/>
        </w:rPr>
        <w:t xml:space="preserve"> </w:t>
      </w:r>
      <w:r w:rsidRPr="00DD7BD1">
        <w:rPr>
          <w:rFonts w:ascii="Calibri" w:hAnsi="Calibri" w:cs="Calibri"/>
          <w:b/>
          <w:spacing w:val="-2"/>
          <w:w w:val="105"/>
        </w:rPr>
        <w:t>will</w:t>
      </w:r>
      <w:r w:rsidRPr="00DD7BD1">
        <w:rPr>
          <w:rFonts w:ascii="Calibri" w:hAnsi="Calibri" w:cs="Calibri"/>
          <w:b/>
          <w:spacing w:val="-9"/>
          <w:w w:val="105"/>
        </w:rPr>
        <w:t xml:space="preserve"> </w:t>
      </w:r>
      <w:r w:rsidRPr="00DD7BD1">
        <w:rPr>
          <w:rFonts w:ascii="Calibri" w:hAnsi="Calibri" w:cs="Calibri"/>
          <w:b/>
          <w:spacing w:val="-2"/>
          <w:w w:val="105"/>
        </w:rPr>
        <w:t>be</w:t>
      </w:r>
      <w:r w:rsidRPr="00DD7BD1">
        <w:rPr>
          <w:rFonts w:ascii="Calibri" w:hAnsi="Calibri" w:cs="Calibri"/>
          <w:b/>
          <w:spacing w:val="-10"/>
          <w:w w:val="105"/>
        </w:rPr>
        <w:t xml:space="preserve"> </w:t>
      </w:r>
      <w:r w:rsidRPr="00DD7BD1">
        <w:rPr>
          <w:rFonts w:ascii="Calibri" w:hAnsi="Calibri" w:cs="Calibri"/>
          <w:b/>
          <w:spacing w:val="-2"/>
          <w:w w:val="105"/>
        </w:rPr>
        <w:t>used</w:t>
      </w:r>
      <w:r w:rsidRPr="00DD7BD1">
        <w:rPr>
          <w:rFonts w:ascii="Calibri" w:hAnsi="Calibri" w:cs="Calibri"/>
          <w:b/>
          <w:spacing w:val="-8"/>
          <w:w w:val="105"/>
        </w:rPr>
        <w:t xml:space="preserve"> </w:t>
      </w:r>
      <w:r w:rsidRPr="00DD7BD1">
        <w:rPr>
          <w:rFonts w:ascii="Calibri" w:hAnsi="Calibri" w:cs="Calibri"/>
          <w:b/>
          <w:spacing w:val="-2"/>
          <w:w w:val="105"/>
        </w:rPr>
        <w:t>to</w:t>
      </w:r>
      <w:r w:rsidRPr="00DD7BD1">
        <w:rPr>
          <w:rFonts w:ascii="Calibri" w:hAnsi="Calibri" w:cs="Calibri"/>
          <w:b/>
          <w:spacing w:val="-9"/>
          <w:w w:val="105"/>
        </w:rPr>
        <w:t xml:space="preserve"> </w:t>
      </w:r>
      <w:r w:rsidRPr="00DD7BD1">
        <w:rPr>
          <w:rFonts w:ascii="Calibri" w:hAnsi="Calibri" w:cs="Calibri"/>
          <w:b/>
          <w:spacing w:val="-2"/>
          <w:w w:val="105"/>
        </w:rPr>
        <w:t>satisfy</w:t>
      </w:r>
      <w:r w:rsidRPr="00DD7BD1">
        <w:rPr>
          <w:rFonts w:ascii="Calibri" w:hAnsi="Calibri" w:cs="Calibri"/>
          <w:b/>
          <w:spacing w:val="-9"/>
          <w:w w:val="105"/>
        </w:rPr>
        <w:t xml:space="preserve"> </w:t>
      </w:r>
      <w:r w:rsidRPr="00DD7BD1">
        <w:rPr>
          <w:rFonts w:ascii="Calibri" w:hAnsi="Calibri" w:cs="Calibri"/>
          <w:b/>
          <w:spacing w:val="-2"/>
          <w:w w:val="105"/>
        </w:rPr>
        <w:t>PSL obligations</w:t>
      </w:r>
      <w:r w:rsidRPr="00DD7BD1">
        <w:rPr>
          <w:rFonts w:ascii="Calibri" w:hAnsi="Calibri" w:cs="Calibri"/>
          <w:spacing w:val="-2"/>
          <w:w w:val="105"/>
        </w:rPr>
        <w:t>.</w:t>
      </w:r>
    </w:p>
    <w:p w14:paraId="2D1A457E"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Second,</w:t>
      </w:r>
      <w:r w:rsidRPr="00DD7BD1">
        <w:rPr>
          <w:rFonts w:ascii="Calibri" w:hAnsi="Calibri" w:cs="Calibri"/>
          <w:spacing w:val="-13"/>
          <w:w w:val="105"/>
        </w:rPr>
        <w:t xml:space="preserve"> </w:t>
      </w:r>
      <w:r w:rsidRPr="00DD7BD1">
        <w:rPr>
          <w:rFonts w:ascii="Calibri" w:hAnsi="Calibri" w:cs="Calibri"/>
          <w:w w:val="105"/>
        </w:rPr>
        <w:t>employers</w:t>
      </w:r>
      <w:r w:rsidRPr="00DD7BD1">
        <w:rPr>
          <w:rFonts w:ascii="Calibri" w:hAnsi="Calibri" w:cs="Calibri"/>
          <w:spacing w:val="-12"/>
          <w:w w:val="105"/>
        </w:rPr>
        <w:t xml:space="preserve"> </w:t>
      </w:r>
      <w:r w:rsidRPr="00DD7BD1">
        <w:rPr>
          <w:rFonts w:ascii="Calibri" w:hAnsi="Calibri" w:cs="Calibri"/>
          <w:w w:val="105"/>
        </w:rPr>
        <w:t>must</w:t>
      </w:r>
      <w:r w:rsidRPr="00DD7BD1">
        <w:rPr>
          <w:rFonts w:ascii="Calibri" w:hAnsi="Calibri" w:cs="Calibri"/>
          <w:spacing w:val="-14"/>
          <w:w w:val="105"/>
        </w:rPr>
        <w:t xml:space="preserve"> </w:t>
      </w:r>
      <w:r w:rsidRPr="00DD7BD1">
        <w:rPr>
          <w:rFonts w:ascii="Calibri" w:hAnsi="Calibri" w:cs="Calibri"/>
          <w:w w:val="105"/>
        </w:rPr>
        <w:t>inform</w:t>
      </w:r>
      <w:r w:rsidRPr="00DD7BD1">
        <w:rPr>
          <w:rFonts w:ascii="Calibri" w:hAnsi="Calibri" w:cs="Calibri"/>
          <w:spacing w:val="-9"/>
          <w:w w:val="105"/>
        </w:rPr>
        <w:t xml:space="preserve"> </w:t>
      </w:r>
      <w:r w:rsidRPr="00DD7BD1">
        <w:rPr>
          <w:rFonts w:ascii="Calibri" w:hAnsi="Calibri" w:cs="Calibri"/>
          <w:w w:val="105"/>
        </w:rPr>
        <w:t>employees</w:t>
      </w:r>
      <w:r w:rsidRPr="00DD7BD1">
        <w:rPr>
          <w:rFonts w:ascii="Calibri" w:hAnsi="Calibri" w:cs="Calibri"/>
          <w:spacing w:val="-12"/>
          <w:w w:val="105"/>
        </w:rPr>
        <w:t xml:space="preserve"> </w:t>
      </w:r>
      <w:r w:rsidRPr="00DD7BD1">
        <w:rPr>
          <w:rFonts w:ascii="Calibri" w:hAnsi="Calibri" w:cs="Calibri"/>
          <w:w w:val="105"/>
        </w:rPr>
        <w:t>of</w:t>
      </w:r>
      <w:r w:rsidRPr="00DD7BD1">
        <w:rPr>
          <w:rFonts w:ascii="Calibri" w:hAnsi="Calibri" w:cs="Calibri"/>
          <w:spacing w:val="-5"/>
          <w:w w:val="105"/>
        </w:rPr>
        <w:t xml:space="preserve"> </w:t>
      </w:r>
      <w:r w:rsidRPr="00DD7BD1">
        <w:rPr>
          <w:rFonts w:ascii="Calibri" w:hAnsi="Calibri" w:cs="Calibri"/>
          <w:b/>
          <w:w w:val="105"/>
        </w:rPr>
        <w:t>any</w:t>
      </w:r>
      <w:r w:rsidRPr="00DD7BD1">
        <w:rPr>
          <w:rFonts w:ascii="Calibri" w:hAnsi="Calibri" w:cs="Calibri"/>
          <w:b/>
          <w:spacing w:val="-10"/>
          <w:w w:val="105"/>
        </w:rPr>
        <w:t xml:space="preserve"> </w:t>
      </w:r>
      <w:r w:rsidRPr="00DD7BD1">
        <w:rPr>
          <w:rFonts w:ascii="Calibri" w:hAnsi="Calibri" w:cs="Calibri"/>
          <w:b/>
          <w:w w:val="105"/>
        </w:rPr>
        <w:t>notice</w:t>
      </w:r>
      <w:r w:rsidRPr="00DD7BD1">
        <w:rPr>
          <w:rFonts w:ascii="Calibri" w:hAnsi="Calibri" w:cs="Calibri"/>
          <w:b/>
          <w:spacing w:val="-12"/>
          <w:w w:val="105"/>
        </w:rPr>
        <w:t xml:space="preserve"> </w:t>
      </w:r>
      <w:r w:rsidRPr="00DD7BD1">
        <w:rPr>
          <w:rFonts w:ascii="Calibri" w:hAnsi="Calibri" w:cs="Calibri"/>
          <w:b/>
          <w:w w:val="105"/>
        </w:rPr>
        <w:t>or</w:t>
      </w:r>
      <w:r w:rsidRPr="00DD7BD1">
        <w:rPr>
          <w:rFonts w:ascii="Calibri" w:hAnsi="Calibri" w:cs="Calibri"/>
          <w:b/>
          <w:spacing w:val="-12"/>
          <w:w w:val="105"/>
        </w:rPr>
        <w:t xml:space="preserve"> </w:t>
      </w:r>
      <w:r w:rsidRPr="00DD7BD1">
        <w:rPr>
          <w:rFonts w:ascii="Calibri" w:hAnsi="Calibri" w:cs="Calibri"/>
          <w:b/>
          <w:w w:val="105"/>
        </w:rPr>
        <w:t>verification</w:t>
      </w:r>
      <w:r w:rsidRPr="00DD7BD1">
        <w:rPr>
          <w:rFonts w:ascii="Calibri" w:hAnsi="Calibri" w:cs="Calibri"/>
          <w:b/>
          <w:spacing w:val="-12"/>
          <w:w w:val="105"/>
        </w:rPr>
        <w:t xml:space="preserve"> </w:t>
      </w:r>
      <w:r w:rsidRPr="00DD7BD1">
        <w:rPr>
          <w:rFonts w:ascii="Calibri" w:hAnsi="Calibri" w:cs="Calibri"/>
          <w:b/>
          <w:spacing w:val="-2"/>
          <w:w w:val="105"/>
        </w:rPr>
        <w:t>requirements</w:t>
      </w:r>
      <w:r w:rsidRPr="00DD7BD1">
        <w:rPr>
          <w:rFonts w:ascii="Calibri" w:hAnsi="Calibri" w:cs="Calibri"/>
          <w:spacing w:val="-2"/>
          <w:w w:val="105"/>
        </w:rPr>
        <w:t>.</w:t>
      </w:r>
    </w:p>
    <w:p w14:paraId="63E8BE60" w14:textId="77777777" w:rsidR="00E43496" w:rsidRPr="00DD7BD1" w:rsidRDefault="00E43496" w:rsidP="00E43496">
      <w:pPr>
        <w:pStyle w:val="BodyText"/>
        <w:spacing w:after="0" w:line="240" w:lineRule="auto"/>
        <w:ind w:right="729"/>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4"/>
          <w:w w:val="110"/>
          <w:szCs w:val="22"/>
        </w:rPr>
        <w:t xml:space="preserve"> </w:t>
      </w:r>
      <w:r w:rsidRPr="00DD7BD1">
        <w:rPr>
          <w:rFonts w:cs="Calibri"/>
          <w:color w:val="auto"/>
          <w:w w:val="110"/>
          <w:szCs w:val="22"/>
        </w:rPr>
        <w:t>expand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methods</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notice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employees. Acceptable methods will now include:</w:t>
      </w:r>
    </w:p>
    <w:p w14:paraId="72DC4D47"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A</w:t>
      </w:r>
      <w:r w:rsidRPr="00DD7BD1">
        <w:rPr>
          <w:rFonts w:ascii="Calibri" w:hAnsi="Calibri" w:cs="Calibri"/>
          <w:spacing w:val="3"/>
          <w:w w:val="105"/>
        </w:rPr>
        <w:t xml:space="preserve"> </w:t>
      </w:r>
      <w:r w:rsidRPr="00DD7BD1">
        <w:rPr>
          <w:rFonts w:ascii="Calibri" w:hAnsi="Calibri" w:cs="Calibri"/>
          <w:w w:val="105"/>
        </w:rPr>
        <w:t>written</w:t>
      </w:r>
      <w:r w:rsidRPr="00DD7BD1">
        <w:rPr>
          <w:rFonts w:ascii="Calibri" w:hAnsi="Calibri" w:cs="Calibri"/>
          <w:spacing w:val="2"/>
          <w:w w:val="105"/>
        </w:rPr>
        <w:t xml:space="preserve"> </w:t>
      </w:r>
      <w:r w:rsidRPr="00DD7BD1">
        <w:rPr>
          <w:rFonts w:ascii="Calibri" w:hAnsi="Calibri" w:cs="Calibri"/>
          <w:w w:val="105"/>
        </w:rPr>
        <w:t>notice</w:t>
      </w:r>
      <w:r w:rsidRPr="00DD7BD1">
        <w:rPr>
          <w:rFonts w:ascii="Calibri" w:hAnsi="Calibri" w:cs="Calibri"/>
          <w:spacing w:val="1"/>
          <w:w w:val="105"/>
        </w:rPr>
        <w:t xml:space="preserve"> </w:t>
      </w:r>
      <w:r w:rsidRPr="00DD7BD1">
        <w:rPr>
          <w:rFonts w:ascii="Calibri" w:hAnsi="Calibri" w:cs="Calibri"/>
          <w:w w:val="105"/>
        </w:rPr>
        <w:t>given</w:t>
      </w:r>
      <w:r w:rsidRPr="00DD7BD1">
        <w:rPr>
          <w:rFonts w:ascii="Calibri" w:hAnsi="Calibri" w:cs="Calibri"/>
          <w:spacing w:val="3"/>
          <w:w w:val="105"/>
        </w:rPr>
        <w:t xml:space="preserve"> </w:t>
      </w:r>
      <w:r w:rsidRPr="00DD7BD1">
        <w:rPr>
          <w:rFonts w:ascii="Calibri" w:hAnsi="Calibri" w:cs="Calibri"/>
          <w:w w:val="105"/>
        </w:rPr>
        <w:t>to</w:t>
      </w:r>
      <w:r w:rsidRPr="00DD7BD1">
        <w:rPr>
          <w:rFonts w:ascii="Calibri" w:hAnsi="Calibri" w:cs="Calibri"/>
          <w:spacing w:val="-1"/>
          <w:w w:val="105"/>
        </w:rPr>
        <w:t xml:space="preserve"> </w:t>
      </w:r>
      <w:r w:rsidRPr="00DD7BD1">
        <w:rPr>
          <w:rFonts w:ascii="Calibri" w:hAnsi="Calibri" w:cs="Calibri"/>
          <w:w w:val="105"/>
        </w:rPr>
        <w:t>each</w:t>
      </w:r>
      <w:r w:rsidRPr="00DD7BD1">
        <w:rPr>
          <w:rFonts w:ascii="Calibri" w:hAnsi="Calibri" w:cs="Calibri"/>
          <w:spacing w:val="3"/>
          <w:w w:val="105"/>
        </w:rPr>
        <w:t xml:space="preserve"> </w:t>
      </w:r>
      <w:r w:rsidRPr="00DD7BD1">
        <w:rPr>
          <w:rFonts w:ascii="Calibri" w:hAnsi="Calibri" w:cs="Calibri"/>
          <w:w w:val="105"/>
        </w:rPr>
        <w:t>employee</w:t>
      </w:r>
      <w:r w:rsidRPr="00DD7BD1">
        <w:rPr>
          <w:rFonts w:ascii="Calibri" w:hAnsi="Calibri" w:cs="Calibri"/>
          <w:spacing w:val="4"/>
          <w:w w:val="105"/>
        </w:rPr>
        <w:t xml:space="preserve"> </w:t>
      </w:r>
      <w:r w:rsidRPr="00DD7BD1">
        <w:rPr>
          <w:rFonts w:ascii="Calibri" w:hAnsi="Calibri" w:cs="Calibri"/>
          <w:w w:val="105"/>
        </w:rPr>
        <w:t>by</w:t>
      </w:r>
      <w:r w:rsidRPr="00DD7BD1">
        <w:rPr>
          <w:rFonts w:ascii="Calibri" w:hAnsi="Calibri" w:cs="Calibri"/>
          <w:spacing w:val="3"/>
          <w:w w:val="105"/>
        </w:rPr>
        <w:t xml:space="preserve"> </w:t>
      </w:r>
      <w:r w:rsidRPr="00DD7BD1">
        <w:rPr>
          <w:rFonts w:ascii="Calibri" w:hAnsi="Calibri" w:cs="Calibri"/>
          <w:w w:val="105"/>
        </w:rPr>
        <w:t>mail,</w:t>
      </w:r>
      <w:r w:rsidRPr="00DD7BD1">
        <w:rPr>
          <w:rFonts w:ascii="Calibri" w:hAnsi="Calibri" w:cs="Calibri"/>
          <w:spacing w:val="3"/>
          <w:w w:val="105"/>
        </w:rPr>
        <w:t xml:space="preserve"> </w:t>
      </w:r>
      <w:r w:rsidRPr="00DD7BD1">
        <w:rPr>
          <w:rFonts w:ascii="Calibri" w:hAnsi="Calibri" w:cs="Calibri"/>
          <w:w w:val="105"/>
        </w:rPr>
        <w:t>email,</w:t>
      </w:r>
      <w:r w:rsidRPr="00DD7BD1">
        <w:rPr>
          <w:rFonts w:ascii="Calibri" w:hAnsi="Calibri" w:cs="Calibri"/>
          <w:spacing w:val="4"/>
          <w:w w:val="105"/>
        </w:rPr>
        <w:t xml:space="preserve"> </w:t>
      </w:r>
      <w:r w:rsidRPr="00DD7BD1">
        <w:rPr>
          <w:rFonts w:ascii="Calibri" w:hAnsi="Calibri" w:cs="Calibri"/>
          <w:w w:val="105"/>
        </w:rPr>
        <w:t>or</w:t>
      </w:r>
      <w:r w:rsidRPr="00DD7BD1">
        <w:rPr>
          <w:rFonts w:ascii="Calibri" w:hAnsi="Calibri" w:cs="Calibri"/>
          <w:spacing w:val="3"/>
          <w:w w:val="105"/>
        </w:rPr>
        <w:t xml:space="preserve"> </w:t>
      </w:r>
      <w:r w:rsidRPr="00DD7BD1">
        <w:rPr>
          <w:rFonts w:ascii="Calibri" w:hAnsi="Calibri" w:cs="Calibri"/>
          <w:w w:val="105"/>
        </w:rPr>
        <w:t>attached</w:t>
      </w:r>
      <w:r w:rsidRPr="00DD7BD1">
        <w:rPr>
          <w:rFonts w:ascii="Calibri" w:hAnsi="Calibri" w:cs="Calibri"/>
          <w:spacing w:val="5"/>
          <w:w w:val="105"/>
        </w:rPr>
        <w:t xml:space="preserve"> </w:t>
      </w:r>
      <w:r w:rsidRPr="00DD7BD1">
        <w:rPr>
          <w:rFonts w:ascii="Calibri" w:hAnsi="Calibri" w:cs="Calibri"/>
          <w:w w:val="105"/>
        </w:rPr>
        <w:t>to</w:t>
      </w:r>
      <w:r w:rsidRPr="00DD7BD1">
        <w:rPr>
          <w:rFonts w:ascii="Calibri" w:hAnsi="Calibri" w:cs="Calibri"/>
          <w:spacing w:val="5"/>
          <w:w w:val="105"/>
        </w:rPr>
        <w:t xml:space="preserve"> </w:t>
      </w:r>
      <w:r w:rsidRPr="00DD7BD1">
        <w:rPr>
          <w:rFonts w:ascii="Calibri" w:hAnsi="Calibri" w:cs="Calibri"/>
          <w:w w:val="105"/>
        </w:rPr>
        <w:t>their</w:t>
      </w:r>
      <w:r w:rsidRPr="00DD7BD1">
        <w:rPr>
          <w:rFonts w:ascii="Calibri" w:hAnsi="Calibri" w:cs="Calibri"/>
          <w:spacing w:val="1"/>
          <w:w w:val="105"/>
        </w:rPr>
        <w:t xml:space="preserve"> </w:t>
      </w:r>
      <w:r w:rsidRPr="00DD7BD1">
        <w:rPr>
          <w:rFonts w:ascii="Calibri" w:hAnsi="Calibri" w:cs="Calibri"/>
          <w:spacing w:val="-2"/>
          <w:w w:val="105"/>
        </w:rPr>
        <w:t>paycheck</w:t>
      </w:r>
    </w:p>
    <w:p w14:paraId="646CDBBE" w14:textId="6FF07109"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spacing w:val="-2"/>
          <w:w w:val="110"/>
        </w:rPr>
        <w:t>A</w:t>
      </w:r>
      <w:r w:rsidRPr="00DD7BD1">
        <w:rPr>
          <w:rFonts w:ascii="Calibri" w:hAnsi="Calibri" w:cs="Calibri"/>
          <w:spacing w:val="-8"/>
          <w:w w:val="110"/>
        </w:rPr>
        <w:t xml:space="preserve"> </w:t>
      </w:r>
      <w:r w:rsidRPr="00DD7BD1">
        <w:rPr>
          <w:rFonts w:ascii="Calibri" w:hAnsi="Calibri" w:cs="Calibri"/>
          <w:spacing w:val="-2"/>
          <w:w w:val="110"/>
        </w:rPr>
        <w:t>posting</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7"/>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written</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6"/>
          <w:w w:val="110"/>
        </w:rPr>
        <w:t xml:space="preserve"> </w:t>
      </w:r>
      <w:r w:rsidRPr="00DD7BD1">
        <w:rPr>
          <w:rFonts w:ascii="Calibri" w:hAnsi="Calibri" w:cs="Calibri"/>
          <w:spacing w:val="-2"/>
          <w:w w:val="110"/>
        </w:rPr>
        <w:t>in</w:t>
      </w:r>
      <w:r w:rsidRPr="00DD7BD1">
        <w:rPr>
          <w:rFonts w:ascii="Calibri" w:hAnsi="Calibri" w:cs="Calibri"/>
          <w:spacing w:val="-6"/>
          <w:w w:val="110"/>
        </w:rPr>
        <w:t xml:space="preserve"> </w:t>
      </w:r>
      <w:r w:rsidRPr="00DD7BD1">
        <w:rPr>
          <w:rFonts w:ascii="Calibri" w:hAnsi="Calibri" w:cs="Calibri"/>
          <w:spacing w:val="-2"/>
          <w:w w:val="110"/>
        </w:rPr>
        <w:t>a</w:t>
      </w:r>
      <w:r w:rsidRPr="00DD7BD1">
        <w:rPr>
          <w:rFonts w:ascii="Calibri" w:hAnsi="Calibri" w:cs="Calibri"/>
          <w:spacing w:val="-7"/>
          <w:w w:val="110"/>
        </w:rPr>
        <w:t xml:space="preserve"> </w:t>
      </w:r>
      <w:r w:rsidRPr="00DD7BD1">
        <w:rPr>
          <w:rFonts w:ascii="Calibri" w:hAnsi="Calibri" w:cs="Calibri"/>
          <w:spacing w:val="-2"/>
          <w:w w:val="110"/>
        </w:rPr>
        <w:t>conspicuous</w:t>
      </w:r>
      <w:r w:rsidRPr="00DD7BD1">
        <w:rPr>
          <w:rFonts w:ascii="Calibri" w:hAnsi="Calibri" w:cs="Calibri"/>
          <w:spacing w:val="-9"/>
          <w:w w:val="110"/>
        </w:rPr>
        <w:t xml:space="preserve"> </w:t>
      </w:r>
      <w:r w:rsidRPr="00DD7BD1">
        <w:rPr>
          <w:rFonts w:ascii="Calibri" w:hAnsi="Calibri" w:cs="Calibri"/>
          <w:spacing w:val="-2"/>
          <w:w w:val="110"/>
        </w:rPr>
        <w:t>workplace</w:t>
      </w:r>
      <w:r w:rsidRPr="00DD7BD1">
        <w:rPr>
          <w:rFonts w:ascii="Calibri" w:hAnsi="Calibri" w:cs="Calibri"/>
          <w:spacing w:val="-7"/>
          <w:w w:val="110"/>
        </w:rPr>
        <w:t xml:space="preserve"> </w:t>
      </w:r>
      <w:r w:rsidRPr="00DD7BD1">
        <w:rPr>
          <w:rFonts w:ascii="Calibri" w:hAnsi="Calibri" w:cs="Calibri"/>
          <w:spacing w:val="-2"/>
          <w:w w:val="110"/>
        </w:rPr>
        <w:t>location</w:t>
      </w:r>
    </w:p>
    <w:p w14:paraId="42C1AFBE" w14:textId="77777777" w:rsidR="00E43496" w:rsidRPr="00DD7BD1" w:rsidRDefault="00E43496" w:rsidP="00E43496">
      <w:pPr>
        <w:pStyle w:val="ListParagraph"/>
        <w:widowControl w:val="0"/>
        <w:tabs>
          <w:tab w:val="left" w:pos="1079"/>
        </w:tabs>
        <w:autoSpaceDE w:val="0"/>
        <w:autoSpaceDN w:val="0"/>
        <w:spacing w:after="0" w:line="240" w:lineRule="auto"/>
        <w:ind w:left="1079"/>
        <w:contextualSpacing w:val="0"/>
        <w:rPr>
          <w:rFonts w:ascii="Calibri" w:hAnsi="Calibri" w:cs="Calibri"/>
        </w:rPr>
      </w:pPr>
    </w:p>
    <w:p w14:paraId="5573B96A" w14:textId="7F867614" w:rsidR="008631FB" w:rsidRPr="00DD7BD1" w:rsidRDefault="008631FB" w:rsidP="008631F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Captive Audience Ban – </w:t>
      </w:r>
      <w:r w:rsidRPr="00DD7BD1">
        <w:rPr>
          <w:rFonts w:ascii="Calibri" w:hAnsi="Calibri" w:cs="Calibri"/>
          <w:b/>
          <w:bCs/>
          <w:color w:val="C00000"/>
          <w:sz w:val="28"/>
          <w:szCs w:val="28"/>
          <w:shd w:val="clear" w:color="auto" w:fill="FFFFFF"/>
          <w:lang w:val="en"/>
        </w:rPr>
        <w:t>Eff July 1, 2025</w:t>
      </w:r>
    </w:p>
    <w:p w14:paraId="48288664" w14:textId="63614FA0"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Employers will be prohibited from taking—or threatening to take—adverse action against an employee for not attending an employer-sponsored meeting if its primary purpose is to share the employer’s opinion on </w:t>
      </w:r>
      <w:r w:rsidRPr="00DD7BD1">
        <w:rPr>
          <w:rFonts w:ascii="Calibri" w:hAnsi="Calibri" w:cs="Calibri"/>
          <w:i/>
          <w:iCs/>
          <w:shd w:val="clear" w:color="auto" w:fill="FFFFFF"/>
        </w:rPr>
        <w:t>religious</w:t>
      </w:r>
      <w:r w:rsidRPr="00DD7BD1">
        <w:rPr>
          <w:rFonts w:ascii="Calibri" w:hAnsi="Calibri" w:cs="Calibri"/>
          <w:shd w:val="clear" w:color="auto" w:fill="FFFFFF"/>
        </w:rPr>
        <w:t> or </w:t>
      </w:r>
      <w:r w:rsidRPr="00DD7BD1">
        <w:rPr>
          <w:rFonts w:ascii="Calibri" w:hAnsi="Calibri" w:cs="Calibri"/>
          <w:i/>
          <w:iCs/>
          <w:shd w:val="clear" w:color="auto" w:fill="FFFFFF"/>
        </w:rPr>
        <w:t>political matters</w:t>
      </w:r>
      <w:r w:rsidRPr="00DD7BD1">
        <w:rPr>
          <w:rFonts w:ascii="Calibri" w:hAnsi="Calibri" w:cs="Calibri"/>
          <w:shd w:val="clear" w:color="auto" w:fill="FFFFFF"/>
        </w:rPr>
        <w:t xml:space="preserve">. The same applies to listening to employer communications for this purpose. </w:t>
      </w:r>
    </w:p>
    <w:p w14:paraId="55B87E66" w14:textId="77777777"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defines matters as </w:t>
      </w:r>
      <w:r w:rsidRPr="00DD7BD1">
        <w:rPr>
          <w:rFonts w:ascii="Calibri" w:hAnsi="Calibri" w:cs="Calibri"/>
          <w:b/>
          <w:bCs/>
          <w:i/>
          <w:iCs/>
          <w:shd w:val="clear" w:color="auto" w:fill="FFFFFF"/>
        </w:rPr>
        <w:t>religious </w:t>
      </w:r>
      <w:r w:rsidRPr="00DD7BD1">
        <w:rPr>
          <w:rFonts w:ascii="Calibri" w:hAnsi="Calibri" w:cs="Calibri"/>
          <w:shd w:val="clear" w:color="auto" w:fill="FFFFFF"/>
        </w:rPr>
        <w:t>if they relate to religious affiliation and practice and the decision to join or support any religious organization or institution. Matters are considered </w:t>
      </w:r>
      <w:r w:rsidRPr="00DD7BD1">
        <w:rPr>
          <w:rFonts w:ascii="Calibri" w:hAnsi="Calibri" w:cs="Calibri"/>
          <w:b/>
          <w:bCs/>
          <w:i/>
          <w:iCs/>
          <w:shd w:val="clear" w:color="auto" w:fill="FFFFFF"/>
        </w:rPr>
        <w:t>political</w:t>
      </w:r>
      <w:r w:rsidRPr="00DD7BD1">
        <w:rPr>
          <w:rFonts w:ascii="Calibri" w:hAnsi="Calibri" w:cs="Calibri"/>
          <w:b/>
          <w:bCs/>
          <w:shd w:val="clear" w:color="auto" w:fill="FFFFFF"/>
        </w:rPr>
        <w:t> </w:t>
      </w:r>
      <w:r w:rsidRPr="00DD7BD1">
        <w:rPr>
          <w:rFonts w:ascii="Calibri" w:hAnsi="Calibri" w:cs="Calibri"/>
          <w:shd w:val="clear" w:color="auto" w:fill="FFFFFF"/>
        </w:rPr>
        <w:t>if they relate to any of the following:</w:t>
      </w:r>
    </w:p>
    <w:p w14:paraId="21D5E141"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Elections for political office, parties, and candidates</w:t>
      </w:r>
    </w:p>
    <w:p w14:paraId="252F380E"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Proposed legislation or regulations</w:t>
      </w:r>
    </w:p>
    <w:p w14:paraId="7DA4BB63" w14:textId="39AE00CB"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The decision to join or support any political party or political, civic, community, fraternal, or labor organization</w:t>
      </w:r>
    </w:p>
    <w:p w14:paraId="5F5414A0" w14:textId="647F907A"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DD7BD1" w:rsidRDefault="008631FB" w:rsidP="008631FB">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Allow employees to opt out of any meeting or communication covered by this law and make sure supervisors understand the prohibition.</w:t>
      </w:r>
    </w:p>
    <w:p w14:paraId="0AD1A6EB" w14:textId="18F52163" w:rsidR="00B87E5E" w:rsidRPr="00DD7BD1" w:rsidRDefault="00B87E5E" w:rsidP="00B87E5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&amp; Exempt Salary Threshold </w:t>
      </w:r>
      <w:r w:rsidRPr="00DD7BD1">
        <w:rPr>
          <w:rFonts w:ascii="Calibri" w:hAnsi="Calibri" w:cs="Calibri"/>
          <w:b/>
          <w:bCs/>
          <w:color w:val="C00000"/>
          <w:sz w:val="28"/>
          <w:szCs w:val="28"/>
          <w:shd w:val="clear" w:color="auto" w:fill="FFFFFF"/>
          <w:lang w:val="en"/>
        </w:rPr>
        <w:t>– Eff July 1, 2025</w:t>
      </w:r>
    </w:p>
    <w:p w14:paraId="27FD4B95" w14:textId="77777777"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The updated minimum wage and minimum salary for exempt executive, administrative, and professional (EAP) employees will increase as follows:</w:t>
      </w:r>
    </w:p>
    <w:p w14:paraId="3B494E2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2025: $13 per hour and $1,040 per week for EAP employees</w:t>
      </w:r>
    </w:p>
    <w:p w14:paraId="0648CCE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2026: $14 per hour and $1,120 per week for EAP employees</w:t>
      </w:r>
    </w:p>
    <w:p w14:paraId="31EA3288"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2027: $15 per hour and $1,200 per week for EAP employees</w:t>
      </w:r>
    </w:p>
    <w:p w14:paraId="00A1591C" w14:textId="77777777" w:rsidR="00B87E5E" w:rsidRPr="00DD7BD1" w:rsidRDefault="00B87E5E" w:rsidP="00B87E5E">
      <w:pPr>
        <w:rPr>
          <w:rFonts w:ascii="Calibri" w:hAnsi="Calibri" w:cs="Calibri"/>
          <w:sz w:val="16"/>
          <w:szCs w:val="16"/>
          <w:shd w:val="clear" w:color="auto" w:fill="FFFFFF"/>
        </w:rPr>
      </w:pPr>
    </w:p>
    <w:p w14:paraId="12E58951" w14:textId="2EA5D7EE"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Starting on January 1, 2028, the minimum wage and minimum salary for exempt EAP employees will be adjusted annually based on inflation.</w:t>
      </w:r>
    </w:p>
    <w:p w14:paraId="24E2B8FD" w14:textId="2B5994A9" w:rsidR="00BB4530" w:rsidRPr="00DD7BD1" w:rsidRDefault="00BB4530" w:rsidP="00B87E5E">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Paick Sick Leave &amp; More Details – </w:t>
      </w:r>
      <w:r w:rsidRPr="00DD7BD1">
        <w:rPr>
          <w:rFonts w:ascii="Calibri" w:hAnsi="Calibri" w:cs="Calibri"/>
          <w:b/>
          <w:bCs/>
          <w:color w:val="C00000"/>
          <w:sz w:val="28"/>
          <w:szCs w:val="28"/>
          <w:shd w:val="clear" w:color="auto" w:fill="FFFFFF"/>
          <w:lang w:val="en"/>
        </w:rPr>
        <w:t>Eff July 1, 2025</w:t>
      </w:r>
    </w:p>
    <w:p w14:paraId="28DF7E0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In November 2024, Alaska voters approved a </w:t>
      </w:r>
      <w:hyperlink r:id="rId474" w:history="1">
        <w:r w:rsidRPr="00DD7BD1">
          <w:rPr>
            <w:rStyle w:val="Hyperlink"/>
            <w:rFonts w:ascii="Calibri" w:hAnsi="Calibri" w:cs="Calibri"/>
            <w:shd w:val="clear" w:color="auto" w:fill="FFFFFF"/>
          </w:rPr>
          <w:t>ballot measure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requiring employers to provide paid sick leave to their workers, effective July 1, 2025. The Alaska Department of Labor and Workforce Development has published </w:t>
      </w:r>
      <w:hyperlink r:id="rId475"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about the law, and it expects to issue regulations in the Spring of 2025.</w:t>
      </w:r>
    </w:p>
    <w:p w14:paraId="20F1B9C4" w14:textId="77777777" w:rsidR="00BB4530" w:rsidRPr="00DD7BD1" w:rsidRDefault="00BB4530" w:rsidP="00BB4530">
      <w:pPr>
        <w:spacing w:after="0" w:line="240" w:lineRule="auto"/>
        <w:rPr>
          <w:rFonts w:ascii="Calibri" w:hAnsi="Calibri" w:cs="Calibri"/>
          <w:b/>
          <w:bCs/>
          <w:shd w:val="clear" w:color="auto" w:fill="FFFFFF"/>
        </w:rPr>
      </w:pPr>
    </w:p>
    <w:p w14:paraId="74706007"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Overview</w:t>
      </w:r>
    </w:p>
    <w:p w14:paraId="1620E5DB" w14:textId="77777777" w:rsidR="00BB4530" w:rsidRPr="00DD7BD1" w:rsidRDefault="00BB4530" w:rsidP="00BB4530">
      <w:pPr>
        <w:spacing w:after="0" w:line="240" w:lineRule="auto"/>
        <w:rPr>
          <w:rFonts w:ascii="Calibri" w:hAnsi="Calibri" w:cs="Calibri"/>
          <w:b/>
          <w:bCs/>
          <w:color w:val="2E74B5" w:themeColor="accent5" w:themeShade="BF"/>
          <w:shd w:val="clear" w:color="auto" w:fill="FFFFFF"/>
        </w:rPr>
      </w:pPr>
      <w:r w:rsidRPr="00DD7BD1">
        <w:rPr>
          <w:rFonts w:ascii="Calibri" w:hAnsi="Calibri" w:cs="Calibri"/>
          <w:b/>
          <w:bCs/>
          <w:color w:val="2E74B5" w:themeColor="accent5" w:themeShade="BF"/>
          <w:shd w:val="clear" w:color="auto" w:fill="FFFFFF"/>
        </w:rPr>
        <w:t xml:space="preserve">Highlights of the Alaska paid sick leave law include the following: </w:t>
      </w:r>
    </w:p>
    <w:p w14:paraId="071EB909"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allow workers to accrue and use 40-56 hours of paid sick leave per year, depending on the employer’s size;</w:t>
      </w:r>
    </w:p>
    <w:p w14:paraId="40AD43C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Unused, accrued paid sick leave carries over to the following year;</w:t>
      </w:r>
    </w:p>
    <w:p w14:paraId="726631CD"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provide employees with written notice of the law;</w:t>
      </w:r>
    </w:p>
    <w:p w14:paraId="55918BAB"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require advance notice of leave and documentation supporting leave taken;</w:t>
      </w:r>
    </w:p>
    <w:p w14:paraId="4BA8053F"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existing leave policies may meet the requirements of the law;</w:t>
      </w:r>
    </w:p>
    <w:p w14:paraId="07DE31D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not retaliate against employees for taking leave, including counting paid sick leave as an absence under an absence control policy; and</w:t>
      </w:r>
    </w:p>
    <w:p w14:paraId="722A7A17"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who violate the law may be liable for back wages and damages.</w:t>
      </w:r>
    </w:p>
    <w:p w14:paraId="629AA9A8"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626B820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b/>
          <w:bCs/>
          <w:shd w:val="clear" w:color="auto" w:fill="FFFFFF"/>
        </w:rPr>
        <w:t>Covered Employers</w:t>
      </w:r>
    </w:p>
    <w:p w14:paraId="5168F567"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All employers in Alaska are required to provide paid sick leave.</w:t>
      </w:r>
    </w:p>
    <w:p w14:paraId="429B519A" w14:textId="77777777" w:rsidR="00BB4530" w:rsidRPr="00DD7BD1" w:rsidRDefault="00BB4530" w:rsidP="00BB4530">
      <w:pPr>
        <w:spacing w:after="0" w:line="240" w:lineRule="auto"/>
        <w:rPr>
          <w:rFonts w:ascii="Calibri" w:hAnsi="Calibri" w:cs="Calibri"/>
          <w:b/>
          <w:bCs/>
          <w:shd w:val="clear" w:color="auto" w:fill="FFFFFF"/>
        </w:rPr>
      </w:pPr>
    </w:p>
    <w:p w14:paraId="5B964AF9"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2FC71DF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Minors under 18 who work less than 30 hours per week. (If the minor works more than 30 hours in a week, they must earn sick leave for all hours worked that week);</w:t>
            </w:r>
          </w:p>
        </w:tc>
      </w:tr>
    </w:tbl>
    <w:p w14:paraId="03A9C8F1" w14:textId="77777777" w:rsidR="00BB4530" w:rsidRPr="00DD7BD1" w:rsidRDefault="00BB4530" w:rsidP="00BB4530">
      <w:pPr>
        <w:spacing w:after="0" w:line="240" w:lineRule="auto"/>
        <w:rPr>
          <w:rFonts w:ascii="Calibri" w:hAnsi="Calibri" w:cs="Calibri"/>
          <w:sz w:val="20"/>
          <w:szCs w:val="20"/>
          <w:shd w:val="clear" w:color="auto" w:fill="FFFFFF"/>
          <w:lang w:val="en"/>
        </w:rPr>
      </w:pPr>
    </w:p>
    <w:p w14:paraId="238E77D4" w14:textId="77777777" w:rsidR="00BB4530" w:rsidRPr="00DD7BD1" w:rsidRDefault="00BB4530" w:rsidP="00BB4530">
      <w:pPr>
        <w:spacing w:after="0" w:line="240" w:lineRule="auto"/>
        <w:rPr>
          <w:rFonts w:ascii="Calibri" w:hAnsi="Calibri" w:cs="Calibri"/>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Apprentices with a minimum wage exemption from the department;</w:t>
            </w:r>
          </w:p>
        </w:tc>
      </w:tr>
      <w:tr w:rsidR="00BB4530" w:rsidRPr="00DD7BD1"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Student learners on a plan approved by the department;</w:t>
            </w:r>
          </w:p>
        </w:tc>
      </w:tr>
      <w:tr w:rsidR="00BB4530" w:rsidRPr="00DD7BD1"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Seasonal employees of a nonprofit residential summer camp;</w:t>
            </w:r>
          </w:p>
        </w:tc>
      </w:tr>
      <w:tr w:rsidR="00BB4530" w:rsidRPr="00DD7BD1"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Work therapy patients at a residential drug abuse or alcoholism treatment program;</w:t>
            </w:r>
          </w:p>
        </w:tc>
      </w:tr>
      <w:tr w:rsidR="00BB4530" w:rsidRPr="00DD7BD1"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Employed prisoners;</w:t>
            </w:r>
          </w:p>
        </w:tc>
      </w:tr>
      <w:tr w:rsidR="00BB4530" w:rsidRPr="00DD7BD1"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Employees covered by a collective bargaining agreement (CBA) that expressly waives the right to sick leave in clear and unambiguous terms;</w:t>
            </w:r>
          </w:p>
        </w:tc>
      </w:tr>
      <w:tr w:rsidR="00BB4530" w:rsidRPr="00DD7BD1"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DD7BD1"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Federal and state government employees; </w:t>
            </w:r>
          </w:p>
        </w:tc>
      </w:tr>
      <w:tr w:rsidR="00BB4530" w:rsidRPr="00DD7BD1"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Railroad workers subject to the federal Railroad Unemployment Insurance Act; and</w:t>
            </w:r>
          </w:p>
        </w:tc>
      </w:tr>
      <w:tr w:rsidR="00BB4530" w:rsidRPr="00DD7BD1"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Certain employees of motor vehicle dealers.</w:t>
            </w:r>
          </w:p>
        </w:tc>
      </w:tr>
    </w:tbl>
    <w:p w14:paraId="3ED6CDC0"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1A02447"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79C965B"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D40DD6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C798E2E"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E50608A"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2C946234"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92D5F0A" w14:textId="77777777" w:rsidR="00402F96" w:rsidRPr="00DD7BD1" w:rsidRDefault="00402F96" w:rsidP="00BB4530">
      <w:pPr>
        <w:spacing w:after="0" w:line="240" w:lineRule="auto"/>
        <w:rPr>
          <w:rFonts w:ascii="Calibri" w:hAnsi="Calibri" w:cs="Calibri"/>
          <w:b/>
          <w:bCs/>
          <w:shd w:val="clear" w:color="auto" w:fill="FFFFFF"/>
        </w:rPr>
      </w:pPr>
    </w:p>
    <w:p w14:paraId="1F8E21D9" w14:textId="77777777" w:rsidR="00402F96" w:rsidRPr="00DD7BD1" w:rsidRDefault="00402F96" w:rsidP="00BB4530">
      <w:pPr>
        <w:spacing w:after="0" w:line="240" w:lineRule="auto"/>
        <w:rPr>
          <w:rFonts w:ascii="Calibri" w:hAnsi="Calibri" w:cs="Calibri"/>
          <w:b/>
          <w:bCs/>
          <w:shd w:val="clear" w:color="auto" w:fill="FFFFFF"/>
        </w:rPr>
      </w:pPr>
    </w:p>
    <w:p w14:paraId="04B9AA27" w14:textId="77777777" w:rsidR="00402F96" w:rsidRPr="00DD7BD1" w:rsidRDefault="00402F96" w:rsidP="00BB4530">
      <w:pPr>
        <w:spacing w:after="0" w:line="240" w:lineRule="auto"/>
        <w:rPr>
          <w:rFonts w:ascii="Calibri" w:hAnsi="Calibri" w:cs="Calibri"/>
          <w:b/>
          <w:bCs/>
          <w:shd w:val="clear" w:color="auto" w:fill="FFFFFF"/>
        </w:rPr>
      </w:pPr>
    </w:p>
    <w:p w14:paraId="4DB01CED" w14:textId="77777777" w:rsidR="00402F96" w:rsidRPr="00DD7BD1" w:rsidRDefault="00402F96" w:rsidP="00BB4530">
      <w:pPr>
        <w:spacing w:after="0" w:line="240" w:lineRule="auto"/>
        <w:rPr>
          <w:rFonts w:ascii="Calibri" w:hAnsi="Calibri" w:cs="Calibri"/>
          <w:b/>
          <w:bCs/>
          <w:shd w:val="clear" w:color="auto" w:fill="FFFFFF"/>
        </w:rPr>
      </w:pPr>
    </w:p>
    <w:p w14:paraId="1290C1B5" w14:textId="77777777" w:rsidR="00402F96" w:rsidRPr="00DD7BD1" w:rsidRDefault="00402F96" w:rsidP="00BB4530">
      <w:pPr>
        <w:spacing w:after="0" w:line="240" w:lineRule="auto"/>
        <w:rPr>
          <w:rFonts w:ascii="Calibri" w:hAnsi="Calibri" w:cs="Calibri"/>
          <w:b/>
          <w:bCs/>
          <w:shd w:val="clear" w:color="auto" w:fill="FFFFFF"/>
        </w:rPr>
      </w:pPr>
    </w:p>
    <w:p w14:paraId="5262E059" w14:textId="77777777" w:rsidR="00402F96" w:rsidRPr="00DD7BD1" w:rsidRDefault="00402F96" w:rsidP="00BB4530">
      <w:pPr>
        <w:spacing w:after="0" w:line="240" w:lineRule="auto"/>
        <w:rPr>
          <w:rFonts w:ascii="Calibri" w:hAnsi="Calibri" w:cs="Calibri"/>
          <w:b/>
          <w:bCs/>
          <w:shd w:val="clear" w:color="auto" w:fill="FFFFFF"/>
        </w:rPr>
      </w:pPr>
    </w:p>
    <w:p w14:paraId="25BE7966" w14:textId="77777777" w:rsidR="00402F96" w:rsidRPr="00DD7BD1" w:rsidRDefault="00402F96" w:rsidP="00BB4530">
      <w:pPr>
        <w:spacing w:after="0" w:line="240" w:lineRule="auto"/>
        <w:rPr>
          <w:rFonts w:ascii="Calibri" w:hAnsi="Calibri" w:cs="Calibri"/>
          <w:b/>
          <w:bCs/>
          <w:shd w:val="clear" w:color="auto" w:fill="FFFFFF"/>
        </w:rPr>
      </w:pPr>
    </w:p>
    <w:p w14:paraId="20BFE1CF" w14:textId="77777777" w:rsidR="00402F96" w:rsidRPr="00DD7BD1" w:rsidRDefault="00402F96" w:rsidP="00BB4530">
      <w:pPr>
        <w:spacing w:after="0" w:line="240" w:lineRule="auto"/>
        <w:rPr>
          <w:rFonts w:ascii="Calibri" w:hAnsi="Calibri" w:cs="Calibri"/>
          <w:b/>
          <w:bCs/>
          <w:shd w:val="clear" w:color="auto" w:fill="FFFFFF"/>
        </w:rPr>
      </w:pPr>
    </w:p>
    <w:p w14:paraId="398CD7F2" w14:textId="77777777" w:rsidR="00402F96" w:rsidRPr="00DD7BD1" w:rsidRDefault="00402F96" w:rsidP="00BB4530">
      <w:pPr>
        <w:spacing w:after="0" w:line="240" w:lineRule="auto"/>
        <w:rPr>
          <w:rFonts w:ascii="Calibri" w:hAnsi="Calibri" w:cs="Calibri"/>
          <w:b/>
          <w:bCs/>
          <w:shd w:val="clear" w:color="auto" w:fill="FFFFFF"/>
        </w:rPr>
      </w:pPr>
    </w:p>
    <w:p w14:paraId="0F281664" w14:textId="77777777" w:rsidR="00E0077D" w:rsidRPr="00DD7BD1" w:rsidRDefault="00E0077D" w:rsidP="00BB4530">
      <w:pPr>
        <w:spacing w:after="0" w:line="240" w:lineRule="auto"/>
        <w:rPr>
          <w:rFonts w:ascii="Calibri" w:hAnsi="Calibri" w:cs="Calibri"/>
          <w:b/>
          <w:bCs/>
          <w:shd w:val="clear" w:color="auto" w:fill="FFFFFF"/>
        </w:rPr>
      </w:pPr>
    </w:p>
    <w:p w14:paraId="53883716" w14:textId="56DD9EF6"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Accrual and Carryover of Paid Sick Leave</w:t>
      </w:r>
    </w:p>
    <w:p w14:paraId="2BB62ACC"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Salaried employees exempt from the overtime requirements of the federal Fair Labor Standards Act must be credited up to 40 hours of work per week if they normally work at least 40 hours in a week. If a salaried, exempt employee normally works fewer than 40 hours in a week, paid sick leave accrues based on that normal work week.</w:t>
      </w:r>
    </w:p>
    <w:p w14:paraId="10919893"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C96F2B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Paid sick leave is subject to the accrual and usage caps below: </w:t>
      </w:r>
    </w:p>
    <w:p w14:paraId="05EAB3A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DD7BD1"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40 hours of sick leave per year.</w:t>
            </w:r>
          </w:p>
        </w:tc>
      </w:tr>
      <w:tr w:rsidR="00BB4530" w:rsidRPr="00DD7BD1"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56 hours of sick leave per year.</w:t>
            </w:r>
          </w:p>
        </w:tc>
      </w:tr>
    </w:tbl>
    <w:p w14:paraId="6469703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color w:val="2E74B5" w:themeColor="accent5" w:themeShade="BF"/>
          <w:shd w:val="clear" w:color="auto" w:fill="FFFFFF"/>
        </w:rPr>
        <w:br/>
      </w:r>
    </w:p>
    <w:p w14:paraId="3C02557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Use of Paid Sick Leave</w:t>
      </w:r>
    </w:p>
    <w:p w14:paraId="597C459A"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use paid sick leave as it is accrued—there is no waiting period. Paid sick leave may be taken for the following reasons:</w:t>
      </w:r>
    </w:p>
    <w:p w14:paraId="0F871D49"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DD7BD1"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An employee’s mental or physical illness, injury or health condition; the employee’s need for medical diagnosis, care or treatment; or the employee’s need for preventative medical care</w:t>
            </w:r>
          </w:p>
        </w:tc>
      </w:tr>
      <w:tr w:rsidR="00BB4530" w:rsidRPr="00DD7BD1"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Care or assistance to the employee’s family member relating to the needs described above in Item 1</w:t>
            </w:r>
          </w:p>
        </w:tc>
      </w:tr>
      <w:tr w:rsidR="00BB4530" w:rsidRPr="00DD7BD1"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To obtain the following care or services for the employee or a family member because of domestic violence, sexual assault or stalking: </w:t>
            </w:r>
          </w:p>
          <w:p w14:paraId="37252A50"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Medical or psychological attention; </w:t>
            </w:r>
          </w:p>
          <w:p w14:paraId="27D517C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Services from a victim’s aid organization; </w:t>
            </w:r>
          </w:p>
          <w:p w14:paraId="34FE098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Relocation or steps to secure an existing home; or </w:t>
            </w:r>
          </w:p>
          <w:p w14:paraId="10C070E3"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Legal services, including participation in any investigation or civil or criminal proceeding</w:t>
            </w:r>
          </w:p>
        </w:tc>
      </w:tr>
    </w:tbl>
    <w:p w14:paraId="3745F5C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1F1BB4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“Family member” is defined broadly to include the employee’s:</w:t>
      </w:r>
    </w:p>
    <w:p w14:paraId="01A9E47E"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Domestic partner; </w:t>
      </w:r>
    </w:p>
    <w:p w14:paraId="7BEFDEBB"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child, legal ward or person to whom an employee stands in loco parentis; </w:t>
      </w:r>
    </w:p>
    <w:p w14:paraId="3C40B5E1"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parent, adoptive parent, legal guardian or a person who stood in loco parentis when the employee was a minor child; or </w:t>
      </w:r>
    </w:p>
    <w:p w14:paraId="198E3BA7"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Any other individual related to the employee by blood or whose close association with the employee is the equivalent of a family relationship.</w:t>
      </w:r>
    </w:p>
    <w:p w14:paraId="0093310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use paid sick leave in the smaller of hourly increments or the smallest increment that the employer’s payroll system uses to account for absences or use of other time. </w:t>
      </w:r>
    </w:p>
    <w:p w14:paraId="29CC148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Pr="00DD7BD1" w:rsidRDefault="00BB4530" w:rsidP="00BB4530">
      <w:pPr>
        <w:spacing w:after="0" w:line="240" w:lineRule="auto"/>
        <w:rPr>
          <w:rFonts w:ascii="Calibri" w:hAnsi="Calibri" w:cs="Calibri"/>
          <w:b/>
          <w:bCs/>
          <w:color w:val="2E74B5" w:themeColor="accent5" w:themeShade="BF"/>
          <w:sz w:val="28"/>
          <w:szCs w:val="28"/>
          <w:shd w:val="clear" w:color="auto" w:fill="FFFFFF"/>
          <w:lang w:val="en"/>
        </w:rPr>
      </w:pPr>
    </w:p>
    <w:p w14:paraId="50FDE21D" w14:textId="77777777" w:rsidR="00BB4530" w:rsidRPr="00DD7BD1" w:rsidRDefault="00BB4530" w:rsidP="00BB4530">
      <w:pPr>
        <w:pStyle w:val="Heading1"/>
        <w:spacing w:before="0" w:beforeAutospacing="0" w:after="0" w:afterAutospacing="0"/>
        <w:rPr>
          <w:rFonts w:ascii="Calibri" w:hAnsi="Calibri" w:cs="Calibri"/>
          <w:sz w:val="22"/>
          <w:szCs w:val="22"/>
        </w:rPr>
      </w:pPr>
      <w:r w:rsidRPr="00DD7BD1">
        <w:rPr>
          <w:rFonts w:ascii="Calibri" w:hAnsi="Calibri" w:cs="Calibri"/>
          <w:sz w:val="22"/>
          <w:szCs w:val="22"/>
        </w:rPr>
        <w:t>Employers’ Notice Obligations</w:t>
      </w:r>
    </w:p>
    <w:p w14:paraId="36D85ACC" w14:textId="77777777" w:rsidR="00BB4530" w:rsidRPr="00DD7BD1" w:rsidRDefault="00BB4530" w:rsidP="00BB4530">
      <w:pPr>
        <w:pStyle w:val="Body0"/>
        <w:spacing w:after="0" w:line="240" w:lineRule="auto"/>
        <w:rPr>
          <w:rFonts w:cs="Calibri"/>
          <w:szCs w:val="22"/>
        </w:rPr>
      </w:pPr>
      <w:r w:rsidRPr="00DD7BD1">
        <w:rPr>
          <w:rFonts w:cs="Calibri"/>
          <w:szCs w:val="22"/>
        </w:rPr>
        <w:t xml:space="preserve">Employers must give employees written notice of the following information at the start of employment or within 30 days of July 1, 2025, whichever is later: </w:t>
      </w:r>
    </w:p>
    <w:p w14:paraId="2520279E"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That beginning July 1, 2025, employees are entitled to paid sick leave;</w:t>
      </w:r>
    </w:p>
    <w:p w14:paraId="5D9C9444"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The amount of paid sick leave employees are entitled to;</w:t>
      </w:r>
    </w:p>
    <w:p w14:paraId="5AF0D39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 xml:space="preserve">The terms of paid sick leave use guaranteed under the law; and </w:t>
      </w:r>
    </w:p>
    <w:p w14:paraId="63F1138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That retaliation against employees who request or use paid sick leave is prohibited.</w:t>
      </w:r>
    </w:p>
    <w:p w14:paraId="2381511C" w14:textId="2B66C614" w:rsidR="00784E6F" w:rsidRPr="00DD7BD1" w:rsidRDefault="00784E6F" w:rsidP="00784E6F">
      <w:pPr>
        <w:pStyle w:val="BulletList"/>
        <w:numPr>
          <w:ilvl w:val="0"/>
          <w:numId w:val="0"/>
        </w:numPr>
        <w:spacing w:after="0" w:line="240" w:lineRule="auto"/>
        <w:ind w:left="540" w:hanging="360"/>
        <w:contextualSpacing/>
        <w:jc w:val="left"/>
        <w:rPr>
          <w:rFonts w:cs="Calibri"/>
          <w:b/>
          <w:bCs/>
          <w:color w:val="auto"/>
          <w:szCs w:val="22"/>
        </w:rPr>
      </w:pPr>
      <w:r w:rsidRPr="00DD7BD1">
        <w:rPr>
          <w:rFonts w:cs="Calibri"/>
          <w:b/>
          <w:bCs/>
          <w:color w:val="auto"/>
          <w:szCs w:val="22"/>
        </w:rPr>
        <w:t>ETC Published State Handbook Addendum for AK – May 2025</w:t>
      </w:r>
    </w:p>
    <w:p w14:paraId="50D61E61" w14:textId="77777777" w:rsidR="00BB4530" w:rsidRPr="00DD7BD1" w:rsidRDefault="00BB4530" w:rsidP="009D5684">
      <w:pPr>
        <w:spacing w:after="0"/>
        <w:jc w:val="center"/>
        <w:rPr>
          <w:rFonts w:ascii="Calibri" w:hAnsi="Calibri" w:cs="Calibri"/>
          <w:b/>
          <w:bCs/>
          <w:shd w:val="clear" w:color="auto" w:fill="FFFFFF"/>
          <w:lang w:val="en"/>
        </w:rPr>
      </w:pPr>
    </w:p>
    <w:p w14:paraId="47106FAF" w14:textId="7CAB407E" w:rsidR="009D5684" w:rsidRPr="00DD7BD1" w:rsidRDefault="009D5684" w:rsidP="009D5684">
      <w:pPr>
        <w:spacing w:after="0"/>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New Paid Sick Leave Regulations - </w:t>
      </w:r>
      <w:r w:rsidRPr="00DD7BD1">
        <w:rPr>
          <w:rFonts w:ascii="Calibri" w:hAnsi="Calibri" w:cs="Calibri"/>
          <w:b/>
          <w:bCs/>
          <w:color w:val="C00000"/>
          <w:sz w:val="28"/>
          <w:szCs w:val="28"/>
          <w:shd w:val="clear" w:color="auto" w:fill="FFFFFF"/>
          <w:lang w:val="en"/>
        </w:rPr>
        <w:t>July 1, 2025</w:t>
      </w:r>
    </w:p>
    <w:p w14:paraId="5C9974B9" w14:textId="77777777" w:rsidR="009D5684" w:rsidRPr="00DD7BD1" w:rsidRDefault="009D5684" w:rsidP="009D5684">
      <w:pPr>
        <w:spacing w:after="0"/>
        <w:rPr>
          <w:rFonts w:ascii="Calibri" w:hAnsi="Calibri" w:cs="Calibri"/>
          <w:color w:val="C00000"/>
          <w:shd w:val="clear" w:color="auto" w:fill="FFFFFF"/>
        </w:rPr>
      </w:pPr>
      <w:r w:rsidRPr="00DD7BD1">
        <w:rPr>
          <w:rFonts w:ascii="Calibri" w:hAnsi="Calibri" w:cs="Calibri"/>
          <w:shd w:val="clear" w:color="auto" w:fill="FFFFFF"/>
        </w:rPr>
        <w:t xml:space="preserve">Alaska has approved a </w:t>
      </w:r>
      <w:hyperlink r:id="rId476" w:history="1">
        <w:r w:rsidRPr="00DD7BD1">
          <w:rPr>
            <w:rStyle w:val="Hyperlink"/>
            <w:rFonts w:ascii="Calibri" w:hAnsi="Calibri" w:cs="Calibri"/>
            <w:shd w:val="clear" w:color="auto" w:fill="FFFFFF"/>
          </w:rPr>
          <w:t>ballot measure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Employers must begin providing eligible employees with 40-56 hours of paid sick leave per year. The maximum requirement depends on employer size.</w:t>
      </w:r>
    </w:p>
    <w:p w14:paraId="0C813938"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31, 2025 </w:t>
      </w:r>
      <w:r w:rsidRPr="00DD7BD1">
        <w:rPr>
          <w:rFonts w:ascii="Calibri" w:hAnsi="Calibri" w:cs="Calibri"/>
          <w:b/>
          <w:shd w:val="clear" w:color="auto" w:fill="FFFFFF"/>
        </w:rPr>
        <w:t xml:space="preserve">- </w:t>
      </w:r>
      <w:r w:rsidRPr="00DD7BD1">
        <w:rPr>
          <w:rFonts w:ascii="Calibri" w:hAnsi="Calibri" w:cs="Calibri"/>
          <w:shd w:val="clear" w:color="auto" w:fill="FFFFFF"/>
        </w:rPr>
        <w:t xml:space="preserve">Employers must provide employees with notice of their rights under the law. </w:t>
      </w:r>
    </w:p>
    <w:p w14:paraId="547CE266" w14:textId="77777777" w:rsidR="009D5684" w:rsidRPr="00DD7BD1" w:rsidRDefault="009D5684" w:rsidP="009D5684">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560640B7" w14:textId="40B4849F" w:rsidR="009D5684" w:rsidRPr="00DD7BD1" w:rsidRDefault="009D5684" w:rsidP="009D5684">
      <w:pPr>
        <w:spacing w:after="0"/>
        <w:jc w:val="center"/>
        <w:rPr>
          <w:rFonts w:ascii="Calibri" w:hAnsi="Calibri" w:cs="Calibri"/>
          <w:b/>
          <w:sz w:val="28"/>
          <w:szCs w:val="28"/>
          <w:shd w:val="clear" w:color="auto" w:fill="FFFFFF"/>
        </w:rPr>
      </w:pPr>
      <w:r w:rsidRPr="00DD7BD1">
        <w:rPr>
          <w:rFonts w:ascii="Calibri" w:hAnsi="Calibri" w:cs="Calibri"/>
          <w:b/>
          <w:bCs/>
          <w:sz w:val="28"/>
          <w:szCs w:val="28"/>
          <w:shd w:val="clear" w:color="auto" w:fill="FFFFFF"/>
          <w:lang w:val="en"/>
        </w:rPr>
        <w:t>State Votes</w:t>
      </w:r>
      <w:r w:rsidRPr="00DD7BD1">
        <w:rPr>
          <w:rFonts w:ascii="Calibri" w:hAnsi="Calibri" w:cs="Calibri"/>
          <w:b/>
          <w:sz w:val="28"/>
          <w:szCs w:val="28"/>
          <w:shd w:val="clear" w:color="auto" w:fill="FFFFFF"/>
        </w:rPr>
        <w:t xml:space="preserve"> in Favor of Captive Audience Ban – </w:t>
      </w:r>
      <w:r w:rsidRPr="00DD7BD1">
        <w:rPr>
          <w:rFonts w:ascii="Calibri" w:hAnsi="Calibri" w:cs="Calibri"/>
          <w:b/>
          <w:color w:val="C00000"/>
          <w:sz w:val="28"/>
          <w:szCs w:val="28"/>
          <w:shd w:val="clear" w:color="auto" w:fill="FFFFFF"/>
        </w:rPr>
        <w:t>July 1, 2025</w:t>
      </w:r>
    </w:p>
    <w:p w14:paraId="48ED8844" w14:textId="77777777" w:rsidR="009D5684" w:rsidRPr="00DD7BD1" w:rsidRDefault="009D5684" w:rsidP="009D56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Alaska voters passed </w:t>
      </w:r>
      <w:hyperlink r:id="rId477" w:anchor="page=10" w:history="1">
        <w:r w:rsidRPr="00DD7BD1">
          <w:rPr>
            <w:rStyle w:val="Hyperlink"/>
            <w:rFonts w:ascii="Calibri" w:hAnsi="Calibri" w:cs="Calibri"/>
            <w:shd w:val="clear" w:color="auto" w:fill="FFFFFF"/>
          </w:rPr>
          <w:t>Measure No. 1</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DD7BD1" w:rsidRDefault="009D5684" w:rsidP="008561D0">
      <w:pPr>
        <w:spacing w:after="0" w:line="240" w:lineRule="auto"/>
        <w:rPr>
          <w:rFonts w:ascii="Calibri" w:hAnsi="Calibri" w:cs="Calibri"/>
          <w:b/>
          <w:bCs/>
          <w:color w:val="2E74B5" w:themeColor="accent5" w:themeShade="BF"/>
          <w:sz w:val="16"/>
          <w:szCs w:val="16"/>
          <w:shd w:val="clear" w:color="auto" w:fill="FFFFFF"/>
          <w:lang w:val="en"/>
        </w:rPr>
      </w:pPr>
    </w:p>
    <w:p w14:paraId="79AAA633" w14:textId="77777777" w:rsidR="00B46928" w:rsidRPr="00DD7BD1" w:rsidRDefault="00B46928" w:rsidP="00B46928">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Arizona</w:t>
      </w:r>
    </w:p>
    <w:p w14:paraId="018B8A6E" w14:textId="6D6FEB81" w:rsidR="00B46928" w:rsidRPr="00DD7BD1" w:rsidRDefault="00B46928" w:rsidP="00B4692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2026</w:t>
      </w:r>
    </w:p>
    <w:p w14:paraId="614A576E"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wage rates in Arizona will increase as follows. </w:t>
      </w:r>
    </w:p>
    <w:p w14:paraId="7C08FD03"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rPr>
        <w:t>Statewide. The minimum wage will increase to $15.15 per hour. The minimum base wage for tipped employees will increase to $12.15 per hour.</w:t>
      </w:r>
    </w:p>
    <w:p w14:paraId="7FDF5086" w14:textId="77777777" w:rsidR="00B46928" w:rsidRPr="00DD7BD1" w:rsidRDefault="00B46928" w:rsidP="00B46928">
      <w:pPr>
        <w:spacing w:after="0" w:line="240" w:lineRule="auto"/>
        <w:rPr>
          <w:rFonts w:ascii="Calibri" w:hAnsi="Calibri" w:cs="Calibri"/>
          <w:sz w:val="16"/>
          <w:szCs w:val="16"/>
          <w:shd w:val="clear" w:color="auto" w:fill="FFFFFF"/>
        </w:rPr>
      </w:pPr>
    </w:p>
    <w:p w14:paraId="35212F5F"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Flagstaff: </w:t>
      </w:r>
      <w:r w:rsidRPr="00DD7BD1">
        <w:rPr>
          <w:rFonts w:ascii="Calibri" w:hAnsi="Calibri" w:cs="Calibri"/>
          <w:shd w:val="clear" w:color="auto" w:fill="FFFFFF"/>
        </w:rPr>
        <w:t>The minimum wage in Flagstaff will increase to $18.35 per hour for all employees. The lower base wage for tipped employees will be eliminated, meaning employers will need to pay the entire $18.35 directly.</w:t>
      </w:r>
    </w:p>
    <w:p w14:paraId="552331BE" w14:textId="77777777" w:rsidR="00B46928" w:rsidRPr="00DD7BD1" w:rsidRDefault="00B46928" w:rsidP="00B46928">
      <w:pPr>
        <w:spacing w:after="0" w:line="240" w:lineRule="auto"/>
        <w:rPr>
          <w:rFonts w:ascii="Calibri" w:hAnsi="Calibri" w:cs="Calibri"/>
          <w:b/>
          <w:bCs/>
          <w:sz w:val="16"/>
          <w:szCs w:val="16"/>
          <w:shd w:val="clear" w:color="auto" w:fill="FFFFFF"/>
        </w:rPr>
      </w:pPr>
    </w:p>
    <w:p w14:paraId="423824E2"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Tucson</w:t>
      </w:r>
      <w:r w:rsidRPr="00DD7BD1">
        <w:rPr>
          <w:rFonts w:ascii="Calibri" w:hAnsi="Calibri" w:cs="Calibri"/>
          <w:shd w:val="clear" w:color="auto" w:fill="FFFFFF"/>
        </w:rPr>
        <w:t>: The minimum wage in Tucson will increase to $15.45 per hour. The minimum base wage for tipped employees will be $12.45 per hour. </w:t>
      </w:r>
    </w:p>
    <w:p w14:paraId="1968CE93" w14:textId="77777777" w:rsidR="00A709CE" w:rsidRPr="00DD7BD1" w:rsidRDefault="00A709CE" w:rsidP="008561D0">
      <w:pPr>
        <w:spacing w:after="0" w:line="240" w:lineRule="auto"/>
        <w:rPr>
          <w:rFonts w:ascii="Calibri" w:hAnsi="Calibri" w:cs="Calibri"/>
          <w:b/>
          <w:bCs/>
          <w:color w:val="2E74B5" w:themeColor="accent5" w:themeShade="BF"/>
          <w:sz w:val="28"/>
          <w:szCs w:val="28"/>
          <w:shd w:val="clear" w:color="auto" w:fill="FFFFFF"/>
          <w:lang w:val="en"/>
        </w:rPr>
      </w:pPr>
    </w:p>
    <w:p w14:paraId="4BBF13C2" w14:textId="482495D4" w:rsidR="001A2C87" w:rsidRDefault="00022BF0" w:rsidP="008561D0">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California</w:t>
      </w:r>
      <w:r w:rsidR="00BC2995" w:rsidRPr="00DD7BD1">
        <w:rPr>
          <w:rFonts w:ascii="Calibri" w:hAnsi="Calibri" w:cs="Calibri"/>
          <w:b/>
          <w:bCs/>
          <w:color w:val="2E74B5" w:themeColor="accent5" w:themeShade="BF"/>
          <w:sz w:val="28"/>
          <w:szCs w:val="28"/>
          <w:shd w:val="clear" w:color="auto" w:fill="FFFFFF"/>
          <w:lang w:val="en"/>
        </w:rPr>
        <w:t xml:space="preserve">  </w:t>
      </w:r>
    </w:p>
    <w:p w14:paraId="65F73CCE" w14:textId="7C3CD666" w:rsidR="007D164E" w:rsidRPr="00B07F32" w:rsidRDefault="006A09A8" w:rsidP="00B07F32">
      <w:pPr>
        <w:pStyle w:val="bodytext0"/>
        <w:spacing w:after="0"/>
        <w:rPr>
          <w:rFonts w:ascii="Calibri" w:eastAsiaTheme="minorEastAsia" w:hAnsi="Calibri" w:cs="Calibri"/>
          <w:b/>
          <w:bCs/>
          <w:caps/>
          <w:noProof/>
          <w:color w:val="0E425C"/>
          <w:sz w:val="26"/>
          <w:szCs w:val="26"/>
          <w:lang w:eastAsia="en-US"/>
        </w:rPr>
      </w:pPr>
      <w:r w:rsidRPr="00674308">
        <w:rPr>
          <w:rFonts w:ascii="Calibri" w:eastAsiaTheme="minorEastAsia" w:hAnsi="Calibri" w:cs="Calibri"/>
          <w:b/>
          <w:bCs/>
          <w:caps/>
          <w:noProof/>
          <w:color w:val="0E425C"/>
          <w:sz w:val="26"/>
          <w:szCs w:val="26"/>
          <w:lang w:eastAsia="en-US"/>
        </w:rPr>
        <w:t>Reminder:</w:t>
      </w:r>
      <w:r w:rsidRPr="009B6798">
        <w:rPr>
          <w:rFonts w:ascii="Calibri" w:eastAsiaTheme="minorEastAsia" w:hAnsi="Calibri" w:cs="Calibri"/>
          <w:b/>
          <w:bCs/>
          <w:caps/>
          <w:noProof/>
          <w:color w:val="0E425C"/>
          <w:sz w:val="26"/>
          <w:szCs w:val="26"/>
          <w:lang w:eastAsia="en-US"/>
        </w:rPr>
        <w:t xml:space="preserve"> Pay Data Reporting Temporary Templates &amp; FAQs Released Deadline </w:t>
      </w:r>
      <w:r w:rsidRPr="009B6798">
        <w:rPr>
          <w:rFonts w:ascii="Calibri" w:eastAsiaTheme="minorEastAsia" w:hAnsi="Calibri" w:cs="Calibri"/>
          <w:b/>
          <w:bCs/>
          <w:caps/>
          <w:noProof/>
          <w:color w:val="0070C0"/>
          <w:sz w:val="26"/>
          <w:szCs w:val="26"/>
          <w:lang w:eastAsia="en-US"/>
        </w:rPr>
        <w:t>May 13, 2026</w:t>
      </w:r>
      <w:r w:rsidRPr="009B6798">
        <w:rPr>
          <w:rFonts w:ascii="Calibri" w:eastAsiaTheme="minorEastAsia" w:hAnsi="Calibri" w:cs="Calibri"/>
          <w:b/>
          <w:bCs/>
          <w:caps/>
          <w:noProof/>
          <w:color w:val="0E425C"/>
          <w:sz w:val="26"/>
          <w:szCs w:val="26"/>
          <w:lang w:eastAsia="en-US"/>
        </w:rPr>
        <w:t xml:space="preserve"> &amp; Portal Open</w:t>
      </w:r>
      <w:r>
        <w:rPr>
          <w:rFonts w:ascii="Calibri" w:eastAsiaTheme="minorEastAsia" w:hAnsi="Calibri" w:cs="Calibri"/>
          <w:b/>
          <w:bCs/>
          <w:caps/>
          <w:noProof/>
          <w:color w:val="0E425C"/>
          <w:sz w:val="26"/>
          <w:szCs w:val="26"/>
          <w:lang w:eastAsia="en-US"/>
        </w:rPr>
        <w:t>ed</w:t>
      </w:r>
      <w:r w:rsidRPr="009B6798">
        <w:rPr>
          <w:rFonts w:ascii="Calibri" w:eastAsiaTheme="minorEastAsia" w:hAnsi="Calibri" w:cs="Calibri"/>
          <w:b/>
          <w:bCs/>
          <w:caps/>
          <w:noProof/>
          <w:color w:val="0E425C"/>
          <w:sz w:val="26"/>
          <w:szCs w:val="26"/>
          <w:lang w:eastAsia="en-US"/>
        </w:rPr>
        <w:t xml:space="preserve"> </w:t>
      </w:r>
      <w:r w:rsidRPr="009B6798">
        <w:rPr>
          <w:rFonts w:ascii="Calibri" w:eastAsiaTheme="minorEastAsia" w:hAnsi="Calibri" w:cs="Calibri"/>
          <w:b/>
          <w:bCs/>
          <w:caps/>
          <w:noProof/>
          <w:color w:val="0070C0"/>
          <w:sz w:val="26"/>
          <w:szCs w:val="26"/>
          <w:lang w:eastAsia="en-US"/>
        </w:rPr>
        <w:t>Feb 2, 2026</w:t>
      </w:r>
    </w:p>
    <w:p w14:paraId="3B07456B" w14:textId="55EAB1FD" w:rsidR="00B07F32" w:rsidRPr="00B07F32" w:rsidRDefault="00B07F32" w:rsidP="00B07F32">
      <w:pPr>
        <w:pStyle w:val="MainSectionHead"/>
        <w:rPr>
          <w:caps/>
          <w:color w:val="0070C0"/>
          <w:sz w:val="26"/>
          <w:szCs w:val="26"/>
        </w:rPr>
      </w:pPr>
      <w:r w:rsidRPr="00674308">
        <w:rPr>
          <w:caps/>
          <w:sz w:val="26"/>
          <w:szCs w:val="26"/>
        </w:rPr>
        <w:t>Reminder:</w:t>
      </w:r>
      <w:r>
        <w:rPr>
          <w:caps/>
          <w:color w:val="0070C0"/>
          <w:sz w:val="26"/>
          <w:szCs w:val="26"/>
        </w:rPr>
        <w:t xml:space="preserve"> </w:t>
      </w:r>
      <w:r w:rsidRPr="00D140E4">
        <w:rPr>
          <w:caps/>
          <w:sz w:val="26"/>
          <w:szCs w:val="26"/>
        </w:rPr>
        <w:t>San Franscico Annual Report Form HCSO Reporting Due</w:t>
      </w:r>
      <w:r w:rsidRPr="006679EC">
        <w:rPr>
          <w:rFonts w:ascii="Roboto" w:hAnsi="Roboto"/>
          <w:sz w:val="24"/>
          <w:shd w:val="clear" w:color="auto" w:fill="FFFFFF"/>
          <w:lang w:val="en"/>
        </w:rPr>
        <w:t xml:space="preserve"> </w:t>
      </w:r>
      <w:r w:rsidRPr="00D140E4">
        <w:rPr>
          <w:caps/>
          <w:color w:val="0070C0"/>
          <w:sz w:val="26"/>
          <w:szCs w:val="26"/>
        </w:rPr>
        <w:t>May 2, 2026</w:t>
      </w:r>
    </w:p>
    <w:p w14:paraId="7739137A"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bookmarkStart w:id="51" w:name="_Hlk205277429"/>
      <w:bookmarkStart w:id="52" w:name="_Hlk181975180"/>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Pay Data Reporting Temporary Templates &amp; FAQs Released Deadline </w:t>
      </w:r>
      <w:r w:rsidRPr="00DD7BD1">
        <w:rPr>
          <w:rFonts w:ascii="Calibri" w:hAnsi="Calibri" w:cs="Calibri"/>
          <w:b/>
          <w:bCs/>
          <w:color w:val="C00000"/>
          <w:sz w:val="24"/>
          <w:shd w:val="clear" w:color="auto" w:fill="FFFFFF"/>
          <w:lang w:val="en"/>
        </w:rPr>
        <w:t xml:space="preserve">May 13, 2026 </w:t>
      </w:r>
      <w:r w:rsidRPr="00DD7BD1">
        <w:rPr>
          <w:rFonts w:ascii="Calibri" w:hAnsi="Calibri" w:cs="Calibri"/>
          <w:b/>
          <w:bCs/>
          <w:sz w:val="24"/>
          <w:shd w:val="clear" w:color="auto" w:fill="FFFFFF"/>
          <w:lang w:val="en"/>
        </w:rPr>
        <w:t xml:space="preserve">&amp; Portal Opens </w:t>
      </w:r>
      <w:r w:rsidRPr="00DD7BD1">
        <w:rPr>
          <w:rFonts w:ascii="Calibri" w:hAnsi="Calibri" w:cs="Calibri"/>
          <w:b/>
          <w:bCs/>
          <w:color w:val="C00000"/>
          <w:sz w:val="24"/>
          <w:shd w:val="clear" w:color="auto" w:fill="FFFFFF"/>
          <w:lang w:val="en"/>
        </w:rPr>
        <w:t>Feb 2, 2026</w:t>
      </w:r>
    </w:p>
    <w:p w14:paraId="63AD2A47" w14:textId="77777777" w:rsidR="0015425E" w:rsidRPr="00DD7BD1" w:rsidRDefault="0015425E" w:rsidP="00AF05A6">
      <w:pPr>
        <w:pStyle w:val="bodytext0"/>
        <w:spacing w:after="0" w:line="240" w:lineRule="auto"/>
        <w:rPr>
          <w:rFonts w:ascii="Calibri" w:hAnsi="Calibri" w:cs="Calibri"/>
          <w:sz w:val="22"/>
        </w:rPr>
      </w:pPr>
      <w:r w:rsidRPr="00DD7BD1">
        <w:rPr>
          <w:rFonts w:ascii="Calibri" w:hAnsi="Calibri" w:cs="Calibri"/>
          <w:sz w:val="22"/>
        </w:rPr>
        <w:t xml:space="preserve">California’s annual pay data reporting submission this year is due on May 13, 2026. California law requires private employers of 100 or more employees and/or 100 or more workers hired through labor contractors to annually report pay, demographic, and other workforce data to the Civil Rights Department (CRD). This reporting is required under Government Code section 12999, as amended by Senate Bill 1162. Filing Portal Open Feb 2nd </w:t>
      </w:r>
      <w:hyperlink r:id="rId478" w:tgtFrame="_blank" w:history="1">
        <w:r w:rsidRPr="00DD7BD1">
          <w:rPr>
            <w:rStyle w:val="Hyperlink"/>
            <w:rFonts w:ascii="Calibri" w:hAnsi="Calibri" w:cs="Calibri"/>
            <w:sz w:val="22"/>
          </w:rPr>
          <w:t>California </w:t>
        </w:r>
      </w:hyperlink>
      <w:hyperlink r:id="rId479" w:tgtFrame="_blank" w:tooltip="https://calcivilrights.ca.gov/paydatareporting/" w:history="1">
        <w:r w:rsidRPr="00DD7BD1">
          <w:rPr>
            <w:rStyle w:val="Hyperlink"/>
            <w:rFonts w:ascii="Calibri" w:hAnsi="Calibri" w:cs="Calibri"/>
            <w:sz w:val="22"/>
          </w:rPr>
          <w:t>Pay Data Reporting homepage</w:t>
        </w:r>
      </w:hyperlink>
      <w:r w:rsidRPr="00DD7BD1">
        <w:rPr>
          <w:rFonts w:ascii="Calibri" w:hAnsi="Calibri" w:cs="Calibri"/>
          <w:sz w:val="22"/>
        </w:rPr>
        <w:t> </w:t>
      </w:r>
    </w:p>
    <w:p w14:paraId="053BC27C" w14:textId="77777777" w:rsidR="0015425E" w:rsidRPr="00DD7BD1" w:rsidRDefault="0015425E" w:rsidP="0015425E">
      <w:pPr>
        <w:pStyle w:val="bodytext0"/>
        <w:spacing w:after="0" w:line="240" w:lineRule="auto"/>
        <w:rPr>
          <w:rFonts w:ascii="Calibri" w:hAnsi="Calibri" w:cs="Calibri"/>
          <w:color w:val="2E74B5" w:themeColor="accent5" w:themeShade="BF"/>
          <w:sz w:val="22"/>
          <w:shd w:val="clear" w:color="auto" w:fill="FFFFFF"/>
          <w:lang w:val="en"/>
        </w:rPr>
      </w:pPr>
    </w:p>
    <w:p w14:paraId="60A0B69B"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State’s Annual Workplace Rights Notices – </w:t>
      </w:r>
      <w:r w:rsidRPr="00DD7BD1">
        <w:rPr>
          <w:rFonts w:ascii="Calibri" w:hAnsi="Calibri" w:cs="Calibri"/>
          <w:b/>
          <w:bCs/>
          <w:color w:val="C00000"/>
          <w:sz w:val="24"/>
          <w:shd w:val="clear" w:color="auto" w:fill="FFFFFF"/>
          <w:lang w:val="en"/>
        </w:rPr>
        <w:t>Deadline Feb 1, 2026</w:t>
      </w:r>
    </w:p>
    <w:p w14:paraId="108A54EB" w14:textId="77777777" w:rsidR="0015425E" w:rsidRPr="00DD7BD1" w:rsidRDefault="0015425E" w:rsidP="00AF05A6">
      <w:pPr>
        <w:pStyle w:val="bodytext0"/>
        <w:spacing w:after="0" w:line="240" w:lineRule="auto"/>
        <w:rPr>
          <w:rFonts w:ascii="Calibri" w:hAnsi="Calibri" w:cs="Calibri"/>
          <w:sz w:val="22"/>
          <w:shd w:val="clear" w:color="auto" w:fill="FFFFFF"/>
        </w:rPr>
      </w:pPr>
      <w:r w:rsidRPr="00DD7BD1">
        <w:rPr>
          <w:rFonts w:ascii="Calibri" w:hAnsi="Calibri" w:cs="Calibri"/>
          <w:sz w:val="22"/>
          <w:shd w:val="clear" w:color="auto" w:fill="FFFFFF"/>
        </w:rPr>
        <w:t>On October 12, 2025, Governor Gavin Newsom signed (</w:t>
      </w:r>
      <w:hyperlink r:id="rId480" w:history="1">
        <w:r w:rsidRPr="00DD7BD1">
          <w:rPr>
            <w:rStyle w:val="Hyperlink"/>
            <w:rFonts w:ascii="Calibri" w:hAnsi="Calibri" w:cs="Calibri"/>
            <w:sz w:val="22"/>
            <w:shd w:val="clear" w:color="auto" w:fill="FFFFFF"/>
          </w:rPr>
          <w:t>Senate Bill (“SB”) 294</w:t>
        </w:r>
      </w:hyperlink>
      <w:r w:rsidRPr="00DD7BD1">
        <w:rPr>
          <w:rFonts w:ascii="Calibri" w:hAnsi="Calibri" w:cs="Calibri"/>
          <w:sz w:val="22"/>
          <w:shd w:val="clear" w:color="auto" w:fill="FFFFFF"/>
        </w:rPr>
        <w:t xml:space="preserve">) into law, which codifies the Workplace Know Your Rights Act. </w:t>
      </w:r>
    </w:p>
    <w:p w14:paraId="25E87179" w14:textId="77777777" w:rsidR="0015425E" w:rsidRPr="00DD7BD1" w:rsidRDefault="0015425E">
      <w:pPr>
        <w:pStyle w:val="bodytext0"/>
        <w:numPr>
          <w:ilvl w:val="0"/>
          <w:numId w:val="318"/>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w:t>
      </w:r>
      <w:r w:rsidRPr="00DD7BD1">
        <w:rPr>
          <w:rFonts w:ascii="Calibri" w:hAnsi="Calibri" w:cs="Calibri"/>
          <w:color w:val="EE0000"/>
          <w:sz w:val="22"/>
          <w:shd w:val="clear" w:color="auto" w:fill="FFFFFF"/>
        </w:rPr>
        <w:t> </w:t>
      </w:r>
      <w:r w:rsidRPr="00DD7BD1">
        <w:rPr>
          <w:rFonts w:ascii="Calibri" w:hAnsi="Calibri" w:cs="Calibri"/>
          <w:color w:val="C00000"/>
          <w:sz w:val="22"/>
          <w:shd w:val="clear" w:color="auto" w:fill="FFFFFF"/>
        </w:rPr>
        <w:t>February 1, 2026</w:t>
      </w:r>
      <w:r w:rsidRPr="00DD7BD1">
        <w:rPr>
          <w:rFonts w:ascii="Calibri" w:hAnsi="Calibri" w:cs="Calibri"/>
          <w:sz w:val="22"/>
          <w:shd w:val="clear" w:color="auto" w:fill="FFFFFF"/>
        </w:rPr>
        <w:t xml:space="preserve">, employers must provide the   </w:t>
      </w:r>
      <w:hyperlink r:id="rId481" w:history="1">
        <w:r w:rsidRPr="00DD7BD1">
          <w:rPr>
            <w:rStyle w:val="Hyperlink"/>
            <w:rFonts w:ascii="Calibri" w:eastAsiaTheme="minorHAnsi" w:hAnsi="Calibri" w:cs="Calibri"/>
            <w:b/>
            <w:bCs/>
            <w:sz w:val="22"/>
          </w:rPr>
          <w:t>2026 Know Your Rights Notice</w:t>
        </w:r>
      </w:hyperlink>
      <w:r w:rsidRPr="00DD7BD1">
        <w:rPr>
          <w:rFonts w:ascii="Calibri" w:hAnsi="Calibri" w:cs="Calibri"/>
          <w:sz w:val="22"/>
        </w:rPr>
        <w:t xml:space="preserve"> </w:t>
      </w:r>
      <w:r w:rsidRPr="00DD7BD1">
        <w:rPr>
          <w:rFonts w:ascii="Calibri" w:hAnsi="Calibri" w:cs="Calibri"/>
          <w:sz w:val="22"/>
          <w:shd w:val="clear" w:color="auto" w:fill="FFFFFF"/>
        </w:rPr>
        <w:t>to all current employees.</w:t>
      </w:r>
    </w:p>
    <w:p w14:paraId="69CF483C" w14:textId="391841FE" w:rsidR="00C6122D" w:rsidRPr="002E4255" w:rsidRDefault="0015425E">
      <w:pPr>
        <w:pStyle w:val="bodytext0"/>
        <w:numPr>
          <w:ilvl w:val="0"/>
          <w:numId w:val="318"/>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 </w:t>
      </w:r>
      <w:r w:rsidRPr="00DD7BD1">
        <w:rPr>
          <w:rFonts w:ascii="Calibri" w:hAnsi="Calibri" w:cs="Calibri"/>
          <w:color w:val="C00000"/>
          <w:sz w:val="22"/>
          <w:shd w:val="clear" w:color="auto" w:fill="FFFFFF"/>
        </w:rPr>
        <w:t>March 30, 2026</w:t>
      </w:r>
      <w:r w:rsidRPr="00DD7BD1">
        <w:rPr>
          <w:rFonts w:ascii="Calibri" w:hAnsi="Calibri" w:cs="Calibri"/>
          <w:sz w:val="22"/>
          <w:shd w:val="clear" w:color="auto" w:fill="FFFFFF"/>
        </w:rPr>
        <w:t>, employers must give employees—and any new hire—the opportunity to designate an emergency contact to be reached in the event of the employee’s arrest.</w:t>
      </w:r>
    </w:p>
    <w:p w14:paraId="43C41617" w14:textId="77777777" w:rsidR="00C6122D" w:rsidRPr="009730E5" w:rsidRDefault="00C6122D" w:rsidP="00C6122D">
      <w:pPr>
        <w:pStyle w:val="MainSectionHead"/>
        <w:rPr>
          <w:caps/>
        </w:rPr>
      </w:pPr>
      <w:r w:rsidRPr="00D140E4">
        <w:rPr>
          <w:caps/>
          <w:color w:val="0070C0"/>
          <w:sz w:val="26"/>
          <w:szCs w:val="26"/>
        </w:rPr>
        <w:t xml:space="preserve">New! </w:t>
      </w:r>
      <w:r w:rsidRPr="00D140E4">
        <w:rPr>
          <w:caps/>
          <w:sz w:val="26"/>
          <w:szCs w:val="26"/>
        </w:rPr>
        <w:t>San Franscico Annual Report Form HCSO Reporting Due</w:t>
      </w:r>
      <w:r w:rsidRPr="006679EC">
        <w:rPr>
          <w:rFonts w:ascii="Roboto" w:hAnsi="Roboto"/>
          <w:sz w:val="24"/>
          <w:shd w:val="clear" w:color="auto" w:fill="FFFFFF"/>
          <w:lang w:val="en"/>
        </w:rPr>
        <w:t xml:space="preserve"> </w:t>
      </w:r>
      <w:r w:rsidRPr="00D140E4">
        <w:rPr>
          <w:caps/>
          <w:color w:val="0070C0"/>
          <w:sz w:val="26"/>
          <w:szCs w:val="26"/>
        </w:rPr>
        <w:t>May 2, 2026</w:t>
      </w:r>
    </w:p>
    <w:p w14:paraId="54904C37" w14:textId="77777777" w:rsidR="00C6122D" w:rsidRPr="00822FFC" w:rsidRDefault="00C6122D" w:rsidP="00C6122D">
      <w:pPr>
        <w:rPr>
          <w:shd w:val="clear" w:color="auto" w:fill="FFFFFF"/>
        </w:rPr>
      </w:pPr>
      <w:r w:rsidRPr="00822FFC">
        <w:rPr>
          <w:shd w:val="clear" w:color="auto" w:fill="FFFFFF"/>
        </w:rPr>
        <w:t>The San Francisco Health Care Security Ordinance (SF HCSO) requires that employers spend a minimum amount each calendar quarter on their employees’ healthcare or health coverage. The required amount is called the </w:t>
      </w:r>
      <w:r w:rsidRPr="00822FFC">
        <w:rPr>
          <w:i/>
          <w:iCs/>
          <w:shd w:val="clear" w:color="auto" w:fill="FFFFFF"/>
        </w:rPr>
        <w:t>spending requirement</w:t>
      </w:r>
      <w:r w:rsidRPr="00822FFC">
        <w:rPr>
          <w:shd w:val="clear" w:color="auto" w:fill="FFFFFF"/>
        </w:rPr>
        <w:t>—a dollar amount per hour—based on the number of hours the employee works within the boundaries of the city and county of San Francisco.</w:t>
      </w:r>
    </w:p>
    <w:p w14:paraId="3EC8CE58" w14:textId="77777777" w:rsidR="00C6122D" w:rsidRPr="00822FFC" w:rsidRDefault="00C6122D" w:rsidP="00C6122D">
      <w:pPr>
        <w:rPr>
          <w:b/>
          <w:bCs/>
          <w:shd w:val="clear" w:color="auto" w:fill="FFFFFF"/>
        </w:rPr>
      </w:pPr>
      <w:r w:rsidRPr="00822FFC">
        <w:rPr>
          <w:b/>
          <w:bCs/>
          <w:shd w:val="clear" w:color="auto" w:fill="FFFFFF"/>
        </w:rPr>
        <w:t>Covered Employers</w:t>
      </w:r>
    </w:p>
    <w:p w14:paraId="38A0E32E" w14:textId="77777777" w:rsidR="00C6122D" w:rsidRPr="00822FFC" w:rsidRDefault="00C6122D" w:rsidP="00C6122D">
      <w:pPr>
        <w:rPr>
          <w:shd w:val="clear" w:color="auto" w:fill="FFFFFF"/>
        </w:rPr>
      </w:pPr>
      <w:r w:rsidRPr="00822FFC">
        <w:rPr>
          <w:shd w:val="clear" w:color="auto" w:fill="FFFFFF"/>
        </w:rPr>
        <w:t>The SF HCSO applies to all businesses with 20 or more employees and all nonprofits with 50 or more employees, regardless of where the headquarters or main worksites are located. Employers must comply if they have even one employee working in San Francisco, whether the company is based elsewhere in California or outside the state.</w:t>
      </w:r>
    </w:p>
    <w:p w14:paraId="0F38340E" w14:textId="77777777" w:rsidR="00C6122D" w:rsidRPr="00822FFC" w:rsidRDefault="00C6122D" w:rsidP="00C6122D">
      <w:pPr>
        <w:rPr>
          <w:b/>
          <w:bCs/>
          <w:shd w:val="clear" w:color="auto" w:fill="FFFFFF"/>
        </w:rPr>
      </w:pPr>
      <w:r w:rsidRPr="00822FFC">
        <w:rPr>
          <w:b/>
          <w:bCs/>
          <w:shd w:val="clear" w:color="auto" w:fill="FFFFFF"/>
        </w:rPr>
        <w:t>Employer Size</w:t>
      </w:r>
    </w:p>
    <w:p w14:paraId="7A31B67A" w14:textId="77777777" w:rsidR="00C6122D" w:rsidRPr="00822FFC" w:rsidRDefault="00C6122D" w:rsidP="00C6122D">
      <w:pPr>
        <w:rPr>
          <w:shd w:val="clear" w:color="auto" w:fill="FFFFFF"/>
        </w:rPr>
      </w:pPr>
      <w:r w:rsidRPr="00822FFC">
        <w:rPr>
          <w:shd w:val="clear" w:color="auto" w:fill="FFFFFF"/>
        </w:rPr>
        <w:t>For determining employer size, all individuals performing work for compensation during a quarter—whether seasonal, permanent, temporary, full time, part time, contracted through an agency, or commissioned—including owners receiving any form of compensation, must be counted. This count is not limited to covered employees and includes workers both inside and outside San Francisco. Employers with a fluctuating workforce must determine size based on the average number of individuals per week working for compensation during the quarter. Additionally, all individuals employed by a controlled group of corporations (as defined in Internal Revenue Code § 1563(a)), or by related non-corporate entities meeting the same definition, are aggregated to determine total employer size.</w:t>
      </w:r>
    </w:p>
    <w:p w14:paraId="60326BC4" w14:textId="77777777" w:rsidR="00C6122D" w:rsidRPr="00822FFC" w:rsidRDefault="00C6122D" w:rsidP="00C6122D">
      <w:pPr>
        <w:rPr>
          <w:shd w:val="clear" w:color="auto" w:fill="FFFFFF"/>
        </w:rPr>
      </w:pPr>
      <w:r w:rsidRPr="00822FFC">
        <w:rPr>
          <w:shd w:val="clear" w:color="auto" w:fill="FFFFFF"/>
        </w:rPr>
        <w:t>The spending requirement dollar amount is based on an employer’s total number of employees as outlined in the table below.</w:t>
      </w:r>
    </w:p>
    <w:tbl>
      <w:tblPr>
        <w:tblW w:w="9630" w:type="dxa"/>
        <w:jc w:val="center"/>
        <w:tblCellMar>
          <w:top w:w="15" w:type="dxa"/>
          <w:left w:w="15" w:type="dxa"/>
          <w:bottom w:w="15" w:type="dxa"/>
          <w:right w:w="15" w:type="dxa"/>
        </w:tblCellMar>
        <w:tblLook w:val="04A0" w:firstRow="1" w:lastRow="0" w:firstColumn="1" w:lastColumn="0" w:noHBand="0" w:noVBand="1"/>
      </w:tblPr>
      <w:tblGrid>
        <w:gridCol w:w="4590"/>
        <w:gridCol w:w="1980"/>
        <w:gridCol w:w="1530"/>
        <w:gridCol w:w="1530"/>
      </w:tblGrid>
      <w:tr w:rsidR="00C6122D" w:rsidRPr="00822FFC" w14:paraId="5655CE4D" w14:textId="77777777" w:rsidTr="008C43FB">
        <w:trPr>
          <w:gridAfter w:val="3"/>
          <w:wAfter w:w="5040" w:type="dxa"/>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95D2B61" w14:textId="77777777" w:rsidR="00C6122D" w:rsidRPr="00822FFC" w:rsidRDefault="00C6122D" w:rsidP="008C43FB">
            <w:pPr>
              <w:rPr>
                <w:shd w:val="clear" w:color="auto" w:fill="FFFFFF"/>
              </w:rPr>
            </w:pPr>
            <w:r w:rsidRPr="00822FFC">
              <w:rPr>
                <w:shd w:val="clear" w:color="auto" w:fill="FFFFFF"/>
              </w:rPr>
              <w:t>Employer Healthcare Spending Requirement</w:t>
            </w:r>
          </w:p>
        </w:tc>
      </w:tr>
      <w:tr w:rsidR="00C6122D" w:rsidRPr="00822FFC" w14:paraId="0613F92C"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34D8444D" w14:textId="77777777" w:rsidR="00C6122D" w:rsidRPr="00822FFC" w:rsidRDefault="00C6122D" w:rsidP="008C43FB">
            <w:pPr>
              <w:rPr>
                <w:shd w:val="clear" w:color="auto" w:fill="FFFFFF"/>
              </w:rPr>
            </w:pPr>
            <w:r w:rsidRPr="00822FFC">
              <w:rPr>
                <w:shd w:val="clear" w:color="auto" w:fill="FFFFFF"/>
              </w:rPr>
              <w:t>Employer Size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67C12020" w14:textId="77777777" w:rsidR="00C6122D" w:rsidRPr="00822FFC" w:rsidRDefault="00C6122D" w:rsidP="008C43FB">
            <w:pPr>
              <w:rPr>
                <w:shd w:val="clear" w:color="auto" w:fill="FFFFFF"/>
              </w:rPr>
            </w:pPr>
            <w:r w:rsidRPr="00822FFC">
              <w:rPr>
                <w:shd w:val="clear" w:color="auto" w:fill="FFFFFF"/>
              </w:rPr>
              <w:t>Total Employees</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6FA69E0" w14:textId="77777777" w:rsidR="00C6122D" w:rsidRPr="00822FFC" w:rsidRDefault="00C6122D" w:rsidP="008C43FB">
            <w:pPr>
              <w:rPr>
                <w:shd w:val="clear" w:color="auto" w:fill="FFFFFF"/>
              </w:rPr>
            </w:pPr>
            <w:r w:rsidRPr="00822FFC">
              <w:rPr>
                <w:shd w:val="clear" w:color="auto" w:fill="FFFFFF"/>
              </w:rPr>
              <w:t>2025</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FBCB90C" w14:textId="77777777" w:rsidR="00C6122D" w:rsidRPr="00822FFC" w:rsidRDefault="00C6122D" w:rsidP="008C43FB">
            <w:pPr>
              <w:rPr>
                <w:shd w:val="clear" w:color="auto" w:fill="FFFFFF"/>
              </w:rPr>
            </w:pPr>
            <w:r w:rsidRPr="00822FFC">
              <w:rPr>
                <w:shd w:val="clear" w:color="auto" w:fill="FFFFFF"/>
              </w:rPr>
              <w:t>2026</w:t>
            </w:r>
          </w:p>
        </w:tc>
      </w:tr>
      <w:tr w:rsidR="00C6122D" w:rsidRPr="00822FFC" w14:paraId="28CAB92B"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474AD18B" w14:textId="77777777" w:rsidR="00C6122D" w:rsidRPr="00822FFC" w:rsidRDefault="00C6122D" w:rsidP="008C43FB">
            <w:pPr>
              <w:rPr>
                <w:shd w:val="clear" w:color="auto" w:fill="FFFFFF"/>
              </w:rPr>
            </w:pPr>
            <w:r w:rsidRPr="00822FFC">
              <w:rPr>
                <w:shd w:val="clear" w:color="auto" w:fill="FFFFFF"/>
              </w:rPr>
              <w:t>Large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1C55A30E" w14:textId="77777777" w:rsidR="00C6122D" w:rsidRPr="00822FFC" w:rsidRDefault="00C6122D" w:rsidP="008C43FB">
            <w:pPr>
              <w:rPr>
                <w:shd w:val="clear" w:color="auto" w:fill="FFFFFF"/>
              </w:rPr>
            </w:pPr>
            <w:r w:rsidRPr="00822FFC">
              <w:rPr>
                <w:shd w:val="clear" w:color="auto" w:fill="FFFFFF"/>
              </w:rPr>
              <w:t>All: 100 or more</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1C5D1699" w14:textId="77777777" w:rsidR="00C6122D" w:rsidRPr="00822FFC" w:rsidRDefault="00C6122D" w:rsidP="008C43FB">
            <w:pPr>
              <w:rPr>
                <w:shd w:val="clear" w:color="auto" w:fill="FFFFFF"/>
              </w:rPr>
            </w:pPr>
            <w:r w:rsidRPr="00822FFC">
              <w:rPr>
                <w:shd w:val="clear" w:color="auto" w:fill="FFFFFF"/>
              </w:rPr>
              <w:t>$3.85/hour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A389C23" w14:textId="77777777" w:rsidR="00C6122D" w:rsidRPr="00822FFC" w:rsidRDefault="00C6122D" w:rsidP="008C43FB">
            <w:pPr>
              <w:rPr>
                <w:shd w:val="clear" w:color="auto" w:fill="FFFFFF"/>
              </w:rPr>
            </w:pPr>
            <w:r w:rsidRPr="00822FFC">
              <w:rPr>
                <w:shd w:val="clear" w:color="auto" w:fill="FFFFFF"/>
              </w:rPr>
              <w:t>$4.11/hour</w:t>
            </w:r>
          </w:p>
        </w:tc>
      </w:tr>
      <w:tr w:rsidR="00C6122D" w:rsidRPr="00822FFC" w14:paraId="1C39FAEF"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42E60EB" w14:textId="77777777" w:rsidR="00C6122D" w:rsidRPr="00822FFC" w:rsidRDefault="00C6122D" w:rsidP="008C43FB">
            <w:pPr>
              <w:rPr>
                <w:shd w:val="clear" w:color="auto" w:fill="FFFFFF"/>
              </w:rPr>
            </w:pPr>
            <w:r w:rsidRPr="00822FFC">
              <w:rPr>
                <w:shd w:val="clear" w:color="auto" w:fill="FFFFFF"/>
              </w:rPr>
              <w:t>Medium</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0248D6FD" w14:textId="77777777" w:rsidR="00C6122D" w:rsidRPr="00822FFC" w:rsidRDefault="00C6122D" w:rsidP="008C43FB">
            <w:pPr>
              <w:rPr>
                <w:shd w:val="clear" w:color="auto" w:fill="FFFFFF"/>
              </w:rPr>
            </w:pPr>
            <w:r w:rsidRPr="00822FFC">
              <w:rPr>
                <w:shd w:val="clear" w:color="auto" w:fill="FFFFFF"/>
              </w:rPr>
              <w:t>Business: 20–99</w:t>
            </w:r>
          </w:p>
          <w:p w14:paraId="3F6C638E" w14:textId="77777777" w:rsidR="00C6122D" w:rsidRPr="00822FFC" w:rsidRDefault="00C6122D" w:rsidP="008C43FB">
            <w:pPr>
              <w:rPr>
                <w:shd w:val="clear" w:color="auto" w:fill="FFFFFF"/>
              </w:rPr>
            </w:pPr>
            <w:r w:rsidRPr="00822FFC">
              <w:rPr>
                <w:shd w:val="clear" w:color="auto" w:fill="FFFFFF"/>
              </w:rPr>
              <w:t>Nonprofit: 50–99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C34088B" w14:textId="77777777" w:rsidR="00C6122D" w:rsidRPr="00822FFC" w:rsidRDefault="00C6122D" w:rsidP="008C43FB">
            <w:pPr>
              <w:rPr>
                <w:shd w:val="clear" w:color="auto" w:fill="FFFFFF"/>
              </w:rPr>
            </w:pPr>
            <w:r w:rsidRPr="00822FFC">
              <w:rPr>
                <w:shd w:val="clear" w:color="auto" w:fill="FFFFFF"/>
              </w:rPr>
              <w:t>$2.56/hour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33891B1" w14:textId="77777777" w:rsidR="00C6122D" w:rsidRPr="00822FFC" w:rsidRDefault="00C6122D" w:rsidP="008C43FB">
            <w:pPr>
              <w:rPr>
                <w:shd w:val="clear" w:color="auto" w:fill="FFFFFF"/>
              </w:rPr>
            </w:pPr>
            <w:r w:rsidRPr="00822FFC">
              <w:rPr>
                <w:shd w:val="clear" w:color="auto" w:fill="FFFFFF"/>
              </w:rPr>
              <w:t>$2.74/hour</w:t>
            </w:r>
          </w:p>
        </w:tc>
      </w:tr>
      <w:tr w:rsidR="00C6122D" w:rsidRPr="00822FFC" w14:paraId="4DC5CBA2"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775C6F2C" w14:textId="77777777" w:rsidR="00C6122D" w:rsidRPr="00822FFC" w:rsidRDefault="00C6122D" w:rsidP="008C43FB">
            <w:pPr>
              <w:rPr>
                <w:shd w:val="clear" w:color="auto" w:fill="FFFFFF"/>
              </w:rPr>
            </w:pPr>
            <w:r w:rsidRPr="00822FFC">
              <w:rPr>
                <w:shd w:val="clear" w:color="auto" w:fill="FFFFFF"/>
              </w:rPr>
              <w:t>Small</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3021EEB6" w14:textId="77777777" w:rsidR="00C6122D" w:rsidRPr="00822FFC" w:rsidRDefault="00C6122D" w:rsidP="008C43FB">
            <w:pPr>
              <w:rPr>
                <w:shd w:val="clear" w:color="auto" w:fill="FFFFFF"/>
              </w:rPr>
            </w:pPr>
            <w:r w:rsidRPr="00822FFC">
              <w:rPr>
                <w:shd w:val="clear" w:color="auto" w:fill="FFFFFF"/>
              </w:rPr>
              <w:t>Business: 0–19</w:t>
            </w:r>
          </w:p>
          <w:p w14:paraId="20CF7C2F" w14:textId="77777777" w:rsidR="00C6122D" w:rsidRPr="00822FFC" w:rsidRDefault="00C6122D" w:rsidP="008C43FB">
            <w:pPr>
              <w:rPr>
                <w:shd w:val="clear" w:color="auto" w:fill="FFFFFF"/>
              </w:rPr>
            </w:pPr>
            <w:r w:rsidRPr="00822FFC">
              <w:rPr>
                <w:shd w:val="clear" w:color="auto" w:fill="FFFFFF"/>
              </w:rPr>
              <w:t>Nonprofit: 0–49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2DBD62A" w14:textId="77777777" w:rsidR="00C6122D" w:rsidRPr="00822FFC" w:rsidRDefault="00C6122D" w:rsidP="008C43FB">
            <w:pPr>
              <w:rPr>
                <w:shd w:val="clear" w:color="auto" w:fill="FFFFFF"/>
              </w:rPr>
            </w:pPr>
            <w:r w:rsidRPr="00822FFC">
              <w:rPr>
                <w:shd w:val="clear" w:color="auto" w:fill="FFFFFF"/>
              </w:rPr>
              <w:t>Exempt</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6B3E0D9" w14:textId="77777777" w:rsidR="00C6122D" w:rsidRPr="00822FFC" w:rsidRDefault="00C6122D" w:rsidP="008C43FB">
            <w:pPr>
              <w:rPr>
                <w:shd w:val="clear" w:color="auto" w:fill="FFFFFF"/>
              </w:rPr>
            </w:pPr>
            <w:r w:rsidRPr="00822FFC">
              <w:rPr>
                <w:shd w:val="clear" w:color="auto" w:fill="FFFFFF"/>
              </w:rPr>
              <w:t>Exempt</w:t>
            </w:r>
          </w:p>
        </w:tc>
      </w:tr>
    </w:tbl>
    <w:p w14:paraId="3821E7C9" w14:textId="77777777" w:rsidR="00C6122D" w:rsidRPr="005D03B2" w:rsidRDefault="00C6122D" w:rsidP="00C6122D">
      <w:pPr>
        <w:rPr>
          <w:shd w:val="clear" w:color="auto" w:fill="FFFFFF"/>
        </w:rPr>
      </w:pPr>
    </w:p>
    <w:p w14:paraId="07C5CD02" w14:textId="77777777" w:rsidR="00C6122D" w:rsidRPr="00822FFC" w:rsidRDefault="00C6122D" w:rsidP="00C6122D">
      <w:pPr>
        <w:rPr>
          <w:b/>
          <w:bCs/>
          <w:shd w:val="clear" w:color="auto" w:fill="FFFFFF"/>
        </w:rPr>
      </w:pPr>
      <w:r w:rsidRPr="00822FFC">
        <w:rPr>
          <w:b/>
          <w:bCs/>
          <w:shd w:val="clear" w:color="auto" w:fill="FFFFFF"/>
        </w:rPr>
        <w:t>Covered Employees</w:t>
      </w:r>
    </w:p>
    <w:p w14:paraId="4A56880A" w14:textId="77777777" w:rsidR="00C6122D" w:rsidRPr="00822FFC" w:rsidRDefault="00C6122D" w:rsidP="00C6122D">
      <w:pPr>
        <w:rPr>
          <w:shd w:val="clear" w:color="auto" w:fill="FFFFFF"/>
        </w:rPr>
      </w:pPr>
      <w:r w:rsidRPr="00822FFC">
        <w:rPr>
          <w:shd w:val="clear" w:color="auto" w:fill="FFFFFF"/>
        </w:rPr>
        <w:t>A </w:t>
      </w:r>
      <w:r w:rsidRPr="00822FFC">
        <w:rPr>
          <w:i/>
          <w:iCs/>
          <w:shd w:val="clear" w:color="auto" w:fill="FFFFFF"/>
        </w:rPr>
        <w:t>covered employee</w:t>
      </w:r>
      <w:r w:rsidRPr="00822FFC">
        <w:rPr>
          <w:shd w:val="clear" w:color="auto" w:fill="FFFFFF"/>
        </w:rPr>
        <w:t> is any individual who:</w:t>
      </w:r>
    </w:p>
    <w:p w14:paraId="74ADB7F4"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Is entitled to at least minimum wage;</w:t>
      </w:r>
    </w:p>
    <w:p w14:paraId="4777010E"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Has been employed for at least 90 days; and</w:t>
      </w:r>
    </w:p>
    <w:p w14:paraId="3B7041D7"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Performs at least eight hours of work per week in San Francisco for a covered employer.</w:t>
      </w:r>
    </w:p>
    <w:p w14:paraId="5C9AA115" w14:textId="77777777" w:rsidR="00C6122D" w:rsidRPr="00822FFC" w:rsidRDefault="00C6122D" w:rsidP="00C6122D">
      <w:pPr>
        <w:spacing w:after="0" w:line="240" w:lineRule="auto"/>
        <w:ind w:left="540"/>
        <w:rPr>
          <w:shd w:val="clear" w:color="auto" w:fill="FFFFFF"/>
        </w:rPr>
      </w:pPr>
    </w:p>
    <w:p w14:paraId="33228383" w14:textId="77777777" w:rsidR="00C6122D" w:rsidRPr="00822FFC" w:rsidRDefault="00C6122D" w:rsidP="00C6122D">
      <w:pPr>
        <w:rPr>
          <w:shd w:val="clear" w:color="auto" w:fill="FFFFFF"/>
        </w:rPr>
      </w:pPr>
      <w:r w:rsidRPr="00822FFC">
        <w:rPr>
          <w:shd w:val="clear" w:color="auto" w:fill="FFFFFF"/>
        </w:rPr>
        <w:t>The employer’s spending requirement is calculated based on the number of hours worked within the city and county of San Francisco. Paid time off, such as vacation and holidays, counts as work hours. Employers should not count more than 172 hours in a month (or 516 hours in a quarter) for any one employee.</w:t>
      </w:r>
    </w:p>
    <w:p w14:paraId="4E1C0D1C" w14:textId="77777777" w:rsidR="00C6122D" w:rsidRPr="00822FFC" w:rsidRDefault="00C6122D" w:rsidP="00C6122D">
      <w:pPr>
        <w:rPr>
          <w:shd w:val="clear" w:color="auto" w:fill="FFFFFF"/>
        </w:rPr>
      </w:pPr>
      <w:r w:rsidRPr="00822FFC">
        <w:rPr>
          <w:shd w:val="clear" w:color="auto" w:fill="FFFFFF"/>
        </w:rPr>
        <w:t>The spending requirement does </w:t>
      </w:r>
      <w:r w:rsidRPr="00822FFC">
        <w:rPr>
          <w:i/>
          <w:iCs/>
          <w:shd w:val="clear" w:color="auto" w:fill="FFFFFF"/>
        </w:rPr>
        <w:t>not</w:t>
      </w:r>
      <w:r w:rsidRPr="00822FFC">
        <w:rPr>
          <w:shd w:val="clear" w:color="auto" w:fill="FFFFFF"/>
        </w:rPr>
        <w:t> apply to the following employees:</w:t>
      </w:r>
    </w:p>
    <w:p w14:paraId="252FC0D1"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New hires during their first 90 days of employment;</w:t>
      </w:r>
    </w:p>
    <w:p w14:paraId="3404DD01"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averaged fewer than eight hours per week in San Francisco during the calendar quarter;</w:t>
      </w:r>
    </w:p>
    <w:p w14:paraId="399F495A"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Certain managerial, supervisory, and confidential employees who earn more than $125,405 annually or $60.29 per hour effective January 1, 2025, and $128,861 annually or $61.95 per hour effective January 1, 2026;</w:t>
      </w:r>
    </w:p>
    <w:p w14:paraId="2ECDE14E"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Trainees of a nonprofit organization for up to one year while in a bona fide training program consistent with federal law;</w:t>
      </w:r>
    </w:p>
    <w:p w14:paraId="2B493E7C"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are eligible for Medicare or TRICARE;</w:t>
      </w:r>
    </w:p>
    <w:p w14:paraId="33EEEA06"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covered by the San Francisco Health Care Accountability Ordinance (HCAO); and</w:t>
      </w:r>
    </w:p>
    <w:p w14:paraId="2608EEA2" w14:textId="7B6496A3" w:rsidR="00C6122D"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have signed an</w:t>
      </w:r>
      <w:r w:rsidRPr="005D03B2">
        <w:rPr>
          <w:shd w:val="clear" w:color="auto" w:fill="FFFFFF"/>
        </w:rPr>
        <w:t> </w:t>
      </w:r>
      <w:hyperlink r:id="rId482" w:anchor=":~:text=HCSO%20Employee%20Voluntary%20Waiver%20form%20%28PDFs%29" w:tgtFrame="_blank" w:history="1">
        <w:r w:rsidRPr="005D03B2">
          <w:rPr>
            <w:rStyle w:val="Hyperlink"/>
            <w:shd w:val="clear" w:color="auto" w:fill="FFFFFF"/>
          </w:rPr>
          <w:t>HCSO Employee Voluntary Waiver Form</w:t>
        </w:r>
      </w:hyperlink>
      <w:r w:rsidRPr="005D03B2">
        <w:rPr>
          <w:shd w:val="clear" w:color="auto" w:fill="FFFFFF"/>
        </w:rPr>
        <w:t>.</w:t>
      </w:r>
    </w:p>
    <w:p w14:paraId="16056953" w14:textId="51E35021" w:rsidR="002E4255" w:rsidRPr="002E4255" w:rsidRDefault="002E4255" w:rsidP="002E4255">
      <w:pPr>
        <w:spacing w:after="0" w:line="240" w:lineRule="auto"/>
        <w:ind w:left="540"/>
        <w:rPr>
          <w:shd w:val="clear" w:color="auto" w:fill="FFFFFF"/>
        </w:rPr>
      </w:pPr>
    </w:p>
    <w:p w14:paraId="3FB79485" w14:textId="77777777" w:rsidR="00C6122D" w:rsidRPr="00822FFC" w:rsidRDefault="00C6122D" w:rsidP="00C6122D">
      <w:pPr>
        <w:rPr>
          <w:b/>
          <w:bCs/>
          <w:shd w:val="clear" w:color="auto" w:fill="FFFFFF"/>
        </w:rPr>
      </w:pPr>
      <w:r w:rsidRPr="00822FFC">
        <w:rPr>
          <w:b/>
          <w:bCs/>
          <w:shd w:val="clear" w:color="auto" w:fill="FFFFFF"/>
        </w:rPr>
        <w:t>Required Actions by Employers</w:t>
      </w:r>
    </w:p>
    <w:p w14:paraId="00C979BA" w14:textId="77777777" w:rsidR="00C6122D" w:rsidRPr="00822FFC" w:rsidRDefault="00C6122D" w:rsidP="00C6122D">
      <w:pPr>
        <w:spacing w:line="240" w:lineRule="auto"/>
        <w:rPr>
          <w:shd w:val="clear" w:color="auto" w:fill="FFFFFF"/>
        </w:rPr>
      </w:pPr>
      <w:r w:rsidRPr="00822FFC">
        <w:rPr>
          <w:shd w:val="clear" w:color="auto" w:fill="FFFFFF"/>
        </w:rPr>
        <w:t>Employers that are subject to the SF HCSO must:</w:t>
      </w:r>
    </w:p>
    <w:p w14:paraId="4C4F8C04" w14:textId="77777777" w:rsidR="00C6122D" w:rsidRPr="00822FFC"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Satisfy the spending requirement by making healthcare expenditures on behalf of all covered employees, such as:</w:t>
      </w:r>
    </w:p>
    <w:p w14:paraId="22BB5F2E"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Payments to a third party to provide group health coverage, such as medical, dental, or vision insurance premiums;</w:t>
      </w:r>
    </w:p>
    <w:p w14:paraId="093F31F8"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Benefit payments made by the employer’s self-funded health plan;</w:t>
      </w:r>
    </w:p>
    <w:p w14:paraId="586CAACB"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Contributions to a union trust fund, counting only the part contributed for healthcare;</w:t>
      </w:r>
    </w:p>
    <w:p w14:paraId="5BE11452"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Contributions made to the employee’s health savings account (HSA); and</w:t>
      </w:r>
    </w:p>
    <w:p w14:paraId="64D5812D"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Costs paid for the direct delivery of healthcare services.</w:t>
      </w:r>
    </w:p>
    <w:p w14:paraId="6DC9910F" w14:textId="77777777" w:rsidR="00C6122D" w:rsidRPr="005D03B2"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Display the SF HCSO poster in all workplaces with covered employees. Covered employees without a physical job site must be provided a copy of the poster. Note: The poster is updated annually (effective each January 1) and can be downloaded from the SF HCSO</w:t>
      </w:r>
      <w:r w:rsidRPr="005D03B2">
        <w:rPr>
          <w:shd w:val="clear" w:color="auto" w:fill="FFFFFF"/>
        </w:rPr>
        <w:t> </w:t>
      </w:r>
      <w:hyperlink r:id="rId483" w:tgtFrame="_blank" w:history="1">
        <w:r w:rsidRPr="005D03B2">
          <w:rPr>
            <w:rStyle w:val="Hyperlink"/>
            <w:shd w:val="clear" w:color="auto" w:fill="FFFFFF"/>
          </w:rPr>
          <w:t>website</w:t>
        </w:r>
      </w:hyperlink>
      <w:r w:rsidRPr="005D03B2">
        <w:rPr>
          <w:shd w:val="clear" w:color="auto" w:fill="FFFFFF"/>
        </w:rPr>
        <w:t>.</w:t>
      </w:r>
    </w:p>
    <w:p w14:paraId="68CED3FF" w14:textId="77777777" w:rsidR="00C6122D" w:rsidRPr="005D03B2"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Submit the online annual reporting form (available on the SF HCSO website each April 1) to the City and County of San Francisco Office of Labor Standards Enforcement (OLSE) by April 30 each year</w:t>
      </w:r>
      <w:r w:rsidRPr="005D03B2">
        <w:rPr>
          <w:shd w:val="clear" w:color="auto" w:fill="FFFFFF"/>
        </w:rPr>
        <w:t>.</w:t>
      </w:r>
    </w:p>
    <w:p w14:paraId="61A7DF09" w14:textId="77777777" w:rsidR="00C6122D" w:rsidRDefault="00C6122D">
      <w:pPr>
        <w:numPr>
          <w:ilvl w:val="0"/>
          <w:numId w:val="331"/>
        </w:numPr>
        <w:tabs>
          <w:tab w:val="clear" w:pos="720"/>
        </w:tabs>
        <w:spacing w:after="0" w:line="240" w:lineRule="auto"/>
        <w:ind w:left="540"/>
        <w:rPr>
          <w:shd w:val="clear" w:color="auto" w:fill="FFFFFF"/>
        </w:rPr>
      </w:pPr>
      <w:hyperlink r:id="rId484" w:tgtFrame="_blank" w:history="1">
        <w:r w:rsidRPr="005D03B2">
          <w:rPr>
            <w:rStyle w:val="Hyperlink"/>
            <w:shd w:val="clear" w:color="auto" w:fill="FFFFFF"/>
          </w:rPr>
          <w:t>Maintain records</w:t>
        </w:r>
      </w:hyperlink>
      <w:r w:rsidRPr="005D03B2">
        <w:rPr>
          <w:shd w:val="clear" w:color="auto" w:fill="FFFFFF"/>
        </w:rPr>
        <w:t> for four years starting with the employee’s hire date to document the employer’s compliance with the spending requirement.</w:t>
      </w:r>
    </w:p>
    <w:p w14:paraId="002450B6" w14:textId="77777777" w:rsidR="00C6122D" w:rsidRPr="00822FFC" w:rsidRDefault="00C6122D" w:rsidP="00C6122D">
      <w:pPr>
        <w:spacing w:after="0" w:line="240" w:lineRule="auto"/>
        <w:ind w:left="360"/>
        <w:rPr>
          <w:shd w:val="clear" w:color="auto" w:fill="FFFFFF"/>
        </w:rPr>
      </w:pPr>
    </w:p>
    <w:p w14:paraId="08E7E836" w14:textId="5E1FCC10" w:rsidR="00C6122D" w:rsidRPr="002E4255" w:rsidRDefault="00C6122D" w:rsidP="002E4255">
      <w:pPr>
        <w:rPr>
          <w:b/>
          <w:bCs/>
          <w:shd w:val="clear" w:color="auto" w:fill="FFFFFF"/>
        </w:rPr>
      </w:pPr>
      <w:r w:rsidRPr="00574138">
        <w:rPr>
          <w:shd w:val="clear" w:color="auto" w:fill="FFFFFF"/>
        </w:rPr>
        <w:t>For details, see</w:t>
      </w:r>
      <w:r w:rsidRPr="005D03B2">
        <w:rPr>
          <w:b/>
          <w:bCs/>
          <w:shd w:val="clear" w:color="auto" w:fill="FFFFFF"/>
        </w:rPr>
        <w:t> </w:t>
      </w:r>
      <w:hyperlink r:id="rId485" w:tgtFrame="_blank" w:history="1">
        <w:r w:rsidRPr="005D03B2">
          <w:rPr>
            <w:rStyle w:val="Hyperlink"/>
            <w:bCs/>
            <w:shd w:val="clear" w:color="auto" w:fill="FFFFFF"/>
          </w:rPr>
          <w:t>HCSO Rules 5.9 and 5.10</w:t>
        </w:r>
      </w:hyperlink>
      <w:r w:rsidRPr="005D03B2">
        <w:rPr>
          <w:b/>
          <w:bCs/>
          <w:shd w:val="clear" w:color="auto" w:fill="FFFFFF"/>
        </w:rPr>
        <w:t>.</w:t>
      </w:r>
    </w:p>
    <w:p w14:paraId="149D725D" w14:textId="77777777" w:rsidR="0015425E" w:rsidRPr="00DD7BD1" w:rsidRDefault="0015425E" w:rsidP="00AF681C">
      <w:pPr>
        <w:spacing w:after="0" w:line="240" w:lineRule="auto"/>
        <w:jc w:val="center"/>
        <w:rPr>
          <w:rFonts w:ascii="Calibri" w:hAnsi="Calibri" w:cs="Calibri"/>
          <w:b/>
          <w:bCs/>
          <w:shd w:val="clear" w:color="auto" w:fill="FFFFFF"/>
          <w:lang w:val="en"/>
        </w:rPr>
      </w:pPr>
    </w:p>
    <w:p w14:paraId="4C1BE100" w14:textId="36667B85" w:rsidR="00AF681C" w:rsidRPr="00DD7BD1" w:rsidRDefault="00AF681C" w:rsidP="00AF681C">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State Issues New Workplace Poster for Paid Sick Leave</w:t>
      </w:r>
    </w:p>
    <w:p w14:paraId="64938814" w14:textId="77777777" w:rsidR="00AF681C" w:rsidRPr="00DD7BD1" w:rsidRDefault="00AF681C" w:rsidP="00AF681C">
      <w:pPr>
        <w:spacing w:after="0" w:line="240" w:lineRule="auto"/>
        <w:rPr>
          <w:rFonts w:ascii="Calibri" w:hAnsi="Calibri" w:cs="Calibri"/>
          <w:b/>
          <w:bCs/>
        </w:rPr>
      </w:pPr>
      <w:r w:rsidRPr="00DD7BD1">
        <w:rPr>
          <w:rFonts w:ascii="Calibri" w:hAnsi="Calibri" w:cs="Calibri"/>
          <w:b/>
          <w:bCs/>
        </w:rPr>
        <w:t>CA Paid Sick Leave Poster/Notice:</w:t>
      </w:r>
      <w:r w:rsidRPr="00DD7BD1">
        <w:rPr>
          <w:rFonts w:ascii="Calibri" w:hAnsi="Calibri" w:cs="Calibri"/>
        </w:rPr>
        <w:t xml:space="preserve"> The state has published a new workplace paid sick leave notice that includes new reasons for leave dated January 2026. Employers should make sure they display the latest version of the poster where it can be easily read by employees. Access  </w:t>
      </w:r>
      <w:hyperlink r:id="rId486" w:history="1">
        <w:r w:rsidRPr="00DD7BD1">
          <w:rPr>
            <w:rStyle w:val="Hyperlink"/>
            <w:rFonts w:ascii="Calibri" w:hAnsi="Calibri" w:cs="Calibri"/>
          </w:rPr>
          <w:t>workplace poster</w:t>
        </w:r>
      </w:hyperlink>
      <w:r w:rsidRPr="00DD7BD1">
        <w:rPr>
          <w:rFonts w:ascii="Calibri" w:hAnsi="Calibri" w:cs="Calibri"/>
          <w:b/>
          <w:bCs/>
        </w:rPr>
        <w:t xml:space="preserve">   </w:t>
      </w:r>
      <w:r w:rsidRPr="00DD7BD1">
        <w:rPr>
          <w:rFonts w:ascii="Calibri" w:hAnsi="Calibri" w:cs="Calibri"/>
          <w:b/>
          <w:bCs/>
          <w:shd w:val="clear" w:color="auto" w:fill="FFFFFF"/>
          <w:lang w:val="en"/>
        </w:rPr>
        <w:t xml:space="preserve">NOTE: </w:t>
      </w:r>
      <w:r w:rsidRPr="00DD7BD1">
        <w:rPr>
          <w:rFonts w:ascii="Calibri" w:hAnsi="Calibri" w:cs="Calibri"/>
          <w:shd w:val="clear" w:color="auto" w:fill="FFFFFF"/>
          <w:lang w:val="en"/>
        </w:rPr>
        <w:t>ETC released an updated CA State Handbook Addendum in December which reflects all of the covered reasons for leave under CA’s Paid Sick Leave regulations.</w:t>
      </w:r>
    </w:p>
    <w:p w14:paraId="0AD84142" w14:textId="77777777" w:rsidR="00AF681C" w:rsidRPr="00DD7BD1" w:rsidRDefault="00AF681C" w:rsidP="00AF681C">
      <w:pPr>
        <w:spacing w:after="0" w:line="240" w:lineRule="auto"/>
        <w:rPr>
          <w:rFonts w:ascii="Calibri" w:hAnsi="Calibri" w:cs="Calibri"/>
          <w:shd w:val="clear" w:color="auto" w:fill="FFFFFF"/>
          <w:lang w:val="en"/>
        </w:rPr>
      </w:pPr>
    </w:p>
    <w:p w14:paraId="254C3A39" w14:textId="315FF17E" w:rsidR="00AF681C" w:rsidRPr="00DD7BD1" w:rsidRDefault="00AF681C" w:rsidP="00AF681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Data Reporting Temporary Templates &amp; FAQs Released Deadline </w:t>
      </w:r>
      <w:r w:rsidRPr="00DD7BD1">
        <w:rPr>
          <w:rFonts w:ascii="Calibri" w:hAnsi="Calibri" w:cs="Calibri"/>
          <w:b/>
          <w:bCs/>
          <w:color w:val="C00000"/>
          <w:sz w:val="28"/>
          <w:szCs w:val="28"/>
          <w:shd w:val="clear" w:color="auto" w:fill="FFFFFF"/>
          <w:lang w:val="en"/>
        </w:rPr>
        <w:t xml:space="preserve">May 13, 2026 </w:t>
      </w:r>
      <w:r w:rsidRPr="00DD7BD1">
        <w:rPr>
          <w:rFonts w:ascii="Calibri" w:hAnsi="Calibri" w:cs="Calibri"/>
          <w:b/>
          <w:bCs/>
          <w:sz w:val="28"/>
          <w:szCs w:val="28"/>
          <w:shd w:val="clear" w:color="auto" w:fill="FFFFFF"/>
          <w:lang w:val="en"/>
        </w:rPr>
        <w:t xml:space="preserve">&amp; Portal Opens </w:t>
      </w:r>
      <w:r w:rsidRPr="00DD7BD1">
        <w:rPr>
          <w:rFonts w:ascii="Calibri" w:hAnsi="Calibri" w:cs="Calibri"/>
          <w:b/>
          <w:bCs/>
          <w:color w:val="C00000"/>
          <w:sz w:val="28"/>
          <w:szCs w:val="28"/>
          <w:shd w:val="clear" w:color="auto" w:fill="FFFFFF"/>
          <w:lang w:val="en"/>
        </w:rPr>
        <w:t>Feb 2, 2026</w:t>
      </w:r>
    </w:p>
    <w:p w14:paraId="78626DDA"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California’s annual pay data reporting submission this year is </w:t>
      </w:r>
      <w:r w:rsidRPr="00DD7BD1">
        <w:rPr>
          <w:rFonts w:ascii="Calibri" w:hAnsi="Calibri" w:cs="Calibri"/>
          <w:b/>
          <w:bCs/>
        </w:rPr>
        <w:t>due on May 13, 2026</w:t>
      </w:r>
      <w:r w:rsidRPr="00DD7BD1">
        <w:rPr>
          <w:rFonts w:ascii="Calibri" w:hAnsi="Calibri" w:cs="Calibri"/>
        </w:rPr>
        <w:t>. Each cycle, the California Civil Rights Department (CRD) typically releases updated guidance for that year’s reporting in early February.</w:t>
      </w:r>
    </w:p>
    <w:p w14:paraId="731D3988" w14:textId="77777777" w:rsidR="00AF681C" w:rsidRPr="00DD7BD1" w:rsidRDefault="00AF681C" w:rsidP="00AF681C">
      <w:pPr>
        <w:shd w:val="clear" w:color="auto" w:fill="FFFFFF"/>
        <w:spacing w:after="0" w:line="240" w:lineRule="auto"/>
        <w:rPr>
          <w:rFonts w:ascii="Calibri" w:hAnsi="Calibri" w:cs="Calibri"/>
          <w:sz w:val="16"/>
          <w:szCs w:val="16"/>
        </w:rPr>
      </w:pPr>
    </w:p>
    <w:p w14:paraId="433501A1"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Background</w:t>
      </w:r>
    </w:p>
    <w:p w14:paraId="638C54A1"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 law requires private </w:t>
      </w:r>
      <w:r w:rsidRPr="00DD7BD1">
        <w:rPr>
          <w:rFonts w:ascii="Calibri" w:hAnsi="Calibri" w:cs="Calibri"/>
          <w:b/>
          <w:bCs/>
        </w:rPr>
        <w:t>employers of 100 or more employees</w:t>
      </w:r>
      <w:r w:rsidRPr="00DD7BD1">
        <w:rPr>
          <w:rFonts w:ascii="Calibri" w:hAnsi="Calibri" w:cs="Calibri"/>
        </w:rPr>
        <w:t> and/or </w:t>
      </w:r>
      <w:r w:rsidRPr="00DD7BD1">
        <w:rPr>
          <w:rFonts w:ascii="Calibri" w:hAnsi="Calibri" w:cs="Calibri"/>
          <w:b/>
          <w:bCs/>
        </w:rPr>
        <w:t>100 or more workers hired through labor contractors</w:t>
      </w:r>
      <w:r w:rsidRPr="00DD7BD1">
        <w:rPr>
          <w:rFonts w:ascii="Calibri" w:hAnsi="Calibri" w:cs="Calibri"/>
        </w:rPr>
        <w:t> to annually report pay, demographic, and other workforce data to the Civil Rights Department (CRD). This reporting is required under Government Code section 12999, as amended by Senate Bill 1162.</w:t>
      </w:r>
    </w:p>
    <w:p w14:paraId="199787D9" w14:textId="77777777" w:rsidR="00AF681C" w:rsidRPr="00DD7BD1" w:rsidRDefault="00AF681C" w:rsidP="00AF681C">
      <w:pPr>
        <w:shd w:val="clear" w:color="auto" w:fill="FFFFFF"/>
        <w:spacing w:after="0" w:line="240" w:lineRule="auto"/>
        <w:rPr>
          <w:rFonts w:ascii="Calibri" w:hAnsi="Calibri" w:cs="Calibri"/>
          <w:sz w:val="16"/>
          <w:szCs w:val="16"/>
        </w:rPr>
      </w:pPr>
    </w:p>
    <w:p w14:paraId="65433DC3"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Determine whether the employer is required to file a Payroll Employee Report for Reporting Year 2025 </w:t>
      </w:r>
      <w:r w:rsidRPr="00DD7BD1">
        <w:rPr>
          <w:rFonts w:ascii="Calibri" w:hAnsi="Calibri" w:cs="Calibri"/>
        </w:rPr>
        <w:t>by counting the total number of payroll employees inside and outside of California in 2025. If the employer has 100 or more payroll employees, and at least 1 California employee, the employer is required to file.</w:t>
      </w:r>
    </w:p>
    <w:p w14:paraId="5FA548F1" w14:textId="77777777" w:rsidR="00AF681C" w:rsidRPr="00DD7BD1" w:rsidRDefault="00AF681C" w:rsidP="00AF681C">
      <w:pPr>
        <w:shd w:val="clear" w:color="auto" w:fill="FFFFFF"/>
        <w:spacing w:after="0" w:line="240" w:lineRule="auto"/>
        <w:rPr>
          <w:rFonts w:ascii="Calibri" w:hAnsi="Calibri" w:cs="Calibri"/>
          <w:sz w:val="16"/>
          <w:szCs w:val="16"/>
        </w:rPr>
      </w:pPr>
    </w:p>
    <w:p w14:paraId="62EC1CFE"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has already provided</w:t>
      </w:r>
      <w:r w:rsidRPr="00DD7BD1">
        <w:rPr>
          <w:rFonts w:ascii="Calibri" w:hAnsi="Calibri" w:cs="Calibri"/>
          <w:color w:val="333333"/>
        </w:rPr>
        <w:t> </w:t>
      </w:r>
      <w:hyperlink r:id="rId487" w:tgtFrame="_blank" w:history="1">
        <w:r w:rsidRPr="00DD7BD1">
          <w:rPr>
            <w:rFonts w:ascii="Calibri" w:hAnsi="Calibri" w:cs="Calibri"/>
            <w:color w:val="276674"/>
            <w:u w:val="single"/>
          </w:rPr>
          <w:t>preliminary templates for payroll employee and labor contractor pay data reporting</w:t>
        </w:r>
      </w:hyperlink>
      <w:r w:rsidRPr="00DD7BD1">
        <w:rPr>
          <w:rFonts w:ascii="Calibri" w:hAnsi="Calibri" w:cs="Calibri"/>
          <w:color w:val="333333"/>
        </w:rPr>
        <w:t> and related </w:t>
      </w:r>
      <w:hyperlink r:id="rId488" w:tgtFrame="_blank" w:history="1">
        <w:r w:rsidRPr="00DD7BD1">
          <w:rPr>
            <w:rFonts w:ascii="Calibri" w:hAnsi="Calibri" w:cs="Calibri"/>
            <w:color w:val="276674"/>
            <w:u w:val="single"/>
          </w:rPr>
          <w:t>Frequently Asked Questions</w:t>
        </w:r>
      </w:hyperlink>
      <w:r w:rsidRPr="00DD7BD1">
        <w:rPr>
          <w:rFonts w:ascii="Calibri" w:hAnsi="Calibri" w:cs="Calibri"/>
          <w:color w:val="333333"/>
        </w:rPr>
        <w:t xml:space="preserve">. </w:t>
      </w:r>
      <w:r w:rsidRPr="00DD7BD1">
        <w:rPr>
          <w:rFonts w:ascii="Calibri" w:hAnsi="Calibri" w:cs="Calibri"/>
        </w:rPr>
        <w:t>These preliminary templates are intended to be simplified versions of the final filing templates to help employers get familiar with the format and data fields in advance of the reporting deadline. Though neither final nor compelled by regulation, the preliminary templates reflect material changes to this year’s data collection.</w:t>
      </w:r>
    </w:p>
    <w:p w14:paraId="17211524"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B34C9E3"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New Data Elements: </w:t>
      </w:r>
    </w:p>
    <w:p w14:paraId="6331F210"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adds three mandatory data fields to the pay data report:</w:t>
      </w:r>
    </w:p>
    <w:p w14:paraId="0E203F89"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Exemption status (exempt or non</w:t>
      </w:r>
      <w:r w:rsidRPr="00DD7BD1">
        <w:rPr>
          <w:rFonts w:ascii="Calibri" w:hAnsi="Calibri" w:cs="Calibri"/>
        </w:rPr>
        <w:noBreakHyphen/>
        <w:t>exempt)</w:t>
      </w:r>
    </w:p>
    <w:p w14:paraId="06321795"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Employment type (full</w:t>
      </w:r>
      <w:r w:rsidRPr="00DD7BD1">
        <w:rPr>
          <w:rFonts w:ascii="Calibri" w:hAnsi="Calibri" w:cs="Calibri"/>
        </w:rPr>
        <w:noBreakHyphen/>
        <w:t>time, part</w:t>
      </w:r>
      <w:r w:rsidRPr="00DD7BD1">
        <w:rPr>
          <w:rFonts w:ascii="Calibri" w:hAnsi="Calibri" w:cs="Calibri"/>
        </w:rPr>
        <w:noBreakHyphen/>
        <w:t>time, or intermittent)</w:t>
      </w:r>
    </w:p>
    <w:p w14:paraId="4ABF5411"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Total annual weeks worked (aggregated by employee group)</w:t>
      </w:r>
    </w:p>
    <w:p w14:paraId="2908FF12" w14:textId="77777777" w:rsidR="00AF681C" w:rsidRPr="00DD7BD1" w:rsidRDefault="00AF681C" w:rsidP="00AF681C">
      <w:pPr>
        <w:shd w:val="clear" w:color="auto" w:fill="FFFFFF"/>
        <w:spacing w:after="0" w:line="240" w:lineRule="auto"/>
        <w:rPr>
          <w:rFonts w:ascii="Calibri" w:hAnsi="Calibri" w:cs="Calibri"/>
          <w:sz w:val="16"/>
          <w:szCs w:val="16"/>
        </w:rPr>
      </w:pPr>
    </w:p>
    <w:p w14:paraId="592E28C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These fields apply across both the Payroll Employee reports and the Labor Contractor Employee reports.</w:t>
      </w:r>
    </w:p>
    <w:p w14:paraId="4A3CF6A8" w14:textId="30363C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In addition to receiving compensation data organized by job category, pay band, race/ethnicity, and sex, the updates further break out the submission by exemption status and employment type.</w:t>
      </w:r>
    </w:p>
    <w:p w14:paraId="214631E9"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1FCF5EA7" w14:textId="56E4C429"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Reminders</w:t>
      </w:r>
    </w:p>
    <w:p w14:paraId="49B00E0A" w14:textId="39C9C304"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Although not new, the FAQ reiterates how employers must calculate total annual hours worked for both exempt and non</w:t>
      </w:r>
      <w:r w:rsidRPr="00DD7BD1">
        <w:rPr>
          <w:rFonts w:ascii="Calibri" w:hAnsi="Calibri" w:cs="Calibri"/>
        </w:rPr>
        <w:noBreakHyphen/>
        <w:t>exempt employees.</w:t>
      </w:r>
    </w:p>
    <w:p w14:paraId="02176B4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For exempt employees, employers must use:</w:t>
      </w:r>
    </w:p>
    <w:p w14:paraId="577B4DDF"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actual tracked hours, if available; or</w:t>
      </w:r>
    </w:p>
    <w:p w14:paraId="30673E01"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 reasonable estimation based on days worked and paid time off multiplied by average daily hours.</w:t>
      </w:r>
    </w:p>
    <w:p w14:paraId="03C27C9E" w14:textId="77777777" w:rsidR="00AF681C" w:rsidRPr="00DD7BD1" w:rsidRDefault="00AF681C" w:rsidP="00AF681C">
      <w:pPr>
        <w:shd w:val="clear" w:color="auto" w:fill="FFFFFF"/>
        <w:spacing w:after="0" w:line="240" w:lineRule="auto"/>
        <w:rPr>
          <w:rFonts w:ascii="Calibri" w:hAnsi="Calibri" w:cs="Calibri"/>
          <w:sz w:val="16"/>
          <w:szCs w:val="16"/>
        </w:rPr>
      </w:pPr>
    </w:p>
    <w:p w14:paraId="683B5DB2" w14:textId="7BD4BDE1"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emphasizes that the 2025 templates are preliminary and may change. Final templates, instructions, and guidance will be released when the reporting portal opens in February 2026.The preliminary templates are nonetheless instructive. They reflect how CRD expects data to be structured and the types of analyses it is preparing to perform.</w:t>
      </w:r>
    </w:p>
    <w:p w14:paraId="43F956F0" w14:textId="77777777" w:rsidR="00AF681C" w:rsidRPr="00DD7BD1" w:rsidRDefault="00AF681C" w:rsidP="00AF681C">
      <w:pPr>
        <w:shd w:val="clear" w:color="auto" w:fill="FFFFFF"/>
        <w:spacing w:after="0" w:line="240" w:lineRule="auto"/>
        <w:rPr>
          <w:rFonts w:ascii="Calibri" w:hAnsi="Calibri" w:cs="Calibri"/>
          <w:b/>
          <w:bCs/>
        </w:rPr>
      </w:pPr>
    </w:p>
    <w:p w14:paraId="488660A9" w14:textId="6E36B6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Practical Preparation Steps for Employers</w:t>
      </w:r>
    </w:p>
    <w:p w14:paraId="66371BEB"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Employers preparing for the 2025 reporting cycle should consider the following steps now:</w:t>
      </w:r>
    </w:p>
    <w:p w14:paraId="6B36EF1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Audit exemption classifications and reconcile them with job duties and pay practices.</w:t>
      </w:r>
    </w:p>
    <w:p w14:paraId="35804F8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Standardize employment type definitions across establishments and apply them consistently.</w:t>
      </w:r>
    </w:p>
    <w:p w14:paraId="1678C598"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Confirm system capability to calculate weeks worked and hours worked accurately.</w:t>
      </w:r>
    </w:p>
    <w:p w14:paraId="324104E1"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Document methodologies used for estimating exempt employee hours.</w:t>
      </w:r>
    </w:p>
    <w:p w14:paraId="0364E91C"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Run a dry</w:t>
      </w:r>
      <w:r w:rsidRPr="00DD7BD1">
        <w:rPr>
          <w:rFonts w:ascii="Calibri" w:hAnsi="Calibri" w:cs="Calibri"/>
        </w:rPr>
        <w:noBreakHyphen/>
        <w:t>run analysis using the preliminary templates to identify gaps or inconsistencies.</w:t>
      </w:r>
    </w:p>
    <w:p w14:paraId="722B039F" w14:textId="04A98A13"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Coordinate legal, HR, payroll, and data teams early in the process.</w:t>
      </w:r>
    </w:p>
    <w:p w14:paraId="12A4A1B0"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CAD2CFE" w14:textId="15219FB6" w:rsidR="003B56C1" w:rsidRPr="00DD7BD1" w:rsidRDefault="00AF681C" w:rsidP="006209C2">
      <w:pPr>
        <w:shd w:val="clear" w:color="auto" w:fill="FFFFFF"/>
        <w:spacing w:after="0" w:line="240" w:lineRule="auto"/>
        <w:rPr>
          <w:rFonts w:ascii="Calibri" w:hAnsi="Calibri" w:cs="Calibri"/>
        </w:rPr>
      </w:pPr>
      <w:r w:rsidRPr="00DD7BD1">
        <w:rPr>
          <w:rFonts w:ascii="Calibri" w:hAnsi="Calibri" w:cs="Calibri"/>
          <w:b/>
          <w:bCs/>
        </w:rPr>
        <w:t>Filing Portal Open Feb 2nd</w:t>
      </w:r>
      <w:r w:rsidRPr="00DD7BD1">
        <w:rPr>
          <w:rFonts w:ascii="Calibri" w:hAnsi="Calibri" w:cs="Calibri"/>
        </w:rPr>
        <w:t xml:space="preserve"> </w:t>
      </w:r>
      <w:hyperlink r:id="rId489" w:tgtFrame="_blank" w:history="1">
        <w:r w:rsidRPr="00DD7BD1">
          <w:rPr>
            <w:rStyle w:val="Hyperlink"/>
            <w:rFonts w:ascii="Calibri" w:hAnsi="Calibri" w:cs="Calibri"/>
          </w:rPr>
          <w:t>California </w:t>
        </w:r>
      </w:hyperlink>
      <w:hyperlink r:id="rId490" w:tgtFrame="_blank" w:tooltip="https://calcivilrights.ca.gov/paydatareporting/" w:history="1">
        <w:r w:rsidRPr="00DD7BD1">
          <w:rPr>
            <w:rStyle w:val="Hyperlink"/>
            <w:rFonts w:ascii="Calibri" w:hAnsi="Calibri" w:cs="Calibri"/>
          </w:rPr>
          <w:t>Pay Data Reporting homepage</w:t>
        </w:r>
      </w:hyperlink>
      <w:r w:rsidRPr="00DD7BD1">
        <w:rPr>
          <w:rFonts w:ascii="Calibri" w:hAnsi="Calibri" w:cs="Calibri"/>
        </w:rPr>
        <w:t> </w:t>
      </w:r>
    </w:p>
    <w:p w14:paraId="7267E4E3" w14:textId="77777777" w:rsidR="006209C2" w:rsidRPr="00DD7BD1" w:rsidRDefault="006209C2" w:rsidP="006209C2">
      <w:pPr>
        <w:shd w:val="clear" w:color="auto" w:fill="FFFFFF"/>
        <w:spacing w:after="0" w:line="240" w:lineRule="auto"/>
        <w:rPr>
          <w:rFonts w:ascii="Calibri" w:hAnsi="Calibri" w:cs="Calibri"/>
        </w:rPr>
      </w:pPr>
    </w:p>
    <w:p w14:paraId="6B06C7E8" w14:textId="7C6C956B" w:rsidR="00EC0387" w:rsidRPr="00DD7BD1" w:rsidRDefault="00EC0387" w:rsidP="00EC0387">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Annual Workplace Rights Notices – </w:t>
      </w:r>
      <w:r w:rsidRPr="00DD7BD1">
        <w:rPr>
          <w:rFonts w:ascii="Calibri" w:hAnsi="Calibri" w:cs="Calibri"/>
          <w:b/>
          <w:bCs/>
          <w:color w:val="C00000"/>
          <w:sz w:val="28"/>
          <w:szCs w:val="28"/>
          <w:shd w:val="clear" w:color="auto" w:fill="FFFFFF"/>
          <w:lang w:val="en"/>
        </w:rPr>
        <w:t>Deadline Feb 1, 2026</w:t>
      </w:r>
    </w:p>
    <w:p w14:paraId="1447BFCD" w14:textId="7419EFCB" w:rsidR="00EC0387" w:rsidRPr="00DD7BD1" w:rsidRDefault="00EC0387" w:rsidP="00EC0387">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491"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xml:space="preserve">) into law, which codifies the </w:t>
      </w:r>
      <w:r w:rsidRPr="00DD7BD1">
        <w:rPr>
          <w:rFonts w:ascii="Calibri" w:hAnsi="Calibri" w:cs="Calibri"/>
          <w:b/>
          <w:bCs/>
          <w:shd w:val="clear" w:color="auto" w:fill="FFFFFF"/>
        </w:rPr>
        <w:t>Workplace Know Your Rights Act</w:t>
      </w:r>
      <w:r w:rsidRPr="00DD7BD1">
        <w:rPr>
          <w:rFonts w:ascii="Calibri" w:hAnsi="Calibri" w:cs="Calibri"/>
          <w:shd w:val="clear" w:color="auto" w:fill="FFFFFF"/>
        </w:rPr>
        <w:t>. The law also clarifies employers’ duties if an employee is arrested during work.</w:t>
      </w:r>
    </w:p>
    <w:p w14:paraId="1F95D073"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the Labor Commissioner will provide a template notice for employers and also develop video resources on the law’s rights and requirements.</w:t>
      </w:r>
    </w:p>
    <w:p w14:paraId="516A8F5D"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w:t>
      </w:r>
      <w:r w:rsidRPr="00DD7BD1">
        <w:rPr>
          <w:rFonts w:ascii="Calibri" w:hAnsi="Calibri" w:cs="Calibri"/>
          <w:color w:val="EE0000"/>
          <w:shd w:val="clear" w:color="auto" w:fill="FFFFFF"/>
        </w:rPr>
        <w:t> </w:t>
      </w:r>
      <w:r w:rsidRPr="00DD7BD1">
        <w:rPr>
          <w:rFonts w:ascii="Calibri" w:hAnsi="Calibri" w:cs="Calibri"/>
          <w:b/>
          <w:bCs/>
          <w:color w:val="EE0000"/>
          <w:shd w:val="clear" w:color="auto" w:fill="FFFFFF"/>
        </w:rPr>
        <w:t>February 1, 2026</w:t>
      </w:r>
      <w:r w:rsidRPr="00DD7BD1">
        <w:rPr>
          <w:rFonts w:ascii="Calibri" w:hAnsi="Calibri" w:cs="Calibri"/>
          <w:shd w:val="clear" w:color="auto" w:fill="FFFFFF"/>
        </w:rPr>
        <w:t>, employers must provide the notice to all current employees.</w:t>
      </w:r>
    </w:p>
    <w:p w14:paraId="000AB67C"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color w:val="EE0000"/>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36076267" w14:textId="77777777" w:rsidR="00EC0387" w:rsidRPr="00DD7BD1" w:rsidRDefault="00EC0387" w:rsidP="00EC0387">
      <w:pPr>
        <w:pStyle w:val="Heading3"/>
        <w:shd w:val="clear" w:color="auto" w:fill="FFFFFF"/>
        <w:spacing w:before="0"/>
        <w:rPr>
          <w:rFonts w:ascii="Calibri" w:hAnsi="Calibri" w:cs="Calibri"/>
          <w:color w:val="292929"/>
          <w:spacing w:val="3"/>
          <w:sz w:val="16"/>
          <w:szCs w:val="16"/>
        </w:rPr>
      </w:pPr>
    </w:p>
    <w:p w14:paraId="5456DB77" w14:textId="77777777" w:rsidR="00EC0387" w:rsidRPr="00DD7BD1" w:rsidRDefault="00EC0387" w:rsidP="00EC0387">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232E47BD" w14:textId="77777777" w:rsidR="00EC0387" w:rsidRPr="00DD7BD1" w:rsidRDefault="00EC0387" w:rsidP="00EC038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5B3BBC16" w14:textId="77777777"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2"/>
          <w:szCs w:val="22"/>
          <w:shd w:val="clear" w:color="auto" w:fill="FFFFFF"/>
          <w:lang w:val="en"/>
        </w:rPr>
      </w:pPr>
    </w:p>
    <w:p w14:paraId="1969B1EA" w14:textId="33839D71"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Increased Minimum Wages – Eff </w:t>
      </w:r>
      <w:r w:rsidRPr="00DD7BD1">
        <w:rPr>
          <w:rFonts w:ascii="Calibri" w:hAnsi="Calibri" w:cs="Calibri"/>
          <w:b/>
          <w:bCs/>
          <w:color w:val="C00000"/>
          <w:sz w:val="28"/>
          <w:szCs w:val="28"/>
          <w:shd w:val="clear" w:color="auto" w:fill="FFFFFF"/>
          <w:lang w:val="en"/>
        </w:rPr>
        <w:t>Jan 1, 2026</w:t>
      </w:r>
    </w:p>
    <w:p w14:paraId="06DB1CC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The standard state minimum wage will increase to $16.90 per hour. This will also increase the minimum salary threshold for exempt employees to $70,304 per year. Employers covered by local or industry-specific minimum wages that are higher must comply with those rates.</w:t>
      </w:r>
    </w:p>
    <w:p w14:paraId="1EECA031" w14:textId="77777777" w:rsidR="000012B8" w:rsidRPr="00DD7BD1" w:rsidRDefault="000012B8" w:rsidP="000012B8">
      <w:pPr>
        <w:spacing w:after="0" w:line="240" w:lineRule="auto"/>
        <w:rPr>
          <w:rFonts w:ascii="Calibri" w:hAnsi="Calibri" w:cs="Calibri"/>
          <w:sz w:val="16"/>
          <w:szCs w:val="16"/>
          <w:shd w:val="clear" w:color="auto" w:fill="FFFFFF"/>
          <w:lang w:val="en"/>
        </w:rPr>
      </w:pPr>
    </w:p>
    <w:p w14:paraId="76CA48B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u w:val="single"/>
          <w:shd w:val="clear" w:color="auto" w:fill="FFFFFF"/>
        </w:rPr>
        <w:t>LOCAL MINIMUM WAGES</w:t>
      </w:r>
      <w:r w:rsidRPr="00DD7BD1">
        <w:rPr>
          <w:rFonts w:ascii="Calibri" w:hAnsi="Calibri" w:cs="Calibri"/>
          <w:shd w:val="clear" w:color="auto" w:fill="FFFFFF"/>
        </w:rPr>
        <w:br/>
        <w:t xml:space="preserve">The hourly minimum wage in these jurisdictions will increase as follows. If a locality has not yet announced its 2026 rate, TBD (to be determined) appears. </w:t>
      </w:r>
    </w:p>
    <w:p w14:paraId="4954C1A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Belmont: $18.95</w:t>
      </w:r>
    </w:p>
    <w:p w14:paraId="539581B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Burlingame: $17.86</w:t>
      </w:r>
    </w:p>
    <w:p w14:paraId="299E8B8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Cupertino: $18.70</w:t>
      </w:r>
    </w:p>
    <w:p w14:paraId="425C3E9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Daly City: $17.50</w:t>
      </w:r>
    </w:p>
    <w:p w14:paraId="67D9302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East Palo Alto: $17.90</w:t>
      </w:r>
    </w:p>
    <w:p w14:paraId="1219C641"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El Cerrito: $18.82</w:t>
      </w:r>
    </w:p>
    <w:p w14:paraId="01D75CE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Foster City: $17.85</w:t>
      </w:r>
    </w:p>
    <w:p w14:paraId="3E146AC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Half Moon Bay: $17.91</w:t>
      </w:r>
    </w:p>
    <w:p w14:paraId="3051321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Hayward (25 or fewer): $16.90 (state rate)</w:t>
      </w:r>
      <w:r w:rsidRPr="00DD7BD1">
        <w:rPr>
          <w:rFonts w:ascii="Calibri" w:hAnsi="Calibri" w:cs="Calibri"/>
          <w:shd w:val="clear" w:color="auto" w:fill="FFFFFF"/>
        </w:rPr>
        <w:br/>
        <w:t>Hayward (26 or more): $17.79</w:t>
      </w:r>
    </w:p>
    <w:p w14:paraId="35FC102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Los Altos: $18.70</w:t>
      </w:r>
    </w:p>
    <w:p w14:paraId="2205441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Menlo Park: $17.55</w:t>
      </w:r>
    </w:p>
    <w:p w14:paraId="3F11497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Mountain View: $19.70</w:t>
      </w:r>
    </w:p>
    <w:p w14:paraId="153B6B4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Novato (25 or fewer employees): $16.90</w:t>
      </w:r>
      <w:r w:rsidRPr="00DD7BD1">
        <w:rPr>
          <w:rFonts w:ascii="Calibri" w:hAnsi="Calibri" w:cs="Calibri"/>
          <w:shd w:val="clear" w:color="auto" w:fill="FFFFFF"/>
        </w:rPr>
        <w:br/>
        <w:t>Novato (26–99 employees): $17.46</w:t>
      </w:r>
      <w:r w:rsidRPr="00DD7BD1">
        <w:rPr>
          <w:rFonts w:ascii="Calibri" w:hAnsi="Calibri" w:cs="Calibri"/>
          <w:shd w:val="clear" w:color="auto" w:fill="FFFFFF"/>
        </w:rPr>
        <w:br/>
        <w:t>Novato (100 or more employees): $17.73</w:t>
      </w:r>
    </w:p>
    <w:p w14:paraId="238EC2C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Oakland: TBD</w:t>
      </w:r>
      <w:r w:rsidRPr="00DD7BD1">
        <w:rPr>
          <w:rFonts w:ascii="Calibri" w:hAnsi="Calibri" w:cs="Calibri"/>
          <w:shd w:val="clear" w:color="auto" w:fill="FFFFFF"/>
        </w:rPr>
        <w:br/>
        <w:t>Oakland (hotels with health benefits): TBD</w:t>
      </w:r>
      <w:r w:rsidRPr="00DD7BD1">
        <w:rPr>
          <w:rFonts w:ascii="Calibri" w:hAnsi="Calibri" w:cs="Calibri"/>
          <w:shd w:val="clear" w:color="auto" w:fill="FFFFFF"/>
        </w:rPr>
        <w:br/>
        <w:t>Oakland (hotels without health benefits): TBD</w:t>
      </w:r>
    </w:p>
    <w:p w14:paraId="36D42E0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Palo Alto: $18.70</w:t>
      </w:r>
    </w:p>
    <w:p w14:paraId="04F6B08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Petaluma: $18.31</w:t>
      </w:r>
    </w:p>
    <w:p w14:paraId="06DF6A7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Redwood City: $18.65</w:t>
      </w:r>
    </w:p>
    <w:p w14:paraId="4404F46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Richmond (with benefits): $17.68</w:t>
      </w:r>
      <w:r w:rsidRPr="00DD7BD1">
        <w:rPr>
          <w:rFonts w:ascii="Calibri" w:hAnsi="Calibri" w:cs="Calibri"/>
          <w:shd w:val="clear" w:color="auto" w:fill="FFFFFF"/>
        </w:rPr>
        <w:br/>
        <w:t>Richmond (without benefits): $19.18</w:t>
      </w:r>
    </w:p>
    <w:p w14:paraId="0D21201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Carlos: $17.75</w:t>
      </w:r>
    </w:p>
    <w:p w14:paraId="4AD7B6F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Diego: $17.75</w:t>
      </w:r>
    </w:p>
    <w:p w14:paraId="5093019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Jose: $18.45</w:t>
      </w:r>
    </w:p>
    <w:p w14:paraId="32AFD75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City: $18.60</w:t>
      </w:r>
    </w:p>
    <w:p w14:paraId="1EE5F3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County (unincorporated areas): $17.95</w:t>
      </w:r>
    </w:p>
    <w:p w14:paraId="76C545A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Clara City: $18.70</w:t>
      </w:r>
    </w:p>
    <w:p w14:paraId="090EBC6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Rosa: $18.21</w:t>
      </w:r>
    </w:p>
    <w:p w14:paraId="155EFB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Sonoma City (25 or fewer employees): $17.38</w:t>
      </w:r>
      <w:r w:rsidRPr="00DD7BD1">
        <w:rPr>
          <w:rFonts w:ascii="Calibri" w:hAnsi="Calibri" w:cs="Calibri"/>
          <w:shd w:val="clear" w:color="auto" w:fill="FFFFFF"/>
        </w:rPr>
        <w:br/>
        <w:t>Sonoma City (26 or more employees): $18.47</w:t>
      </w:r>
    </w:p>
    <w:p w14:paraId="77ED25BA"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South San Francisco: $18.15</w:t>
      </w:r>
    </w:p>
    <w:p w14:paraId="5FCD521F"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Sunnyvale: $19.50</w:t>
      </w:r>
    </w:p>
    <w:p w14:paraId="62D44B5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West Hollywood (non-hotel employees): $20.25</w:t>
      </w:r>
    </w:p>
    <w:p w14:paraId="1ECD9412" w14:textId="77777777" w:rsidR="004F7326" w:rsidRPr="00DD7BD1" w:rsidRDefault="004F7326" w:rsidP="000012B8">
      <w:pPr>
        <w:spacing w:after="0" w:line="240" w:lineRule="auto"/>
        <w:rPr>
          <w:rFonts w:ascii="Calibri" w:hAnsi="Calibri" w:cs="Calibri"/>
          <w:shd w:val="clear" w:color="auto" w:fill="FFFFFF"/>
        </w:rPr>
      </w:pPr>
    </w:p>
    <w:p w14:paraId="7853CAF2" w14:textId="77777777" w:rsidR="004F7326" w:rsidRPr="00DD7BD1" w:rsidRDefault="004F7326" w:rsidP="004F73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p w14:paraId="419DB0FB" w14:textId="77777777" w:rsidR="004F7326" w:rsidRPr="00DD7BD1" w:rsidRDefault="004F7326" w:rsidP="004F7326">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Each year, the California Department of Industrial Relations (DIR) sets the compensation threshold for the California computer professional exemption. </w:t>
      </w:r>
      <w:hyperlink r:id="rId492"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493"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494"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495"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496" w:anchor="_ftn4" w:history="1">
        <w:r w:rsidRPr="00DD7BD1">
          <w:rPr>
            <w:rStyle w:val="Hyperlink"/>
            <w:rFonts w:ascii="Calibri" w:hAnsi="Calibri" w:cs="Calibri"/>
            <w:shd w:val="clear" w:color="auto" w:fill="FFFFFF"/>
          </w:rPr>
          <w:t>[4]</w:t>
        </w:r>
      </w:hyperlink>
    </w:p>
    <w:p w14:paraId="3A841A93" w14:textId="51924175"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3B8FBB3" w14:textId="2DACED32"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17877793" w14:textId="303E0D07"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497"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165E32E4" w14:textId="00DE2AEE" w:rsidR="00BF4CB9" w:rsidRPr="00DD7BD1" w:rsidRDefault="004F7326" w:rsidP="00EC0387">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498" w:anchor="s-2" w:history="1">
        <w:r w:rsidRPr="00DD7BD1">
          <w:rPr>
            <w:rStyle w:val="Hyperlink"/>
            <w:rFonts w:ascii="Calibri" w:hAnsi="Calibri" w:cs="Calibri"/>
            <w:shd w:val="clear" w:color="auto" w:fill="FFFFFF"/>
          </w:rPr>
          <w:t>HERE</w:t>
        </w:r>
      </w:hyperlink>
    </w:p>
    <w:p w14:paraId="1BB435C2" w14:textId="77777777" w:rsidR="00CB4133" w:rsidRPr="00DD7BD1" w:rsidRDefault="00CB4133" w:rsidP="00CB4133">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Leave Rights: Jurors, Witnesses &amp; Crime Victims – </w:t>
      </w:r>
      <w:r w:rsidRPr="00DD7BD1">
        <w:rPr>
          <w:rFonts w:ascii="Calibri" w:hAnsi="Calibri" w:cs="Calibri"/>
          <w:b/>
          <w:bCs/>
          <w:color w:val="C00000"/>
          <w:sz w:val="28"/>
          <w:szCs w:val="28"/>
          <w:shd w:val="clear" w:color="auto" w:fill="FFFFFF"/>
          <w:lang w:val="en"/>
        </w:rPr>
        <w:t>Oct 1, 2025 &amp; Jan 1, 2026</w:t>
      </w:r>
    </w:p>
    <w:p w14:paraId="04F53C66" w14:textId="2E4C550C" w:rsidR="00CB4133" w:rsidRPr="00DD7BD1" w:rsidRDefault="00CB4133" w:rsidP="00CB4133">
      <w:pPr>
        <w:rPr>
          <w:rFonts w:ascii="Calibri" w:hAnsi="Calibri" w:cs="Calibri"/>
        </w:rPr>
      </w:pPr>
      <w:r w:rsidRPr="00DD7BD1">
        <w:rPr>
          <w:rFonts w:ascii="Calibri" w:hAnsi="Calibri" w:cs="Calibri"/>
          <w:b/>
          <w:bCs/>
        </w:rPr>
        <w:t xml:space="preserve">Overview: </w:t>
      </w:r>
      <w:r w:rsidRPr="00DD7BD1">
        <w:rPr>
          <w:rFonts w:ascii="Calibri" w:hAnsi="Calibri" w:cs="Calibri"/>
        </w:rPr>
        <w:t xml:space="preserve">Victim, juror and witness leave may qualify under the paid sick leave law starting </w:t>
      </w:r>
      <w:r w:rsidRPr="00DD7BD1">
        <w:rPr>
          <w:rFonts w:ascii="Calibri" w:hAnsi="Calibri" w:cs="Calibri"/>
          <w:color w:val="C00000"/>
        </w:rPr>
        <w:t>January 1, 2026</w:t>
      </w:r>
    </w:p>
    <w:p w14:paraId="541B3D97" w14:textId="47E9E088" w:rsidR="00CB4133" w:rsidRPr="00DD7BD1" w:rsidRDefault="00CB4133" w:rsidP="00CB4133">
      <w:pPr>
        <w:rPr>
          <w:rFonts w:ascii="Calibri" w:hAnsi="Calibri" w:cs="Calibri"/>
        </w:rPr>
      </w:pPr>
      <w:r w:rsidRPr="00DD7BD1">
        <w:rPr>
          <w:rFonts w:ascii="Calibri" w:hAnsi="Calibri" w:cs="Calibri"/>
        </w:rPr>
        <w:t xml:space="preserve">California has </w:t>
      </w:r>
      <w:hyperlink r:id="rId499"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crime victims (AB 2499) . The amendments also added paid sick leave rights under the California Healthy Workplaces, Healthy Families Act for victims, jurors and witnesses.</w:t>
      </w:r>
    </w:p>
    <w:p w14:paraId="3416B6BA"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666CD47C" w14:textId="77777777" w:rsidR="00CB4133" w:rsidRPr="00DD7BD1" w:rsidRDefault="00CB4133" w:rsidP="00CB4133">
      <w:pPr>
        <w:pStyle w:val="BodyText"/>
        <w:jc w:val="left"/>
        <w:rPr>
          <w:rFonts w:cs="Calibri"/>
          <w:color w:val="auto"/>
          <w:szCs w:val="22"/>
        </w:rPr>
      </w:pPr>
      <w:r w:rsidRPr="00DD7BD1">
        <w:rPr>
          <w:rFonts w:cs="Calibri"/>
          <w:color w:val="auto"/>
          <w:szCs w:val="22"/>
        </w:rPr>
        <w:t>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a right of the employee is an issue.</w:t>
      </w:r>
    </w:p>
    <w:p w14:paraId="78208DDB" w14:textId="77777777" w:rsidR="00CB4133" w:rsidRPr="00DD7BD1" w:rsidRDefault="00CB4133" w:rsidP="00CB4133">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3EF1195"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Effective </w:t>
      </w:r>
      <w:r w:rsidRPr="00DD7BD1">
        <w:rPr>
          <w:rFonts w:cs="Calibri"/>
          <w:b/>
          <w:bCs/>
          <w:color w:val="auto"/>
          <w:szCs w:val="22"/>
        </w:rPr>
        <w:t>Oct. 1, 2025</w:t>
      </w:r>
      <w:r w:rsidRPr="00DD7BD1">
        <w:rPr>
          <w:rFonts w:cs="Calibri"/>
          <w:color w:val="auto"/>
          <w:szCs w:val="22"/>
        </w:rPr>
        <w:t xml:space="preserve">, the right to use paid sick leave under the Healthy Workplaces,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558240E4" w14:textId="77777777" w:rsidR="00CB4133" w:rsidRPr="00DD7BD1" w:rsidRDefault="00CB4133" w:rsidP="00CB4133">
      <w:pPr>
        <w:pStyle w:val="BodyText"/>
        <w:spacing w:after="0" w:line="240" w:lineRule="auto"/>
        <w:jc w:val="left"/>
        <w:rPr>
          <w:rFonts w:cs="Calibri"/>
          <w:color w:val="C00000"/>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E550054" w14:textId="77777777" w:rsidR="00C31001" w:rsidRPr="00DD7BD1" w:rsidRDefault="00C31001" w:rsidP="00CB4133">
      <w:pPr>
        <w:pStyle w:val="BodyText"/>
        <w:spacing w:after="0" w:line="240" w:lineRule="auto"/>
        <w:jc w:val="left"/>
        <w:rPr>
          <w:rFonts w:cs="Calibri"/>
          <w:color w:val="C00000"/>
          <w:szCs w:val="22"/>
        </w:rPr>
      </w:pPr>
    </w:p>
    <w:p w14:paraId="661AF18E" w14:textId="77777777" w:rsidR="00C31001" w:rsidRPr="00DD7BD1" w:rsidRDefault="00C31001" w:rsidP="00C3100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Data Reporting Requirements – </w:t>
      </w:r>
      <w:r w:rsidRPr="00DD7BD1">
        <w:rPr>
          <w:rFonts w:cs="Calibri"/>
          <w:b/>
          <w:bCs/>
          <w:color w:val="C00000"/>
          <w:sz w:val="28"/>
          <w:szCs w:val="28"/>
          <w:shd w:val="clear" w:color="auto" w:fill="FFFFFF"/>
          <w:lang w:val="en"/>
        </w:rPr>
        <w:t>Jan 1, 2026 &amp; 2027</w:t>
      </w:r>
    </w:p>
    <w:p w14:paraId="65F337F7" w14:textId="7CAAEC2C" w:rsidR="00C31001" w:rsidRPr="00DD7BD1" w:rsidRDefault="00C31001" w:rsidP="00C31001">
      <w:pPr>
        <w:spacing w:after="0" w:line="240" w:lineRule="auto"/>
        <w:rPr>
          <w:rFonts w:ascii="Calibri" w:hAnsi="Calibri" w:cs="Calibri"/>
        </w:rPr>
      </w:pPr>
      <w:r w:rsidRPr="00DD7BD1">
        <w:rPr>
          <w:rFonts w:ascii="Calibri" w:hAnsi="Calibri" w:cs="Calibri"/>
        </w:rPr>
        <w:t xml:space="preserve">On Oct. 13, 2025, California </w:t>
      </w:r>
      <w:hyperlink r:id="rId500"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rPr>
        <w:t>Jan. 1, 2027</w:t>
      </w:r>
      <w:r w:rsidRPr="00DD7BD1">
        <w:rPr>
          <w:rFonts w:ascii="Calibri" w:hAnsi="Calibri" w:cs="Calibri"/>
        </w:rPr>
        <w:t>, for employers with 100 or more total employees (with at least 1 employees or workers hired through labor contractors in the state).</w:t>
      </w:r>
    </w:p>
    <w:p w14:paraId="0AFAA40C" w14:textId="5DF41E05" w:rsidR="00C31001" w:rsidRPr="00DD7BD1" w:rsidRDefault="00C31001" w:rsidP="00C31001">
      <w:pPr>
        <w:spacing w:after="0" w:line="240" w:lineRule="auto"/>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C740ED1" w14:textId="77777777" w:rsidR="00C31001" w:rsidRPr="00DD7BD1" w:rsidRDefault="00C31001" w:rsidP="00C31001">
      <w:pPr>
        <w:spacing w:after="0" w:line="240" w:lineRule="auto"/>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B693315"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2DD96739"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0859D133" w14:textId="77777777" w:rsidR="00C31001" w:rsidRPr="00DD7BD1" w:rsidRDefault="00C31001" w:rsidP="00C31001">
      <w:pPr>
        <w:spacing w:after="0" w:line="240" w:lineRule="auto"/>
        <w:rPr>
          <w:rFonts w:ascii="Calibri" w:hAnsi="Calibri" w:cs="Calibri"/>
          <w:sz w:val="16"/>
          <w:szCs w:val="16"/>
        </w:rPr>
      </w:pPr>
    </w:p>
    <w:p w14:paraId="4213F764" w14:textId="63B86997" w:rsidR="00C31001" w:rsidRPr="00DD7BD1" w:rsidRDefault="00C31001" w:rsidP="006F103C">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86148B2" w14:textId="77777777" w:rsidR="006F103C" w:rsidRPr="00DD7BD1" w:rsidRDefault="006F103C" w:rsidP="006F103C">
      <w:pPr>
        <w:spacing w:after="0" w:line="240" w:lineRule="auto"/>
        <w:rPr>
          <w:rFonts w:ascii="Calibri" w:hAnsi="Calibri" w:cs="Calibri"/>
        </w:rPr>
      </w:pPr>
    </w:p>
    <w:p w14:paraId="43A07886" w14:textId="77777777" w:rsidR="00BA3881" w:rsidRPr="00DD7BD1" w:rsidRDefault="00BA3881" w:rsidP="00BA388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p>
    <w:p w14:paraId="745D3E56" w14:textId="117C3CB4" w:rsidR="00BA3881" w:rsidRPr="00DD7BD1" w:rsidRDefault="00BA3881" w:rsidP="00BA3881">
      <w:pPr>
        <w:rPr>
          <w:rFonts w:ascii="Calibri" w:hAnsi="Calibri" w:cs="Calibri"/>
        </w:rPr>
      </w:pPr>
      <w:r w:rsidRPr="00DD7BD1">
        <w:rPr>
          <w:rFonts w:ascii="Calibri" w:hAnsi="Calibri" w:cs="Calibri"/>
        </w:rPr>
        <w:t xml:space="preserve">On Oct. 8, 2025, California </w:t>
      </w:r>
      <w:hyperlink r:id="rId501"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82D6925" w14:textId="77777777" w:rsidR="00BA3881" w:rsidRPr="00DD7BD1" w:rsidRDefault="00BA3881" w:rsidP="00BA388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254CB9B1" w14:textId="47B832C2" w:rsidR="00BA3881" w:rsidRPr="00DD7BD1" w:rsidRDefault="00BA3881" w:rsidP="00BA388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42DD357F" w14:textId="19920254" w:rsidR="00BA3881" w:rsidRPr="00DD7BD1" w:rsidRDefault="00BA3881" w:rsidP="00BA3881">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3B5A174A" w14:textId="77777777" w:rsidR="00BA3881" w:rsidRPr="00DD7BD1" w:rsidRDefault="00BA3881" w:rsidP="00BA388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0A3C36AC"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430A0E38"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73D05AD9"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B3A353D"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2319291F"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174B5A70" w14:textId="77777777" w:rsidR="00BA3881" w:rsidRPr="00DD7BD1" w:rsidRDefault="00BA3881" w:rsidP="00546A3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77F78815" w14:textId="77777777" w:rsidR="00546A31" w:rsidRPr="00DD7BD1" w:rsidRDefault="00546A31" w:rsidP="00546A31">
      <w:pPr>
        <w:spacing w:after="0" w:line="240" w:lineRule="auto"/>
        <w:jc w:val="center"/>
        <w:rPr>
          <w:rFonts w:ascii="Calibri" w:hAnsi="Calibri" w:cs="Calibri"/>
          <w:b/>
          <w:bCs/>
          <w:sz w:val="28"/>
          <w:szCs w:val="28"/>
          <w:shd w:val="clear" w:color="auto" w:fill="FFFFFF"/>
          <w:lang w:val="en"/>
        </w:rPr>
      </w:pPr>
    </w:p>
    <w:p w14:paraId="6BBD2EE4" w14:textId="55214241" w:rsidR="00546A31" w:rsidRPr="00DD7BD1" w:rsidRDefault="00546A31" w:rsidP="00546A31">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 xml:space="preserve">State Bans TRAPs &amp; Stay-or-Pay Provisions (as seen in many Sign-On Bonus Programs) – </w:t>
      </w:r>
      <w:r w:rsidRPr="00DD7BD1">
        <w:rPr>
          <w:rFonts w:ascii="Calibri" w:hAnsi="Calibri" w:cs="Calibri"/>
          <w:b/>
          <w:bCs/>
          <w:color w:val="C00000"/>
          <w:sz w:val="28"/>
          <w:szCs w:val="28"/>
          <w:shd w:val="clear" w:color="auto" w:fill="FFFFFF"/>
          <w:lang w:val="en"/>
        </w:rPr>
        <w:t>Jan 1, 2026</w:t>
      </w:r>
    </w:p>
    <w:p w14:paraId="0C1B0F62" w14:textId="24366083" w:rsidR="00546A31" w:rsidRPr="00DD7BD1" w:rsidRDefault="00546A31" w:rsidP="00546A31">
      <w:pPr>
        <w:rPr>
          <w:rFonts w:ascii="Calibri" w:hAnsi="Calibri" w:cs="Calibri"/>
          <w:b/>
          <w:bCs/>
        </w:rPr>
      </w:pPr>
      <w:r w:rsidRPr="00DD7BD1">
        <w:rPr>
          <w:rFonts w:ascii="Calibri" w:hAnsi="Calibri" w:cs="Calibri"/>
        </w:rPr>
        <w:t xml:space="preserve">On Oct. 13, 2025, California passed a </w:t>
      </w:r>
      <w:hyperlink r:id="rId502" w:history="1">
        <w:r w:rsidRPr="00DD7BD1">
          <w:rPr>
            <w:rStyle w:val="Hyperlink"/>
            <w:rFonts w:ascii="Calibri" w:hAnsi="Calibri" w:cs="Calibri"/>
          </w:rPr>
          <w:t>bill</w:t>
        </w:r>
      </w:hyperlink>
      <w:r w:rsidRPr="00DD7BD1">
        <w:rPr>
          <w:rFonts w:ascii="Calibri" w:hAnsi="Calibri" w:cs="Calibri"/>
        </w:rPr>
        <w:t xml:space="preserve"> (AB 692)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0529E07F" w14:textId="77777777" w:rsidR="00546A31" w:rsidRPr="00DD7BD1" w:rsidRDefault="00546A31" w:rsidP="00546A31">
      <w:pPr>
        <w:rPr>
          <w:rFonts w:ascii="Calibri" w:hAnsi="Calibri" w:cs="Calibri"/>
        </w:rPr>
      </w:pPr>
      <w:r w:rsidRPr="00DD7BD1">
        <w:rPr>
          <w:rFonts w:ascii="Calibri" w:hAnsi="Calibri" w:cs="Calibri"/>
        </w:rPr>
        <w:t>For contracts entered into on or after Jan. 1, 2026, employers will be prohibited from including in any employment contract or requiring, as a condition of employment, a contract term that does any of the following:</w:t>
      </w:r>
    </w:p>
    <w:p w14:paraId="32961CF6"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43E1E561"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C29962D"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72731150" w14:textId="77777777" w:rsidR="00546A31" w:rsidRPr="00DD7BD1" w:rsidRDefault="00546A31" w:rsidP="00546A31">
      <w:pPr>
        <w:pStyle w:val="Bullet"/>
        <w:numPr>
          <w:ilvl w:val="0"/>
          <w:numId w:val="0"/>
        </w:numPr>
        <w:spacing w:line="240" w:lineRule="auto"/>
        <w:rPr>
          <w:rFonts w:cs="Calibri"/>
          <w:color w:val="auto"/>
          <w:sz w:val="16"/>
          <w:szCs w:val="16"/>
        </w:rPr>
      </w:pPr>
    </w:p>
    <w:p w14:paraId="278185BF" w14:textId="582CD8F3" w:rsidR="00546A31" w:rsidRPr="00DD7BD1" w:rsidRDefault="00546A31" w:rsidP="00546A31">
      <w:pPr>
        <w:pStyle w:val="Bullet"/>
        <w:numPr>
          <w:ilvl w:val="0"/>
          <w:numId w:val="0"/>
        </w:numPr>
        <w:spacing w:line="240" w:lineRule="auto"/>
        <w:rPr>
          <w:rFonts w:cs="Calibri"/>
          <w:b/>
          <w:bCs/>
          <w:color w:val="auto"/>
          <w:szCs w:val="22"/>
        </w:rPr>
      </w:pPr>
      <w:r w:rsidRPr="00DD7BD1">
        <w:rPr>
          <w:rFonts w:cs="Calibri"/>
          <w:color w:val="auto"/>
          <w:szCs w:val="22"/>
        </w:rPr>
        <w:t>For companies that rely on sign-on bonuses to compete for talent, the impact is clear: </w:t>
      </w:r>
      <w:r w:rsidRPr="00DD7BD1">
        <w:rPr>
          <w:rFonts w:cs="Calibri"/>
          <w:b/>
          <w:bCs/>
          <w:color w:val="auto"/>
          <w:szCs w:val="22"/>
        </w:rPr>
        <w:t>Most sign-on bonuses with a claw back provision will be impermissible in California unless they are structured to fit a narrow exception.</w:t>
      </w:r>
    </w:p>
    <w:p w14:paraId="4B12EFB1" w14:textId="77777777" w:rsidR="00546A31" w:rsidRPr="00DD7BD1" w:rsidRDefault="00546A31" w:rsidP="00546A31">
      <w:pPr>
        <w:pStyle w:val="Bullet"/>
        <w:numPr>
          <w:ilvl w:val="0"/>
          <w:numId w:val="0"/>
        </w:numPr>
        <w:spacing w:line="240" w:lineRule="auto"/>
        <w:rPr>
          <w:rFonts w:cs="Calibri"/>
          <w:color w:val="auto"/>
          <w:szCs w:val="22"/>
        </w:rPr>
      </w:pPr>
    </w:p>
    <w:p w14:paraId="7BA676CA" w14:textId="78D4F22C" w:rsidR="00546A31" w:rsidRPr="00DD7BD1" w:rsidRDefault="00546A31" w:rsidP="00546A31">
      <w:pPr>
        <w:rPr>
          <w:rFonts w:ascii="Calibri" w:hAnsi="Calibri" w:cs="Calibri"/>
        </w:rPr>
      </w:pPr>
      <w:r w:rsidRPr="00DD7BD1">
        <w:rPr>
          <w:rFonts w:ascii="Calibri" w:hAnsi="Calibri" w:cs="Calibri"/>
        </w:rPr>
        <w:t>AB 692 prohibits provisions that require an employee to repay a “debt” to their employer if their employment terminates, or that otherwise impose a penalty, fee or cost on a worker if the worker’s employment or work relationship terminates.</w:t>
      </w:r>
    </w:p>
    <w:p w14:paraId="3C2812BA" w14:textId="77777777" w:rsidR="00546A31" w:rsidRPr="00DD7BD1" w:rsidRDefault="00546A31" w:rsidP="00546A31">
      <w:pPr>
        <w:rPr>
          <w:rFonts w:ascii="Calibri" w:hAnsi="Calibri" w:cs="Calibri"/>
        </w:rPr>
      </w:pPr>
      <w:r w:rsidRPr="00DD7BD1">
        <w:rPr>
          <w:rFonts w:ascii="Calibri" w:hAnsi="Calibri" w:cs="Calibri"/>
        </w:rPr>
        <w:t>Two key exceptions to this prohibition include:</w:t>
      </w:r>
    </w:p>
    <w:p w14:paraId="68634069"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Transferable credential tuition costs:</w:t>
      </w:r>
      <w:r w:rsidRPr="00DD7BD1">
        <w:rPr>
          <w:rFonts w:ascii="Calibri" w:hAnsi="Calibri" w:cs="Calibri"/>
        </w:rPr>
        <w:t> A contract to repay the cost of tuition for a transferable credential is permitted, if the contract meets all of the following conditions:</w:t>
      </w:r>
    </w:p>
    <w:p w14:paraId="42AAE9FD"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is separate from the employment contract.</w:t>
      </w:r>
    </w:p>
    <w:p w14:paraId="31DF73B1"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Obtaining the transferable credential is not a condition of employment.</w:t>
      </w:r>
    </w:p>
    <w:p w14:paraId="64660C8A"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specifies a repayment amount not exceeding the actual cost of the credential to the employer.</w:t>
      </w:r>
    </w:p>
    <w:p w14:paraId="39FBEFA9"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repayment amount is prorated and is not accelerated if the worker separates.</w:t>
      </w:r>
    </w:p>
    <w:p w14:paraId="7A98E751" w14:textId="7A8A250F"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No repayment is required if the worker’s employment is terminated by the employer, unless for misconduct.</w:t>
      </w:r>
    </w:p>
    <w:p w14:paraId="56EF1718"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Discretionary monetary bonuses:</w:t>
      </w:r>
      <w:r w:rsidRPr="00DD7BD1">
        <w:rPr>
          <w:rFonts w:ascii="Calibri" w:hAnsi="Calibri" w:cs="Calibri"/>
        </w:rPr>
        <w:t> Contracts for the receipt of a “discretionary or unearned monetary payment” at the outset of employment that is not tied to specific job performance (including a financial bonus, such as a sign-on or relocation bonus) are permitted, if the contract meets all of the following conditions:</w:t>
      </w:r>
    </w:p>
    <w:p w14:paraId="2D55D98C"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Repayment terms are contained in a contract separate from the employment contract.</w:t>
      </w:r>
    </w:p>
    <w:p w14:paraId="5187A3EE"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employee is notified that they have the right to consult an attorney regarding the agreement and given at least five business days to do so.</w:t>
      </w:r>
    </w:p>
    <w:p w14:paraId="5BA8B3A8"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Any repayment obligation is prorated based on the remaining term of any retention period (not to exceed two years) and is not subject to interest accrual.</w:t>
      </w:r>
    </w:p>
    <w:p w14:paraId="720117D5"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worker can defer receipt of payment to the end of a fully served retention period without any repayment obligation.</w:t>
      </w:r>
    </w:p>
    <w:p w14:paraId="1EDC1780" w14:textId="20914B60"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Separation from employment prior to the end of the retention period is at the employee’s sole discretion, or at the employer’s election due to employee misconduct.</w:t>
      </w:r>
    </w:p>
    <w:p w14:paraId="466B7B10" w14:textId="77777777" w:rsidR="00594856" w:rsidRPr="00DD7BD1" w:rsidRDefault="00594856" w:rsidP="00594856">
      <w:pPr>
        <w:spacing w:after="0" w:line="240" w:lineRule="auto"/>
        <w:ind w:left="1440"/>
        <w:rPr>
          <w:rFonts w:ascii="Calibri" w:hAnsi="Calibri" w:cs="Calibri"/>
        </w:rPr>
      </w:pPr>
    </w:p>
    <w:p w14:paraId="12FBA8BA" w14:textId="19FF7D53" w:rsidR="00546A31" w:rsidRPr="00DD7BD1" w:rsidRDefault="00546A31" w:rsidP="00546A31">
      <w:pPr>
        <w:rPr>
          <w:rFonts w:ascii="Calibri" w:hAnsi="Calibri" w:cs="Calibri"/>
        </w:rPr>
      </w:pPr>
      <w:r w:rsidRPr="00DD7BD1">
        <w:rPr>
          <w:rFonts w:ascii="Calibri" w:hAnsi="Calibri" w:cs="Calibri"/>
        </w:rPr>
        <w:t>In practice, </w:t>
      </w:r>
      <w:r w:rsidRPr="00DD7BD1">
        <w:rPr>
          <w:rFonts w:ascii="Calibri" w:hAnsi="Calibri" w:cs="Calibri"/>
          <w:b/>
          <w:bCs/>
        </w:rPr>
        <w:t>many existing form documents containing sign-on bonus provisions will not satisfy these conditions and should not be used with California hires after December 31, 2025.</w:t>
      </w:r>
      <w:r w:rsidRPr="00DD7BD1">
        <w:rPr>
          <w:rFonts w:ascii="Calibri" w:hAnsi="Calibri" w:cs="Calibri"/>
        </w:rPr>
        <w:t> </w:t>
      </w:r>
    </w:p>
    <w:p w14:paraId="0A791ECF" w14:textId="2CCA12D3" w:rsidR="00546A31" w:rsidRPr="00DD7BD1" w:rsidRDefault="00546A31" w:rsidP="00546A31">
      <w:pPr>
        <w:rPr>
          <w:rFonts w:ascii="Calibri" w:hAnsi="Calibri" w:cs="Calibri"/>
        </w:rPr>
      </w:pPr>
      <w:r w:rsidRPr="00DD7BD1">
        <w:rPr>
          <w:rFonts w:ascii="Calibri" w:hAnsi="Calibri" w:cs="Calibri"/>
        </w:rPr>
        <w:t>Employers that violate this new law will be responsible for liability in the amount of actual damages or $5,000 per worker, whichever is greater, plus injunctive relief and attorneys’ fees and costs.</w:t>
      </w:r>
    </w:p>
    <w:p w14:paraId="639FA544" w14:textId="77777777" w:rsidR="00546A31" w:rsidRPr="00DD7BD1" w:rsidRDefault="00546A31" w:rsidP="00546A3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670684A1" w14:textId="77777777" w:rsidR="005441D8" w:rsidRPr="00DD7BD1" w:rsidRDefault="005441D8" w:rsidP="005441D8">
      <w:pPr>
        <w:jc w:val="center"/>
        <w:rPr>
          <w:rFonts w:ascii="Calibri" w:hAnsi="Calibri" w:cs="Calibri"/>
        </w:rPr>
      </w:pPr>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p>
    <w:p w14:paraId="267A8411" w14:textId="5C5D7A92"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03"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5293EBE" w14:textId="77777777" w:rsidR="005441D8" w:rsidRPr="00DD7BD1" w:rsidRDefault="005441D8" w:rsidP="005441D8">
      <w:pPr>
        <w:rPr>
          <w:rFonts w:ascii="Calibri" w:hAnsi="Calibri" w:cs="Calibri"/>
          <w:b/>
          <w:bCs/>
          <w:shd w:val="clear" w:color="auto" w:fill="FFFFFF"/>
        </w:rPr>
      </w:pPr>
      <w:r w:rsidRPr="00DD7BD1">
        <w:rPr>
          <w:rFonts w:ascii="Calibri" w:hAnsi="Calibri" w:cs="Calibri"/>
          <w:b/>
          <w:bCs/>
          <w:shd w:val="clear" w:color="auto" w:fill="FFFFFF"/>
        </w:rPr>
        <w:t>Overview</w:t>
      </w:r>
    </w:p>
    <w:p w14:paraId="1DC684FC" w14:textId="6173F3F0"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69585494" w14:textId="3851932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The notice must include all of the elements required under the federal WARN Act.  </w:t>
      </w:r>
    </w:p>
    <w:p w14:paraId="7CB19F9B" w14:textId="7777777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4545087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04620976"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401193A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748E1FB8" w14:textId="41B6D44E"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54B1460" w14:textId="77777777" w:rsidR="005441D8" w:rsidRPr="00DD7BD1" w:rsidRDefault="005441D8" w:rsidP="005441D8">
      <w:pPr>
        <w:pStyle w:val="ListParagraph"/>
        <w:spacing w:after="0" w:line="240" w:lineRule="auto"/>
        <w:rPr>
          <w:rFonts w:ascii="Calibri" w:hAnsi="Calibri" w:cs="Calibri"/>
          <w:shd w:val="clear" w:color="auto" w:fill="FFFFFF"/>
        </w:rPr>
      </w:pPr>
    </w:p>
    <w:p w14:paraId="465FD92A" w14:textId="1D1FEACE" w:rsidR="00C31001" w:rsidRPr="00DD7BD1" w:rsidRDefault="005441D8" w:rsidP="004B7855">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4B0CF15B" w14:textId="52EDF2E5" w:rsidR="004B7855" w:rsidRPr="00DD7BD1" w:rsidRDefault="004B7855" w:rsidP="004B7855">
      <w:pPr>
        <w:jc w:val="center"/>
        <w:rPr>
          <w:rFonts w:ascii="Calibri" w:hAnsi="Calibri" w:cs="Calibri"/>
        </w:rPr>
      </w:pPr>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p>
    <w:p w14:paraId="2D943F7C" w14:textId="754E2BA9" w:rsidR="004B7855" w:rsidRPr="00DD7BD1" w:rsidRDefault="004B7855" w:rsidP="004B7855">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04"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2B5447FF" w14:textId="77777777" w:rsidR="004B7855" w:rsidRPr="00DD7BD1" w:rsidRDefault="004B7855" w:rsidP="004B7855">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2648053" w14:textId="72C378E5" w:rsidR="00833FCE" w:rsidRPr="00DD7BD1" w:rsidRDefault="00833FCE" w:rsidP="00833FCE">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Regulation IVF Coverage Mandate – Eff </w:t>
      </w:r>
      <w:r w:rsidRPr="00DD7BD1">
        <w:rPr>
          <w:rFonts w:ascii="Calibri" w:hAnsi="Calibri" w:cs="Calibri"/>
          <w:b/>
          <w:bCs/>
          <w:color w:val="C00000"/>
          <w:sz w:val="28"/>
          <w:szCs w:val="28"/>
          <w:shd w:val="clear" w:color="auto" w:fill="FFFFFF"/>
        </w:rPr>
        <w:t>2026</w:t>
      </w:r>
    </w:p>
    <w:p w14:paraId="27E303F9" w14:textId="66D42F1E"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133BD23A" w14:textId="4E795606"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13C08001" w14:textId="6A6C2FD3"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79788A57" w14:textId="1C490BED"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5CB27ED0" w14:textId="7ED5FFCE" w:rsidR="00BF4CB9"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C635984" w14:textId="36D32155" w:rsidR="006B73DC" w:rsidRPr="00DD7BD1" w:rsidRDefault="006B73DC" w:rsidP="006B73DC">
      <w:pPr>
        <w:jc w:val="center"/>
        <w:rPr>
          <w:rFonts w:ascii="Calibri" w:hAnsi="Calibri" w:cs="Calibri"/>
          <w:b/>
          <w:bCs/>
          <w:sz w:val="28"/>
          <w:szCs w:val="28"/>
          <w:shd w:val="clear" w:color="auto" w:fill="FFFFFF"/>
          <w:lang w:val="en"/>
        </w:rPr>
      </w:pPr>
      <w:r w:rsidRPr="00DD7BD1">
        <w:rPr>
          <w:rFonts w:ascii="Calibri" w:hAnsi="Calibri" w:cs="Calibri"/>
          <w:b/>
          <w:bCs/>
          <w:sz w:val="28"/>
          <w:szCs w:val="28"/>
          <w:u w:val="single"/>
          <w:shd w:val="clear" w:color="auto" w:fill="FFFFFF"/>
          <w:lang w:val="en"/>
        </w:rPr>
        <w:t>Los Angeles</w:t>
      </w:r>
      <w:r w:rsidRPr="00DD7BD1">
        <w:rPr>
          <w:rFonts w:ascii="Calibri" w:hAnsi="Calibri" w:cs="Calibri"/>
          <w:b/>
          <w:bCs/>
          <w:sz w:val="28"/>
          <w:szCs w:val="28"/>
          <w:shd w:val="clear" w:color="auto" w:fill="FFFFFF"/>
          <w:lang w:val="en"/>
        </w:rPr>
        <w:t xml:space="preserve"> Updates Freelance Woker Protections Ordinance</w:t>
      </w:r>
    </w:p>
    <w:p w14:paraId="41E1DDA2" w14:textId="3FB91DB7" w:rsidR="006B73DC" w:rsidRPr="00DD7BD1" w:rsidRDefault="006B73DC" w:rsidP="006B73DC">
      <w:pPr>
        <w:rPr>
          <w:rFonts w:ascii="Calibri" w:hAnsi="Calibri" w:cs="Calibri"/>
          <w:shd w:val="clear" w:color="auto" w:fill="FFFFFF"/>
        </w:rPr>
      </w:pPr>
      <w:r w:rsidRPr="00DD7BD1">
        <w:rPr>
          <w:rFonts w:ascii="Calibri" w:hAnsi="Calibri" w:cs="Calibri"/>
          <w:shd w:val="clear" w:color="auto" w:fill="FFFFFF"/>
        </w:rPr>
        <w:t xml:space="preserve">With the California Freelance Worker Protection Act (FWPA) now in effect statewide as of January 1, 2025, the </w:t>
      </w:r>
      <w:r w:rsidRPr="00DD7BD1">
        <w:rPr>
          <w:rFonts w:ascii="Calibri" w:hAnsi="Calibri" w:cs="Calibri"/>
          <w:b/>
          <w:bCs/>
          <w:shd w:val="clear" w:color="auto" w:fill="FFFFFF"/>
        </w:rPr>
        <w:t>City of Los Angeles</w:t>
      </w:r>
      <w:r w:rsidRPr="00DD7BD1">
        <w:rPr>
          <w:rFonts w:ascii="Calibri" w:hAnsi="Calibri" w:cs="Calibri"/>
          <w:shd w:val="clear" w:color="auto" w:fill="FFFFFF"/>
        </w:rPr>
        <w:t xml:space="preserve"> recently revised its Freelance Worker Protections Ordinance (FWPO) to clarify how the two laws interact. These updates are important for both freelance workers and hiring entities operating in or around Los Angeles.</w:t>
      </w:r>
    </w:p>
    <w:p w14:paraId="6F1C6BB3" w14:textId="4DEECCDB" w:rsidR="0032160E" w:rsidRPr="00DD7BD1" w:rsidRDefault="006B73DC" w:rsidP="006B73DC">
      <w:pPr>
        <w:rPr>
          <w:rFonts w:ascii="Calibri" w:hAnsi="Calibri" w:cs="Calibri"/>
          <w:shd w:val="clear" w:color="auto" w:fill="FFFFFF"/>
          <w:lang w:val="en"/>
        </w:rPr>
      </w:pPr>
      <w:r w:rsidRPr="00DD7BD1">
        <w:rPr>
          <w:rFonts w:ascii="Calibri" w:hAnsi="Calibri" w:cs="Calibri"/>
          <w:shd w:val="clear" w:color="auto" w:fill="FFFFFF"/>
        </w:rPr>
        <w:t>Read more about the Key Distinction: State vs. City Coverage in Littler’s November 12</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ASAP publication</w:t>
      </w:r>
      <w:r w:rsidRPr="00DD7BD1">
        <w:rPr>
          <w:rFonts w:ascii="Calibri" w:hAnsi="Calibri" w:cs="Calibri"/>
          <w:b/>
          <w:bCs/>
          <w:shd w:val="clear" w:color="auto" w:fill="FFFFFF"/>
        </w:rPr>
        <w:t xml:space="preserve"> </w:t>
      </w:r>
      <w:hyperlink r:id="rId505" w:history="1">
        <w:r w:rsidRPr="00DD7BD1">
          <w:rPr>
            <w:rStyle w:val="Hyperlink"/>
            <w:rFonts w:ascii="Calibri" w:hAnsi="Calibri" w:cs="Calibri"/>
            <w:b/>
            <w:bCs/>
            <w:shd w:val="clear" w:color="auto" w:fill="FFFFFF"/>
          </w:rPr>
          <w:t>HERE</w:t>
        </w:r>
      </w:hyperlink>
    </w:p>
    <w:p w14:paraId="3C0752D8" w14:textId="77777777" w:rsidR="00CB39EB" w:rsidRPr="00DD7BD1" w:rsidRDefault="00CB39EB" w:rsidP="00CB39E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State’s Annual Workplace Rights Notices – </w:t>
      </w:r>
      <w:r w:rsidRPr="00DD7BD1">
        <w:rPr>
          <w:rFonts w:ascii="Calibri" w:hAnsi="Calibri" w:cs="Calibri"/>
          <w:b/>
          <w:bCs/>
          <w:color w:val="C00000"/>
          <w:sz w:val="28"/>
          <w:szCs w:val="28"/>
          <w:shd w:val="clear" w:color="auto" w:fill="FFFFFF"/>
          <w:lang w:val="en"/>
        </w:rPr>
        <w:t>Deadline Feb 1, 2026</w:t>
      </w:r>
    </w:p>
    <w:p w14:paraId="66B532AA" w14:textId="2230AE72"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506"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into law, which codifies the Workplace Know Your Rights Act. The law also clarifies employers’ duties if an employee is arrested during work.</w:t>
      </w:r>
    </w:p>
    <w:p w14:paraId="506591AE"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the Labor Commissioner will provide a template notice for employers and also develop video resources on the law’s rights and requirements.</w:t>
      </w:r>
    </w:p>
    <w:p w14:paraId="63929374"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February 1, 2026</w:t>
      </w:r>
      <w:r w:rsidRPr="00DD7BD1">
        <w:rPr>
          <w:rFonts w:ascii="Calibri" w:hAnsi="Calibri" w:cs="Calibri"/>
          <w:shd w:val="clear" w:color="auto" w:fill="FFFFFF"/>
        </w:rPr>
        <w:t>, employers must provide the notice to all current employees.</w:t>
      </w:r>
    </w:p>
    <w:p w14:paraId="092FC1C7"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0829B3B5" w14:textId="77777777" w:rsidR="00CB39EB" w:rsidRPr="00DD7BD1" w:rsidRDefault="00CB39EB" w:rsidP="00CB39EB">
      <w:pPr>
        <w:pStyle w:val="Heading3"/>
        <w:shd w:val="clear" w:color="auto" w:fill="FFFFFF"/>
        <w:spacing w:before="0"/>
        <w:rPr>
          <w:rFonts w:ascii="Calibri" w:hAnsi="Calibri" w:cs="Calibri"/>
          <w:color w:val="292929"/>
          <w:spacing w:val="3"/>
          <w:sz w:val="16"/>
          <w:szCs w:val="16"/>
        </w:rPr>
      </w:pPr>
    </w:p>
    <w:p w14:paraId="42DFD403" w14:textId="77777777" w:rsidR="00CB39EB" w:rsidRPr="00DD7BD1" w:rsidRDefault="00CB39EB" w:rsidP="00CB39EB">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53E51F46" w14:textId="6E9982BC"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3AF95E0B" w14:textId="77777777"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p>
    <w:p w14:paraId="17ED95ED" w14:textId="77777777" w:rsidR="00CB39EB" w:rsidRPr="00DD7BD1" w:rsidRDefault="00CB39EB" w:rsidP="00CB39EB">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53" w:name="_Hlk213072415"/>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109D623E" w14:textId="77777777" w:rsidR="00CB39EB" w:rsidRPr="00DD7BD1" w:rsidRDefault="00CB39EB" w:rsidP="00CB39EB">
      <w:pPr>
        <w:pStyle w:val="NormalWeb"/>
        <w:shd w:val="clear" w:color="auto" w:fill="FFFFFF"/>
        <w:spacing w:before="0" w:beforeAutospacing="0" w:after="0" w:afterAutospacing="0"/>
        <w:rPr>
          <w:rFonts w:ascii="Calibri" w:hAnsi="Calibri" w:cs="Calibri"/>
          <w:sz w:val="22"/>
          <w:szCs w:val="22"/>
        </w:rPr>
      </w:pPr>
      <w:hyperlink r:id="rId507"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must further ensure they include all required information.</w:t>
      </w:r>
    </w:p>
    <w:p w14:paraId="00CEA065" w14:textId="77777777" w:rsidR="00CB39EB" w:rsidRPr="00DD7BD1" w:rsidRDefault="00CB39EB" w:rsidP="00CB39EB">
      <w:pPr>
        <w:rPr>
          <w:rFonts w:ascii="Calibri" w:hAnsi="Calibri" w:cs="Calibri"/>
          <w:sz w:val="16"/>
          <w:szCs w:val="16"/>
          <w:shd w:val="clear" w:color="auto" w:fill="FFFFFF"/>
        </w:rPr>
      </w:pPr>
    </w:p>
    <w:p w14:paraId="251038A2" w14:textId="0FB182F5" w:rsidR="00CB39EB" w:rsidRPr="00DD7BD1" w:rsidRDefault="00CB39EB" w:rsidP="00CB39EB">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7A5955CF"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Increases Computer Professional Exemption Wage Rate – </w:t>
      </w:r>
      <w:r w:rsidRPr="00DD7BD1">
        <w:rPr>
          <w:rFonts w:ascii="Calibri" w:hAnsi="Calibri" w:cs="Calibri"/>
          <w:b/>
          <w:bCs/>
          <w:color w:val="C00000"/>
          <w:sz w:val="28"/>
          <w:szCs w:val="28"/>
          <w:shd w:val="clear" w:color="auto" w:fill="FFFFFF"/>
          <w:lang w:val="en"/>
        </w:rPr>
        <w:t>Jan 1, 2026</w:t>
      </w:r>
    </w:p>
    <w:p w14:paraId="503DDC2C" w14:textId="77777777" w:rsidR="00CB39EB" w:rsidRPr="00DD7BD1" w:rsidRDefault="00CB39EB" w:rsidP="00CB39EB">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Each year, the California Department of Industrial Relations (DIR) sets the compensation threshold for the California computer professional exemption. </w:t>
      </w:r>
      <w:hyperlink r:id="rId508"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09"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10"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511"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512" w:anchor="_ftn4" w:history="1">
        <w:r w:rsidRPr="00DD7BD1">
          <w:rPr>
            <w:rStyle w:val="Hyperlink"/>
            <w:rFonts w:ascii="Calibri" w:hAnsi="Calibri" w:cs="Calibri"/>
            <w:shd w:val="clear" w:color="auto" w:fill="FFFFFF"/>
          </w:rPr>
          <w:t>[4]</w:t>
        </w:r>
      </w:hyperlink>
    </w:p>
    <w:p w14:paraId="26DA587A" w14:textId="76F9009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21810EC6"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6F207C39" w14:textId="77777777" w:rsidR="00CB39EB" w:rsidRPr="00DD7BD1" w:rsidRDefault="00CB39EB" w:rsidP="00CB39EB">
      <w:pPr>
        <w:rPr>
          <w:rFonts w:ascii="Calibri" w:hAnsi="Calibri" w:cs="Calibri"/>
          <w:sz w:val="16"/>
          <w:szCs w:val="16"/>
          <w:shd w:val="clear" w:color="auto" w:fill="FFFFFF"/>
        </w:rPr>
      </w:pPr>
    </w:p>
    <w:p w14:paraId="609E27A7" w14:textId="1699E4C6"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513"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5383F913" w14:textId="557AB27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514" w:anchor="s-2" w:history="1">
        <w:r w:rsidRPr="00DD7BD1">
          <w:rPr>
            <w:rStyle w:val="Hyperlink"/>
            <w:rFonts w:ascii="Calibri" w:hAnsi="Calibri" w:cs="Calibri"/>
            <w:shd w:val="clear" w:color="auto" w:fill="FFFFFF"/>
          </w:rPr>
          <w:t>HERE</w:t>
        </w:r>
      </w:hyperlink>
    </w:p>
    <w:p w14:paraId="08F71EFA"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Adds Leave Rights–Victims, Jurors &amp; Witnesses – </w:t>
      </w:r>
      <w:r w:rsidRPr="00DD7BD1">
        <w:rPr>
          <w:rFonts w:ascii="Calibri" w:hAnsi="Calibri" w:cs="Calibri"/>
          <w:b/>
          <w:bCs/>
          <w:color w:val="C00000"/>
          <w:sz w:val="28"/>
          <w:szCs w:val="28"/>
          <w:shd w:val="clear" w:color="auto" w:fill="FFFFFF"/>
          <w:lang w:val="en"/>
        </w:rPr>
        <w:t>Oct 1, 2025 &amp; Jan 1, 2026</w:t>
      </w:r>
    </w:p>
    <w:p w14:paraId="4ECDA1D8" w14:textId="19D01F0A" w:rsidR="00CB39EB" w:rsidRPr="00DD7BD1" w:rsidRDefault="00CB39EB" w:rsidP="00CB39EB">
      <w:pPr>
        <w:rPr>
          <w:rFonts w:ascii="Calibri" w:hAnsi="Calibri" w:cs="Calibri"/>
        </w:rPr>
      </w:pPr>
      <w:r w:rsidRPr="00DD7BD1">
        <w:rPr>
          <w:rFonts w:ascii="Calibri" w:hAnsi="Calibri" w:cs="Calibri"/>
          <w:b/>
          <w:bCs/>
        </w:rPr>
        <w:t xml:space="preserve">Overview: </w:t>
      </w:r>
      <w:r w:rsidRPr="00DD7BD1">
        <w:rPr>
          <w:rFonts w:ascii="Calibri" w:hAnsi="Calibri" w:cs="Calibri"/>
        </w:rPr>
        <w:t>Victim, juror and witness leave may qualify under the paid sick leave law starting January 1, 2026</w:t>
      </w:r>
    </w:p>
    <w:p w14:paraId="0256C4A6" w14:textId="4C6108A5" w:rsidR="00CB39EB" w:rsidRPr="00DD7BD1" w:rsidRDefault="00CB39EB" w:rsidP="00CB39EB">
      <w:pPr>
        <w:rPr>
          <w:rFonts w:ascii="Calibri" w:hAnsi="Calibri" w:cs="Calibri"/>
        </w:rPr>
      </w:pPr>
      <w:r w:rsidRPr="00DD7BD1">
        <w:rPr>
          <w:rFonts w:ascii="Calibri" w:hAnsi="Calibri" w:cs="Calibri"/>
        </w:rPr>
        <w:t xml:space="preserve">California has </w:t>
      </w:r>
      <w:hyperlink r:id="rId515"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5C2B3D9"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297A77BC" w14:textId="77777777" w:rsidR="00CB39EB" w:rsidRPr="00DD7BD1" w:rsidRDefault="00CB39EB" w:rsidP="00CB39EB">
      <w:pPr>
        <w:pStyle w:val="BodyText"/>
        <w:jc w:val="left"/>
        <w:rPr>
          <w:rFonts w:cs="Calibri"/>
          <w:color w:val="auto"/>
          <w:szCs w:val="22"/>
        </w:rPr>
      </w:pPr>
      <w:r w:rsidRPr="00DD7BD1">
        <w:rPr>
          <w:rFonts w:cs="Calibri"/>
          <w:color w:val="auto"/>
          <w:szCs w:val="22"/>
        </w:rPr>
        <w:t>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a right of the employee is an issue.</w:t>
      </w:r>
    </w:p>
    <w:p w14:paraId="5A5020FE" w14:textId="77777777" w:rsidR="00CB39EB" w:rsidRPr="00DD7BD1" w:rsidRDefault="00CB39EB" w:rsidP="00CB39EB">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4F0E84DE"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right to use paid sick leave under the Healthy Workplaces,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7B0C1542" w14:textId="77777777" w:rsidR="00CB39EB" w:rsidRPr="00DD7BD1" w:rsidRDefault="00CB39EB" w:rsidP="00CB39EB">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998724D"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0865A80D"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Data Reporting Requirements – </w:t>
      </w:r>
      <w:r w:rsidRPr="00DD7BD1">
        <w:rPr>
          <w:rFonts w:cs="Calibri"/>
          <w:b/>
          <w:bCs/>
          <w:color w:val="C00000"/>
          <w:sz w:val="28"/>
          <w:szCs w:val="28"/>
          <w:shd w:val="clear" w:color="auto" w:fill="FFFFFF"/>
          <w:lang w:val="en"/>
        </w:rPr>
        <w:t>Jan 1, 2026 &amp; 2027</w:t>
      </w:r>
    </w:p>
    <w:p w14:paraId="1A453C4B" w14:textId="3550332E" w:rsidR="00CB39EB" w:rsidRPr="00DD7BD1" w:rsidRDefault="00CB39EB" w:rsidP="00CB39EB">
      <w:pPr>
        <w:rPr>
          <w:rFonts w:ascii="Calibri" w:hAnsi="Calibri" w:cs="Calibri"/>
        </w:rPr>
      </w:pPr>
      <w:r w:rsidRPr="00DD7BD1">
        <w:rPr>
          <w:rFonts w:ascii="Calibri" w:hAnsi="Calibri" w:cs="Calibri"/>
        </w:rPr>
        <w:t xml:space="preserve">On Oct. 13, 2025, California </w:t>
      </w:r>
      <w:hyperlink r:id="rId516"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0698038A" w14:textId="21489E84" w:rsidR="00CB39EB" w:rsidRPr="00DD7BD1" w:rsidRDefault="00CB39EB" w:rsidP="00CB39EB">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10CC85CD" w14:textId="77777777" w:rsidR="00CB39EB" w:rsidRPr="00DD7BD1" w:rsidRDefault="00CB39EB" w:rsidP="00CB39EB">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135B396"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5437381D"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65709A55" w14:textId="77777777" w:rsidR="00CB39EB" w:rsidRPr="00DD7BD1" w:rsidRDefault="00CB39EB" w:rsidP="00CB39EB">
      <w:pPr>
        <w:rPr>
          <w:rFonts w:ascii="Calibri" w:hAnsi="Calibri" w:cs="Calibri"/>
          <w:sz w:val="16"/>
          <w:szCs w:val="16"/>
        </w:rPr>
      </w:pPr>
    </w:p>
    <w:p w14:paraId="6F902CF5" w14:textId="0F69C86A" w:rsidR="00CB39EB" w:rsidRPr="00DD7BD1" w:rsidRDefault="00CB39EB" w:rsidP="00CB39EB">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919AAAB"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Transparency &amp; Equal Pay Laws – </w:t>
      </w:r>
      <w:r w:rsidRPr="00DD7BD1">
        <w:rPr>
          <w:rFonts w:cs="Calibri"/>
          <w:b/>
          <w:bCs/>
          <w:color w:val="C00000"/>
          <w:sz w:val="28"/>
          <w:szCs w:val="28"/>
          <w:shd w:val="clear" w:color="auto" w:fill="FFFFFF"/>
          <w:lang w:val="en"/>
        </w:rPr>
        <w:t>Jan 1, 2026</w:t>
      </w:r>
    </w:p>
    <w:p w14:paraId="16831AD3" w14:textId="53204C4F" w:rsidR="00CB39EB" w:rsidRPr="00DD7BD1" w:rsidRDefault="00CB39EB" w:rsidP="00CB39EB">
      <w:pPr>
        <w:rPr>
          <w:rFonts w:ascii="Calibri" w:hAnsi="Calibri" w:cs="Calibri"/>
        </w:rPr>
      </w:pPr>
      <w:r w:rsidRPr="00DD7BD1">
        <w:rPr>
          <w:rFonts w:ascii="Calibri" w:hAnsi="Calibri" w:cs="Calibri"/>
        </w:rPr>
        <w:t xml:space="preserve">On Oct. 8, 2025, California </w:t>
      </w:r>
      <w:hyperlink r:id="rId517"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EA8D669" w14:textId="77777777" w:rsidR="00CB39EB" w:rsidRPr="00DD7BD1" w:rsidRDefault="00CB39EB" w:rsidP="00CB39EB">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35DED51B" w14:textId="1A2150EB" w:rsidR="00CB39EB" w:rsidRPr="00DD7BD1" w:rsidRDefault="00CB39EB" w:rsidP="00CB39EB">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2CF5DA8C" w14:textId="29AC9901" w:rsidR="00CB39EB" w:rsidRPr="00DD7BD1" w:rsidRDefault="00CB39EB" w:rsidP="00CB39EB">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6ECDF29D" w14:textId="77777777" w:rsidR="00CB39EB" w:rsidRPr="00DD7BD1" w:rsidRDefault="00CB39EB" w:rsidP="00CB39EB">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DE1755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7D601BDE"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6B19FE92"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5F4808A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69817C08"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7DFF06F8" w14:textId="3F3D839C"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39B1AC7" w14:textId="77777777" w:rsidR="00CB39EB" w:rsidRPr="00DD7BD1" w:rsidRDefault="00CB39EB" w:rsidP="00CB39EB">
      <w:pPr>
        <w:pStyle w:val="ListParagraph"/>
        <w:spacing w:after="0" w:line="240" w:lineRule="auto"/>
        <w:rPr>
          <w:rFonts w:ascii="Calibri" w:hAnsi="Calibri" w:cs="Calibri"/>
        </w:rPr>
      </w:pPr>
    </w:p>
    <w:p w14:paraId="3BBB5BF8"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Bans TRAPs &amp; Stay-or-Pay Provisions – </w:t>
      </w:r>
      <w:r w:rsidRPr="00DD7BD1">
        <w:rPr>
          <w:rFonts w:ascii="Calibri" w:hAnsi="Calibri" w:cs="Calibri"/>
          <w:b/>
          <w:bCs/>
          <w:color w:val="C00000"/>
          <w:sz w:val="28"/>
          <w:szCs w:val="28"/>
          <w:shd w:val="clear" w:color="auto" w:fill="FFFFFF"/>
          <w:lang w:val="en"/>
        </w:rPr>
        <w:t>Jan 1, 2026</w:t>
      </w:r>
    </w:p>
    <w:p w14:paraId="044B4131" w14:textId="329DC2EF" w:rsidR="00CB39EB" w:rsidRPr="00DD7BD1" w:rsidRDefault="00CB39EB" w:rsidP="00CB39EB">
      <w:pPr>
        <w:rPr>
          <w:rFonts w:ascii="Calibri" w:hAnsi="Calibri" w:cs="Calibri"/>
          <w:b/>
          <w:bCs/>
        </w:rPr>
      </w:pPr>
      <w:r w:rsidRPr="00DD7BD1">
        <w:rPr>
          <w:rFonts w:ascii="Calibri" w:hAnsi="Calibri" w:cs="Calibri"/>
        </w:rPr>
        <w:t xml:space="preserve">On Oct. 13, 2025, California passed a </w:t>
      </w:r>
      <w:hyperlink r:id="rId518" w:history="1">
        <w:r w:rsidRPr="00DD7BD1">
          <w:rPr>
            <w:rStyle w:val="Hyperlink"/>
            <w:rFonts w:ascii="Calibri" w:hAnsi="Calibri" w:cs="Calibri"/>
          </w:rPr>
          <w:t>bill</w:t>
        </w:r>
      </w:hyperlink>
      <w:r w:rsidRPr="00DD7BD1">
        <w:rPr>
          <w:rFonts w:ascii="Calibri" w:hAnsi="Calibri" w:cs="Calibri"/>
        </w:rPr>
        <w:t xml:space="preserve">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5610AF05" w14:textId="77777777" w:rsidR="00CB39EB" w:rsidRPr="00DD7BD1" w:rsidRDefault="00CB39EB" w:rsidP="00CB39EB">
      <w:pPr>
        <w:rPr>
          <w:rFonts w:ascii="Calibri" w:hAnsi="Calibri" w:cs="Calibri"/>
        </w:rPr>
      </w:pPr>
      <w:r w:rsidRPr="00DD7BD1">
        <w:rPr>
          <w:rFonts w:ascii="Calibri" w:hAnsi="Calibri" w:cs="Calibri"/>
        </w:rPr>
        <w:t>For contracts entered into on or after Jan. 1, 2026, employers will be prohibited from including in any employment contract or requiring, as a condition of employment, a contract term that does any of the following:</w:t>
      </w:r>
    </w:p>
    <w:p w14:paraId="591731D3"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69DF51C7"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08DF8DF" w14:textId="6A831C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625BB514" w14:textId="2A6EB015" w:rsidR="00CB39EB" w:rsidRPr="00DD7BD1" w:rsidRDefault="00CB39EB" w:rsidP="00CB39EB">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733EAF4E"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Expands CalWARN Notice Content Requirements – </w:t>
      </w:r>
      <w:r w:rsidRPr="00DD7BD1">
        <w:rPr>
          <w:rFonts w:ascii="Calibri" w:hAnsi="Calibri" w:cs="Calibri"/>
          <w:b/>
          <w:bCs/>
          <w:color w:val="C00000"/>
          <w:sz w:val="28"/>
          <w:szCs w:val="28"/>
          <w:shd w:val="clear" w:color="auto" w:fill="FFFFFF"/>
          <w:lang w:val="en"/>
        </w:rPr>
        <w:t>Jan 1, 2026</w:t>
      </w:r>
    </w:p>
    <w:p w14:paraId="72BD8A34" w14:textId="78BDC28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19"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6C6BDF61" w14:textId="77777777" w:rsidR="00CB39EB" w:rsidRPr="00DD7BD1" w:rsidRDefault="00CB39EB" w:rsidP="00CB39EB">
      <w:pPr>
        <w:rPr>
          <w:rFonts w:ascii="Calibri" w:hAnsi="Calibri" w:cs="Calibri"/>
          <w:b/>
          <w:bCs/>
          <w:shd w:val="clear" w:color="auto" w:fill="FFFFFF"/>
        </w:rPr>
      </w:pPr>
      <w:r w:rsidRPr="00DD7BD1">
        <w:rPr>
          <w:rFonts w:ascii="Calibri" w:hAnsi="Calibri" w:cs="Calibri"/>
          <w:b/>
          <w:bCs/>
          <w:shd w:val="clear" w:color="auto" w:fill="FFFFFF"/>
        </w:rPr>
        <w:t>Overview</w:t>
      </w:r>
    </w:p>
    <w:p w14:paraId="2D2EBACD" w14:textId="7BD9918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31220829" w14:textId="18C7D71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The notice must include all of the elements required under the federal WARN Act.  </w:t>
      </w:r>
    </w:p>
    <w:p w14:paraId="019FCCD0"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6A80F8B7"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70D26450"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525F4294"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69805C90" w14:textId="151BB24D"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47F6F18" w14:textId="3807629A"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7D5BEAA"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Law Expands Unpaid Wage Judgement Enforcement – </w:t>
      </w:r>
      <w:r w:rsidRPr="00DD7BD1">
        <w:rPr>
          <w:rFonts w:ascii="Calibri" w:hAnsi="Calibri" w:cs="Calibri"/>
          <w:b/>
          <w:bCs/>
          <w:color w:val="C00000"/>
          <w:sz w:val="28"/>
          <w:szCs w:val="28"/>
          <w:shd w:val="clear" w:color="auto" w:fill="FFFFFF"/>
          <w:lang w:val="en"/>
        </w:rPr>
        <w:t>Jan 1, 2026</w:t>
      </w:r>
    </w:p>
    <w:p w14:paraId="0EEA2F37" w14:textId="6AC0F07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20"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37E9BB7F" w14:textId="005E5A23" w:rsidR="00CB39EB" w:rsidRPr="00DD7BD1" w:rsidRDefault="00CB39EB" w:rsidP="00CB39EB">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1CCAD300" w14:textId="77777777" w:rsidR="00CB39EB" w:rsidRPr="00DD7BD1" w:rsidRDefault="00CB39EB" w:rsidP="00CB39E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Reminder:</w:t>
      </w:r>
      <w:r w:rsidRPr="00DD7BD1">
        <w:rPr>
          <w:rFonts w:ascii="Calibri" w:hAnsi="Calibri" w:cs="Calibri"/>
          <w:b/>
          <w:bCs/>
          <w:sz w:val="28"/>
          <w:szCs w:val="28"/>
          <w:shd w:val="clear" w:color="auto" w:fill="FFFFFF"/>
        </w:rPr>
        <w:t xml:space="preserve"> State Regulation IVF Coverage Mandate – Eff </w:t>
      </w:r>
      <w:r w:rsidRPr="00DD7BD1">
        <w:rPr>
          <w:rFonts w:ascii="Calibri" w:hAnsi="Calibri" w:cs="Calibri"/>
          <w:b/>
          <w:bCs/>
          <w:color w:val="C00000"/>
          <w:sz w:val="28"/>
          <w:szCs w:val="28"/>
          <w:shd w:val="clear" w:color="auto" w:fill="FFFFFF"/>
        </w:rPr>
        <w:t>2026</w:t>
      </w:r>
    </w:p>
    <w:p w14:paraId="1B4E5E37" w14:textId="01E13479"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7B3437C2" w14:textId="4C5F9D5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0A7ED4E9" w14:textId="697D4BB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16E7C816" w14:textId="07B2EF30"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E6926E7" w14:textId="04CC0055" w:rsidR="00DC617F"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bookmarkEnd w:id="53"/>
    </w:p>
    <w:p w14:paraId="3434DC65" w14:textId="2CAD4628" w:rsidR="00636C21" w:rsidRPr="00DD7BD1" w:rsidRDefault="00636C21" w:rsidP="00636C21">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6AF7DC17"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hyperlink r:id="rId521"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must further ensure they include all required information.</w:t>
      </w:r>
    </w:p>
    <w:p w14:paraId="41C3508C"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p>
    <w:p w14:paraId="7CF5DDCD"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that maintain education or training records should follow these guidelines:</w:t>
      </w:r>
    </w:p>
    <w:p w14:paraId="7F4B0498" w14:textId="77777777" w:rsidR="00636C21" w:rsidRPr="00DD7BD1" w:rsidRDefault="00636C21" w:rsidP="00636C21">
      <w:pPr>
        <w:pStyle w:val="ListParagraph"/>
        <w:numPr>
          <w:ilvl w:val="0"/>
          <w:numId w:val="258"/>
        </w:numPr>
        <w:shd w:val="clear" w:color="auto" w:fill="FFFFFF"/>
        <w:spacing w:after="0" w:line="240" w:lineRule="auto"/>
        <w:ind w:left="720"/>
        <w:rPr>
          <w:rFonts w:ascii="Calibri" w:hAnsi="Calibri" w:cs="Calibri"/>
          <w:b/>
          <w:bCs/>
        </w:rPr>
      </w:pPr>
      <w:r w:rsidRPr="00DD7BD1">
        <w:rPr>
          <w:rFonts w:ascii="Calibri" w:hAnsi="Calibri" w:cs="Calibri"/>
          <w:b/>
          <w:bCs/>
        </w:rPr>
        <w:t>Documentation</w:t>
      </w:r>
    </w:p>
    <w:p w14:paraId="7BFC369F"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amendment now expressly includes education and training records within the definition of personnel records. Employers who maintain education and training records must ensure they contain the following information.</w:t>
      </w:r>
    </w:p>
    <w:p w14:paraId="15C87843"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employee’s name.</w:t>
      </w:r>
    </w:p>
    <w:p w14:paraId="46BA579D"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training provider’s name.</w:t>
      </w:r>
    </w:p>
    <w:p w14:paraId="75C0017E"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duration and date of the training.</w:t>
      </w:r>
    </w:p>
    <w:p w14:paraId="62062858"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core competencies covered (including equipment or software skills).</w:t>
      </w:r>
    </w:p>
    <w:p w14:paraId="2146B5A0"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Any resulting certification or qualification.</w:t>
      </w:r>
    </w:p>
    <w:p w14:paraId="30B2860E"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4BCD9323" w14:textId="77777777" w:rsidR="00636C21" w:rsidRPr="00DD7BD1" w:rsidRDefault="00636C21" w:rsidP="00636C21">
      <w:pPr>
        <w:numPr>
          <w:ilvl w:val="0"/>
          <w:numId w:val="254"/>
        </w:numPr>
        <w:shd w:val="clear" w:color="auto" w:fill="FFFFFF"/>
        <w:spacing w:after="0" w:line="240" w:lineRule="auto"/>
        <w:rPr>
          <w:rFonts w:ascii="Calibri" w:hAnsi="Calibri" w:cs="Calibri"/>
        </w:rPr>
      </w:pPr>
      <w:r w:rsidRPr="00DD7BD1">
        <w:rPr>
          <w:rStyle w:val="Strong"/>
          <w:rFonts w:ascii="Calibri" w:hAnsi="Calibri" w:cs="Calibri"/>
        </w:rPr>
        <w:t>Timely Access Still Applies</w:t>
      </w:r>
    </w:p>
    <w:p w14:paraId="28928D91"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94DC414" w14:textId="77777777" w:rsidR="00636C21" w:rsidRPr="00DD7BD1" w:rsidRDefault="00636C21" w:rsidP="00636C21">
      <w:pPr>
        <w:numPr>
          <w:ilvl w:val="0"/>
          <w:numId w:val="255"/>
        </w:numPr>
        <w:shd w:val="clear" w:color="auto" w:fill="FFFFFF"/>
        <w:spacing w:after="0" w:line="240" w:lineRule="auto"/>
        <w:rPr>
          <w:rFonts w:ascii="Calibri" w:hAnsi="Calibri" w:cs="Calibri"/>
        </w:rPr>
      </w:pPr>
      <w:r w:rsidRPr="00DD7BD1">
        <w:rPr>
          <w:rStyle w:val="Strong"/>
          <w:rFonts w:ascii="Calibri" w:hAnsi="Calibri" w:cs="Calibri"/>
        </w:rPr>
        <w:t>Retention Requirements</w:t>
      </w:r>
    </w:p>
    <w:p w14:paraId="5767E2EB"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must retain personnel records—including these expanded education and training records—for at least three years after an employee’s termination.</w:t>
      </w:r>
    </w:p>
    <w:p w14:paraId="47793F4A" w14:textId="77777777" w:rsidR="00636C21" w:rsidRPr="00DD7BD1" w:rsidRDefault="00636C21" w:rsidP="00636C21">
      <w:pPr>
        <w:numPr>
          <w:ilvl w:val="0"/>
          <w:numId w:val="256"/>
        </w:numPr>
        <w:shd w:val="clear" w:color="auto" w:fill="FFFFFF"/>
        <w:spacing w:after="0" w:line="240" w:lineRule="auto"/>
        <w:rPr>
          <w:rFonts w:ascii="Calibri" w:hAnsi="Calibri" w:cs="Calibri"/>
        </w:rPr>
      </w:pPr>
      <w:r w:rsidRPr="00DD7BD1">
        <w:rPr>
          <w:rStyle w:val="Strong"/>
          <w:rFonts w:ascii="Calibri" w:hAnsi="Calibri" w:cs="Calibri"/>
        </w:rPr>
        <w:t>One Request Rule for Former Employees</w:t>
      </w:r>
    </w:p>
    <w:p w14:paraId="117DE5A2"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Former employees may only make one request per year to inspect or receive a copy of their records.</w:t>
      </w:r>
    </w:p>
    <w:p w14:paraId="25DF32F9" w14:textId="77777777" w:rsidR="00636C21" w:rsidRPr="00DD7BD1" w:rsidRDefault="00636C21" w:rsidP="00636C21">
      <w:pPr>
        <w:numPr>
          <w:ilvl w:val="0"/>
          <w:numId w:val="257"/>
        </w:numPr>
        <w:shd w:val="clear" w:color="auto" w:fill="FFFFFF"/>
        <w:spacing w:after="0" w:line="240" w:lineRule="auto"/>
        <w:rPr>
          <w:rFonts w:ascii="Calibri" w:hAnsi="Calibri" w:cs="Calibri"/>
        </w:rPr>
      </w:pPr>
      <w:r w:rsidRPr="00DD7BD1">
        <w:rPr>
          <w:rStyle w:val="Strong"/>
          <w:rFonts w:ascii="Calibri" w:hAnsi="Calibri" w:cs="Calibri"/>
        </w:rPr>
        <w:t>Verification and Forms</w:t>
      </w:r>
    </w:p>
    <w:p w14:paraId="3CC4C6AD" w14:textId="1B4C8483"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may verify the identity of the requester and can require use of an employer-provided form, which must be made available upon verbal request.</w:t>
      </w:r>
    </w:p>
    <w:p w14:paraId="6E8E29C8" w14:textId="3501A610"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5EE5D41E" w14:textId="7A6681EA" w:rsidR="00636C21" w:rsidRPr="00DD7BD1" w:rsidRDefault="00636C21" w:rsidP="00636C21">
      <w:pPr>
        <w:jc w:val="center"/>
        <w:rPr>
          <w:rFonts w:ascii="Calibri" w:hAnsi="Calibri" w:cs="Calibri"/>
          <w:b/>
          <w:bCs/>
          <w:color w:val="C00000"/>
          <w:sz w:val="28"/>
          <w:szCs w:val="28"/>
          <w:shd w:val="clear" w:color="auto" w:fill="FFFFFF"/>
          <w:lang w:val="en"/>
        </w:rPr>
      </w:pPr>
      <w:bookmarkStart w:id="54" w:name="_Hlk213072655"/>
      <w:r w:rsidRPr="00DD7BD1">
        <w:rPr>
          <w:rFonts w:ascii="Calibri" w:hAnsi="Calibri" w:cs="Calibri"/>
          <w:b/>
          <w:bCs/>
          <w:sz w:val="28"/>
          <w:szCs w:val="28"/>
          <w:shd w:val="clear" w:color="auto" w:fill="FFFFFF"/>
          <w:lang w:val="en"/>
        </w:rPr>
        <w:t xml:space="preserve">State Expands PFL Eligibility to “Designated Persons” – </w:t>
      </w:r>
      <w:r w:rsidRPr="00DD7BD1">
        <w:rPr>
          <w:rFonts w:ascii="Calibri" w:hAnsi="Calibri" w:cs="Calibri"/>
          <w:b/>
          <w:bCs/>
          <w:color w:val="C00000"/>
          <w:sz w:val="28"/>
          <w:szCs w:val="28"/>
          <w:shd w:val="clear" w:color="auto" w:fill="FFFFFF"/>
          <w:lang w:val="en"/>
        </w:rPr>
        <w:t xml:space="preserve">Eff July 1, 2026 </w:t>
      </w:r>
      <w:r w:rsidRPr="00DD7BD1">
        <w:rPr>
          <w:rFonts w:ascii="Calibri" w:hAnsi="Calibri" w:cs="Calibri"/>
          <w:b/>
          <w:bCs/>
          <w:sz w:val="28"/>
          <w:szCs w:val="28"/>
          <w:shd w:val="clear" w:color="auto" w:fill="FFFFFF"/>
          <w:lang w:val="en"/>
        </w:rPr>
        <w:t xml:space="preserve">with Funded Benefits Available </w:t>
      </w:r>
      <w:r w:rsidRPr="00DD7BD1">
        <w:rPr>
          <w:rFonts w:ascii="Calibri" w:hAnsi="Calibri" w:cs="Calibri"/>
          <w:b/>
          <w:bCs/>
          <w:color w:val="C00000"/>
          <w:sz w:val="28"/>
          <w:szCs w:val="28"/>
          <w:shd w:val="clear" w:color="auto" w:fill="FFFFFF"/>
          <w:lang w:val="en"/>
        </w:rPr>
        <w:t>July 1, 2025</w:t>
      </w:r>
      <w:bookmarkEnd w:id="54"/>
    </w:p>
    <w:p w14:paraId="608044B1" w14:textId="5B8C6B6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Following California’s 2023 expansion of job-protected, unpaid family medical leave and paid sick and safe time and its 2025 expansion of job-protected, unpaid leave for victims of violence to include use for a “</w:t>
      </w:r>
      <w:r w:rsidRPr="00DD7BD1">
        <w:rPr>
          <w:rFonts w:ascii="Calibri" w:hAnsi="Calibri" w:cs="Calibri"/>
          <w:b/>
          <w:bCs/>
          <w:i/>
          <w:iCs/>
          <w:shd w:val="clear" w:color="auto" w:fill="FFFFFF"/>
        </w:rPr>
        <w:t xml:space="preserve">designated </w:t>
      </w:r>
      <w:r w:rsidRPr="00DD7BD1">
        <w:rPr>
          <w:rFonts w:ascii="Calibri" w:hAnsi="Calibri" w:cs="Calibri"/>
          <w:shd w:val="clear" w:color="auto" w:fill="FFFFFF"/>
        </w:rPr>
        <w:t>person,” Governor Gavin Newsom signed </w:t>
      </w:r>
      <w:hyperlink r:id="rId522" w:tgtFrame="_blank" w:history="1">
        <w:r w:rsidRPr="00DD7BD1">
          <w:rPr>
            <w:rStyle w:val="Hyperlink"/>
            <w:rFonts w:ascii="Calibri" w:hAnsi="Calibri" w:cs="Calibri"/>
            <w:shd w:val="clear" w:color="auto" w:fill="FFFFFF"/>
          </w:rPr>
          <w:t>SB 590</w:t>
        </w:r>
      </w:hyperlink>
      <w:r w:rsidRPr="00DD7BD1">
        <w:rPr>
          <w:rFonts w:ascii="Calibri" w:hAnsi="Calibri" w:cs="Calibri"/>
          <w:color w:val="C00000"/>
          <w:shd w:val="clear" w:color="auto" w:fill="FFFFFF"/>
        </w:rPr>
        <w:t> </w:t>
      </w:r>
      <w:r w:rsidRPr="00DD7BD1">
        <w:rPr>
          <w:rFonts w:ascii="Calibri" w:hAnsi="Calibri" w:cs="Calibri"/>
          <w:shd w:val="clear" w:color="auto" w:fill="FFFFFF"/>
        </w:rPr>
        <w:t>on October 13, 2025, which broadens eligibility for the state’s Paid Family Leave (PFL) law.</w:t>
      </w:r>
    </w:p>
    <w:p w14:paraId="0560E58B" w14:textId="133E63E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PFL wage replacement benefits claims filed on or after </w:t>
      </w:r>
      <w:r w:rsidRPr="00DD7BD1">
        <w:rPr>
          <w:rFonts w:ascii="Calibri" w:hAnsi="Calibri" w:cs="Calibri"/>
          <w:b/>
          <w:bCs/>
          <w:color w:val="C00000"/>
          <w:shd w:val="clear" w:color="auto" w:fill="FFFFFF"/>
        </w:rPr>
        <w:t>July 1, 2028</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will be available for employees who take time off work to care for a “designated person” with a serious illness, which the law defines as any care recipient related by blood or whose association with the individual is the equivalent of a family relationship. Employees will have to identify their “designated person” at the time they request benefits and attest under penalty of perjury to either: (1) how the individual is related by blood to the designated person; or (2) how the individual’s association with the designated person is the equivalent of a family relationship.</w:t>
      </w:r>
    </w:p>
    <w:p w14:paraId="0FB1218F" w14:textId="78F612DB"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illness; and (3) military assistance leave for employees taking time off to support military-family members deploying to a foreign country.</w:t>
      </w:r>
    </w:p>
    <w:p w14:paraId="412BE6FD" w14:textId="64890E4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4C495917" w14:textId="45EA4C88"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5" w:name="_Hlk213072680"/>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bookmarkEnd w:id="55"/>
    <w:p w14:paraId="34EBB7C0" w14:textId="77777777" w:rsidR="00636C21" w:rsidRPr="00DD7BD1" w:rsidRDefault="00636C21" w:rsidP="00636C21">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Each year, the California Department of Industrial Relations (DIR) sets the compensation threshold for the California computer professional exemption. </w:t>
      </w:r>
      <w:hyperlink r:id="rId523"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24"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25"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bookmarkStart w:id="56" w:name="_ftnref3"/>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[3]</w:t>
      </w:r>
      <w:r w:rsidRPr="00DD7BD1">
        <w:rPr>
          <w:rFonts w:ascii="Calibri" w:hAnsi="Calibri" w:cs="Calibri"/>
          <w:color w:val="2E74B5" w:themeColor="accent5" w:themeShade="BF"/>
          <w:shd w:val="clear" w:color="auto" w:fill="FFFFFF"/>
          <w:lang w:val="en"/>
        </w:rPr>
        <w:fldChar w:fldCharType="end"/>
      </w:r>
      <w:bookmarkEnd w:id="56"/>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57" w:name="_ftnref4"/>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[4]</w:t>
      </w:r>
      <w:r w:rsidRPr="00DD7BD1">
        <w:rPr>
          <w:rFonts w:ascii="Calibri" w:hAnsi="Calibri" w:cs="Calibri"/>
          <w:color w:val="2E74B5" w:themeColor="accent5" w:themeShade="BF"/>
          <w:shd w:val="clear" w:color="auto" w:fill="FFFFFF"/>
          <w:lang w:val="en"/>
        </w:rPr>
        <w:fldChar w:fldCharType="end"/>
      </w:r>
      <w:bookmarkEnd w:id="57"/>
    </w:p>
    <w:p w14:paraId="3FF08839" w14:textId="289E860B"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9A6BE9D" w14:textId="12BF6867"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8" w:name="_Hlk213072716"/>
      <w:r w:rsidRPr="00DD7BD1">
        <w:rPr>
          <w:rFonts w:ascii="Calibri" w:hAnsi="Calibri" w:cs="Calibri"/>
          <w:b/>
          <w:bCs/>
          <w:sz w:val="28"/>
          <w:szCs w:val="28"/>
          <w:shd w:val="clear" w:color="auto" w:fill="FFFFFF"/>
          <w:lang w:val="en"/>
        </w:rPr>
        <w:t>State Adds Leave Rights</w:t>
      </w:r>
      <w:bookmarkEnd w:id="58"/>
      <w:r w:rsidRPr="00DD7BD1">
        <w:rPr>
          <w:rFonts w:ascii="Calibri" w:hAnsi="Calibri" w:cs="Calibri"/>
          <w:b/>
          <w:bCs/>
          <w:sz w:val="28"/>
          <w:szCs w:val="28"/>
          <w:shd w:val="clear" w:color="auto" w:fill="FFFFFF"/>
          <w:lang w:val="en"/>
        </w:rPr>
        <w:t xml:space="preserve">–Victims, Jurors &amp; Witnesses – </w:t>
      </w:r>
      <w:r w:rsidRPr="00DD7BD1">
        <w:rPr>
          <w:rFonts w:ascii="Calibri" w:hAnsi="Calibri" w:cs="Calibri"/>
          <w:b/>
          <w:bCs/>
          <w:color w:val="C00000"/>
          <w:sz w:val="28"/>
          <w:szCs w:val="28"/>
          <w:shd w:val="clear" w:color="auto" w:fill="FFFFFF"/>
          <w:lang w:val="en"/>
        </w:rPr>
        <w:t>Oct 1, 2025 &amp; Jan 1, 2026</w:t>
      </w:r>
    </w:p>
    <w:p w14:paraId="48199322" w14:textId="18A90E83" w:rsidR="00636C21" w:rsidRPr="00DD7BD1" w:rsidRDefault="00636C21" w:rsidP="00636C21">
      <w:pPr>
        <w:rPr>
          <w:rFonts w:ascii="Calibri" w:hAnsi="Calibri" w:cs="Calibri"/>
        </w:rPr>
      </w:pPr>
      <w:r w:rsidRPr="00DD7BD1">
        <w:rPr>
          <w:rFonts w:ascii="Calibri" w:hAnsi="Calibri" w:cs="Calibri"/>
        </w:rPr>
        <w:t>Overview: Victim, juror and witness leave may qualify under the paid sick leave law starting January 1, 2026</w:t>
      </w:r>
    </w:p>
    <w:p w14:paraId="4471265D" w14:textId="65AA2844" w:rsidR="00636C21" w:rsidRPr="00DD7BD1" w:rsidRDefault="00636C21" w:rsidP="00636C21">
      <w:pPr>
        <w:rPr>
          <w:rFonts w:ascii="Calibri" w:hAnsi="Calibri" w:cs="Calibri"/>
        </w:rPr>
      </w:pPr>
      <w:r w:rsidRPr="00DD7BD1">
        <w:rPr>
          <w:rFonts w:ascii="Calibri" w:hAnsi="Calibri" w:cs="Calibri"/>
        </w:rPr>
        <w:t xml:space="preserve">California has </w:t>
      </w:r>
      <w:hyperlink r:id="rId526"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43D9860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0AF72531"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w:t>
      </w:r>
      <w:bookmarkStart w:id="59" w:name="_Hlk213072806"/>
      <w:r w:rsidRPr="00DD7BD1">
        <w:rPr>
          <w:rFonts w:cs="Calibri"/>
          <w:color w:val="auto"/>
          <w:szCs w:val="22"/>
        </w:rPr>
        <w:t xml:space="preserve">specific crimes </w:t>
      </w:r>
      <w:bookmarkEnd w:id="59"/>
      <w:r w:rsidRPr="00DD7BD1">
        <w:rPr>
          <w:rFonts w:cs="Calibri"/>
          <w:color w:val="auto"/>
          <w:szCs w:val="22"/>
        </w:rPr>
        <w:t>(or whose family member is a victim</w:t>
      </w:r>
      <w:bookmarkStart w:id="60" w:name="_Hlk213072827"/>
      <w:r w:rsidRPr="00DD7BD1">
        <w:rPr>
          <w:rFonts w:cs="Calibri"/>
          <w:color w:val="auto"/>
          <w:szCs w:val="22"/>
        </w:rPr>
        <w:t xml:space="preserve">) from taking time off to attend judicial proceedings </w:t>
      </w:r>
      <w:bookmarkEnd w:id="60"/>
      <w:r w:rsidRPr="00DD7BD1">
        <w:rPr>
          <w:rFonts w:cs="Calibri"/>
          <w:color w:val="auto"/>
          <w:szCs w:val="22"/>
        </w:rPr>
        <w:t>related to those crimes. The judicial proceedings include, but are not limited to, delinquency proceedings, post-arrest release decisions, pleas, sentencings, postconviction release decisions or any proceeding where a right of the employee is an issue.</w:t>
      </w:r>
    </w:p>
    <w:p w14:paraId="465A8531" w14:textId="77777777" w:rsidR="00636C21" w:rsidRPr="00DD7BD1" w:rsidRDefault="00636C21" w:rsidP="00636C21">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9B4921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w:t>
      </w:r>
      <w:bookmarkStart w:id="61" w:name="_Hlk213072739"/>
      <w:r w:rsidRPr="00DD7BD1">
        <w:rPr>
          <w:rFonts w:cs="Calibri"/>
          <w:color w:val="auto"/>
          <w:szCs w:val="22"/>
        </w:rPr>
        <w:t xml:space="preserve">right to use paid sick leave under the Healthy Workplaces,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w:t>
      </w:r>
      <w:bookmarkEnd w:id="61"/>
      <w:r w:rsidRPr="00DD7BD1">
        <w:rPr>
          <w:rFonts w:cs="Calibri"/>
          <w:color w:val="auto"/>
          <w:szCs w:val="22"/>
        </w:rPr>
        <w:t>. The amendments clarify that victims of qualified acts of violence may also use paid sick leave under the law.</w:t>
      </w:r>
    </w:p>
    <w:p w14:paraId="3F54C49C" w14:textId="77777777" w:rsidR="00636C21" w:rsidRPr="00DD7BD1" w:rsidRDefault="00636C21" w:rsidP="00636C21">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3207691E"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61587292" w14:textId="16A9FF9A" w:rsidR="00636C21" w:rsidRPr="00DD7BD1" w:rsidRDefault="00636C21" w:rsidP="00636C21">
      <w:pPr>
        <w:pStyle w:val="BodyText"/>
        <w:spacing w:after="0" w:line="240" w:lineRule="auto"/>
        <w:jc w:val="center"/>
        <w:rPr>
          <w:rFonts w:cs="Calibri"/>
        </w:rPr>
      </w:pPr>
      <w:bookmarkStart w:id="62" w:name="_Hlk213072888"/>
      <w:r w:rsidRPr="00DD7BD1">
        <w:rPr>
          <w:rFonts w:cs="Calibri"/>
          <w:b/>
          <w:bCs/>
          <w:color w:val="auto"/>
          <w:sz w:val="28"/>
          <w:szCs w:val="28"/>
          <w:shd w:val="clear" w:color="auto" w:fill="FFFFFF"/>
          <w:lang w:val="en"/>
        </w:rPr>
        <w:t xml:space="preserve">State Amends Annual Pay Data Reporting Requirements – Jan 1, 2026 </w:t>
      </w:r>
      <w:bookmarkEnd w:id="62"/>
      <w:r w:rsidRPr="00DD7BD1">
        <w:rPr>
          <w:rFonts w:cs="Calibri"/>
          <w:b/>
          <w:bCs/>
          <w:color w:val="auto"/>
          <w:sz w:val="28"/>
          <w:szCs w:val="28"/>
          <w:shd w:val="clear" w:color="auto" w:fill="FFFFFF"/>
          <w:lang w:val="en"/>
        </w:rPr>
        <w:t>&amp; 2027</w:t>
      </w:r>
    </w:p>
    <w:p w14:paraId="6B2B2D8F" w14:textId="37176C78" w:rsidR="00636C21" w:rsidRPr="00DD7BD1" w:rsidRDefault="00636C21" w:rsidP="00636C21">
      <w:pPr>
        <w:rPr>
          <w:rFonts w:ascii="Calibri" w:hAnsi="Calibri" w:cs="Calibri"/>
        </w:rPr>
      </w:pPr>
      <w:r w:rsidRPr="00DD7BD1">
        <w:rPr>
          <w:rFonts w:ascii="Calibri" w:hAnsi="Calibri" w:cs="Calibri"/>
        </w:rPr>
        <w:t xml:space="preserve">On Oct. 13, 2025, California </w:t>
      </w:r>
      <w:hyperlink r:id="rId527"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bookmarkStart w:id="63" w:name="_Hlk213072937"/>
      <w:r w:rsidRPr="00DD7BD1">
        <w:rPr>
          <w:rFonts w:ascii="Calibri" w:hAnsi="Calibri" w:cs="Calibri"/>
          <w:b/>
          <w:bCs/>
        </w:rPr>
        <w:t>modify storage requirements</w:t>
      </w:r>
      <w:r w:rsidRPr="00DD7BD1">
        <w:rPr>
          <w:rFonts w:ascii="Calibri" w:hAnsi="Calibri" w:cs="Calibri"/>
        </w:rPr>
        <w:t xml:space="preserve"> </w:t>
      </w:r>
      <w:bookmarkEnd w:id="63"/>
      <w:r w:rsidRPr="00DD7BD1">
        <w:rPr>
          <w:rFonts w:ascii="Calibri" w:hAnsi="Calibri" w:cs="Calibri"/>
        </w:rPr>
        <w:t xml:space="preserve">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26ACA718" w14:textId="26AC326E" w:rsidR="00636C21" w:rsidRPr="00DD7BD1" w:rsidRDefault="00636C21" w:rsidP="00636C21">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89317DD"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4E075273"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09F2E57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4659B7FC" w14:textId="77777777" w:rsidR="00636C21" w:rsidRPr="00DD7BD1" w:rsidRDefault="00636C21" w:rsidP="00636C21">
      <w:pPr>
        <w:rPr>
          <w:rFonts w:ascii="Calibri" w:hAnsi="Calibri" w:cs="Calibri"/>
          <w:sz w:val="16"/>
          <w:szCs w:val="16"/>
        </w:rPr>
      </w:pPr>
    </w:p>
    <w:p w14:paraId="7AF40966"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2027</w:t>
      </w:r>
      <w:r w:rsidRPr="00DD7BD1">
        <w:rPr>
          <w:rFonts w:ascii="Calibri" w:hAnsi="Calibri" w:cs="Calibri"/>
        </w:rPr>
        <w:t>, the list of job categories will increase from 10 to 23 to align job categories with the Standard Occupational Classification system used by the U.S. Bureau of Labor Statistics.   The new categories will include:</w:t>
      </w:r>
    </w:p>
    <w:p w14:paraId="7F19798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Chief executives;</w:t>
      </w:r>
    </w:p>
    <w:p w14:paraId="0F570FA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Management occupations, except chief executives;</w:t>
      </w:r>
    </w:p>
    <w:p w14:paraId="19FF24C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Business and financial operations occupations;</w:t>
      </w:r>
    </w:p>
    <w:p w14:paraId="6C337E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Computer and mathematical occupations;</w:t>
      </w:r>
    </w:p>
    <w:p w14:paraId="0E8401A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Architecture and engineering occupations;</w:t>
      </w:r>
    </w:p>
    <w:p w14:paraId="7940BA09"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Life, physical and social science occupations;</w:t>
      </w:r>
    </w:p>
    <w:p w14:paraId="432DDEF5"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Community and social science occupations;</w:t>
      </w:r>
    </w:p>
    <w:p w14:paraId="51CF483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Legal occupations;</w:t>
      </w:r>
    </w:p>
    <w:p w14:paraId="1812B024"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Educational instruction and library occupations;</w:t>
      </w:r>
    </w:p>
    <w:p w14:paraId="1FFC0B1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Art, design, entertainment, sports and media occupations;</w:t>
      </w:r>
    </w:p>
    <w:p w14:paraId="2342BCD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practitioners and technical occupations;</w:t>
      </w:r>
    </w:p>
    <w:p w14:paraId="52542AA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support occupations;</w:t>
      </w:r>
    </w:p>
    <w:p w14:paraId="01F4FD4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Protective service occupations;</w:t>
      </w:r>
    </w:p>
    <w:p w14:paraId="2EA5072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Food preparation and serving-related occupations;</w:t>
      </w:r>
    </w:p>
    <w:p w14:paraId="0C110B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Building and ground cleaning and maintenance occupations;</w:t>
      </w:r>
    </w:p>
    <w:p w14:paraId="04EADA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Personal care and service occupations;</w:t>
      </w:r>
    </w:p>
    <w:p w14:paraId="40C822B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Sales and related occupations;</w:t>
      </w:r>
    </w:p>
    <w:p w14:paraId="58E977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Office and administrative support occupations;</w:t>
      </w:r>
    </w:p>
    <w:p w14:paraId="0F92286E"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Farming, fishing and forestry occupations;</w:t>
      </w:r>
    </w:p>
    <w:p w14:paraId="7525AF9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Construction and extraction occupations;</w:t>
      </w:r>
    </w:p>
    <w:p w14:paraId="41CD42F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Installation, maintenance and repair occupations;</w:t>
      </w:r>
    </w:p>
    <w:p w14:paraId="7A8DD55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Production occupations; and </w:t>
      </w:r>
    </w:p>
    <w:p w14:paraId="2E3F4B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Transportation and material moving occupations. </w:t>
      </w:r>
    </w:p>
    <w:p w14:paraId="4D3B3548" w14:textId="77777777" w:rsidR="00636C21" w:rsidRPr="00DD7BD1" w:rsidRDefault="00636C21" w:rsidP="00636C21">
      <w:pPr>
        <w:pStyle w:val="Bullet"/>
        <w:numPr>
          <w:ilvl w:val="0"/>
          <w:numId w:val="0"/>
        </w:numPr>
        <w:spacing w:line="240" w:lineRule="auto"/>
        <w:ind w:left="90"/>
        <w:rPr>
          <w:rFonts w:cs="Calibri"/>
          <w:sz w:val="16"/>
          <w:szCs w:val="16"/>
        </w:rPr>
      </w:pPr>
    </w:p>
    <w:p w14:paraId="59DAF955" w14:textId="0947E86C" w:rsidR="00636C21" w:rsidRPr="00DD7BD1" w:rsidRDefault="00636C21" w:rsidP="00636C2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09C1FA6" w14:textId="4FEEC936" w:rsidR="00636C21" w:rsidRPr="00DD7BD1" w:rsidRDefault="00636C21" w:rsidP="00636C21">
      <w:pPr>
        <w:pStyle w:val="BodyText"/>
        <w:spacing w:after="0" w:line="240" w:lineRule="auto"/>
        <w:jc w:val="center"/>
        <w:rPr>
          <w:rFonts w:cs="Calibri"/>
        </w:rPr>
      </w:pPr>
      <w:bookmarkStart w:id="64" w:name="_Hlk213072960"/>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bookmarkEnd w:id="64"/>
    </w:p>
    <w:p w14:paraId="4077011D" w14:textId="77777777" w:rsidR="00636C21" w:rsidRPr="00DD7BD1" w:rsidRDefault="00636C21" w:rsidP="00636C21">
      <w:pPr>
        <w:rPr>
          <w:rFonts w:ascii="Calibri" w:hAnsi="Calibri" w:cs="Calibri"/>
        </w:rPr>
      </w:pPr>
      <w:r w:rsidRPr="00DD7BD1">
        <w:rPr>
          <w:rFonts w:ascii="Calibri" w:hAnsi="Calibri" w:cs="Calibri"/>
        </w:rPr>
        <w:t xml:space="preserve">On Oct. 8, 2025, California </w:t>
      </w:r>
      <w:hyperlink r:id="rId528"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0729F43" w14:textId="77777777" w:rsidR="00636C21" w:rsidRPr="00DD7BD1" w:rsidRDefault="00636C21" w:rsidP="00636C2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1E90B012" w14:textId="64EA3D8B" w:rsidR="00636C21" w:rsidRPr="00DD7BD1" w:rsidRDefault="00636C21" w:rsidP="00636C2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5EBD564C" w14:textId="743308EC" w:rsidR="00636C21" w:rsidRPr="00DD7BD1" w:rsidRDefault="00636C21" w:rsidP="00636C21">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0A4990C"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590295D"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668FC3FA"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345E3CF1"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E54AB57"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313DEE84"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3F369B77" w14:textId="37BD4CAB"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63D1ACF1" w14:textId="77777777" w:rsidR="00AA6284" w:rsidRDefault="00AA6284" w:rsidP="00636C21">
      <w:pPr>
        <w:jc w:val="center"/>
        <w:rPr>
          <w:rFonts w:ascii="Calibri" w:hAnsi="Calibri" w:cs="Calibri"/>
          <w:b/>
          <w:bCs/>
          <w:sz w:val="28"/>
          <w:szCs w:val="28"/>
          <w:shd w:val="clear" w:color="auto" w:fill="FFFFFF"/>
          <w:lang w:val="en"/>
        </w:rPr>
      </w:pPr>
    </w:p>
    <w:p w14:paraId="2CF701E4" w14:textId="782CA563" w:rsidR="00636C21" w:rsidRPr="00DD7BD1" w:rsidRDefault="00636C21" w:rsidP="00636C21">
      <w:pPr>
        <w:jc w:val="center"/>
        <w:rPr>
          <w:rFonts w:ascii="Calibri" w:hAnsi="Calibri" w:cs="Calibri"/>
        </w:rPr>
      </w:pPr>
      <w:r w:rsidRPr="00DD7BD1">
        <w:rPr>
          <w:rFonts w:ascii="Calibri" w:hAnsi="Calibri" w:cs="Calibri"/>
          <w:b/>
          <w:bCs/>
          <w:sz w:val="28"/>
          <w:szCs w:val="28"/>
          <w:shd w:val="clear" w:color="auto" w:fill="FFFFFF"/>
          <w:lang w:val="en"/>
        </w:rPr>
        <w:t xml:space="preserve">State </w:t>
      </w:r>
      <w:bookmarkStart w:id="65" w:name="_Hlk213073016"/>
      <w:r w:rsidRPr="00DD7BD1">
        <w:rPr>
          <w:rFonts w:ascii="Calibri" w:hAnsi="Calibri" w:cs="Calibri"/>
          <w:b/>
          <w:bCs/>
          <w:sz w:val="28"/>
          <w:szCs w:val="28"/>
          <w:shd w:val="clear" w:color="auto" w:fill="FFFFFF"/>
          <w:lang w:val="en"/>
        </w:rPr>
        <w:t xml:space="preserve">Bans TRAPs &amp; Stay-or-Pay Provisions – </w:t>
      </w:r>
      <w:r w:rsidRPr="00DD7BD1">
        <w:rPr>
          <w:rFonts w:ascii="Calibri" w:hAnsi="Calibri" w:cs="Calibri"/>
          <w:b/>
          <w:bCs/>
          <w:color w:val="C00000"/>
          <w:sz w:val="28"/>
          <w:szCs w:val="28"/>
          <w:shd w:val="clear" w:color="auto" w:fill="FFFFFF"/>
          <w:lang w:val="en"/>
        </w:rPr>
        <w:t>Jan 1, 2026</w:t>
      </w:r>
    </w:p>
    <w:bookmarkEnd w:id="65"/>
    <w:p w14:paraId="5ECA6B6E" w14:textId="6D854EB2" w:rsidR="00636C21" w:rsidRPr="00DD7BD1" w:rsidRDefault="00636C21" w:rsidP="00636C21">
      <w:pPr>
        <w:rPr>
          <w:rFonts w:ascii="Calibri" w:hAnsi="Calibri" w:cs="Calibri"/>
          <w:b/>
          <w:bCs/>
        </w:rPr>
      </w:pPr>
      <w:r w:rsidRPr="00DD7BD1">
        <w:rPr>
          <w:rFonts w:ascii="Calibri" w:hAnsi="Calibri" w:cs="Calibri"/>
        </w:rPr>
        <w:t xml:space="preserve">On Oct. 13, 2025, California passed a </w:t>
      </w:r>
      <w:hyperlink r:id="rId529" w:history="1">
        <w:r w:rsidRPr="00DD7BD1">
          <w:rPr>
            <w:rStyle w:val="Hyperlink"/>
            <w:rFonts w:ascii="Calibri" w:hAnsi="Calibri" w:cs="Calibri"/>
          </w:rPr>
          <w:t>bill</w:t>
        </w:r>
      </w:hyperlink>
      <w:r w:rsidRPr="00DD7BD1">
        <w:rPr>
          <w:rFonts w:ascii="Calibri" w:hAnsi="Calibri" w:cs="Calibri"/>
        </w:rPr>
        <w:t xml:space="preserve"> to </w:t>
      </w:r>
      <w:bookmarkStart w:id="66" w:name="_Hlk213073049"/>
      <w:r w:rsidRPr="00DD7BD1">
        <w:rPr>
          <w:rFonts w:ascii="Calibri" w:hAnsi="Calibri" w:cs="Calibri"/>
        </w:rPr>
        <w:t>ban certain training and retention repayment provisions (TRAPs) and other stay-or-pay provisions in employment contracts</w:t>
      </w:r>
      <w:bookmarkEnd w:id="66"/>
      <w:r w:rsidRPr="00DD7BD1">
        <w:rPr>
          <w:rFonts w:ascii="Calibri" w:hAnsi="Calibri" w:cs="Calibri"/>
        </w:rPr>
        <w:t xml:space="preserve">.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16883C4C" w14:textId="77777777" w:rsidR="00636C21" w:rsidRPr="00DD7BD1" w:rsidRDefault="00636C21" w:rsidP="00636C21">
      <w:pPr>
        <w:rPr>
          <w:rFonts w:ascii="Calibri" w:hAnsi="Calibri" w:cs="Calibri"/>
        </w:rPr>
      </w:pPr>
      <w:r w:rsidRPr="00DD7BD1">
        <w:rPr>
          <w:rFonts w:ascii="Calibri" w:hAnsi="Calibri" w:cs="Calibri"/>
        </w:rPr>
        <w:t>For contracts entered into on or after Jan. 1, 2026, employers will be prohibited from including in any employment contract or requiring, as a condition of employment, a contract term that does any of the following:</w:t>
      </w:r>
    </w:p>
    <w:p w14:paraId="037DE13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0F35B7E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1ADCBFE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21BA05F6" w14:textId="77777777" w:rsidR="00636C21" w:rsidRPr="00DD7BD1" w:rsidRDefault="00636C21" w:rsidP="00636C21">
      <w:pPr>
        <w:pStyle w:val="Bullet"/>
        <w:numPr>
          <w:ilvl w:val="0"/>
          <w:numId w:val="0"/>
        </w:numPr>
        <w:spacing w:line="240" w:lineRule="auto"/>
        <w:rPr>
          <w:rFonts w:cs="Calibri"/>
          <w:b/>
          <w:bCs/>
          <w:color w:val="auto"/>
          <w:sz w:val="16"/>
          <w:szCs w:val="16"/>
        </w:rPr>
      </w:pPr>
    </w:p>
    <w:p w14:paraId="7883856E" w14:textId="77777777" w:rsidR="00636C21" w:rsidRPr="00DD7BD1" w:rsidRDefault="00636C21" w:rsidP="00636C21">
      <w:pPr>
        <w:pStyle w:val="Bullet"/>
        <w:numPr>
          <w:ilvl w:val="0"/>
          <w:numId w:val="0"/>
        </w:numPr>
        <w:spacing w:line="240" w:lineRule="auto"/>
        <w:rPr>
          <w:rFonts w:cs="Calibri"/>
          <w:b/>
          <w:bCs/>
          <w:color w:val="auto"/>
          <w:szCs w:val="22"/>
        </w:rPr>
      </w:pPr>
      <w:r w:rsidRPr="00DD7BD1">
        <w:rPr>
          <w:rFonts w:cs="Calibri"/>
          <w:b/>
          <w:bCs/>
          <w:color w:val="auto"/>
          <w:szCs w:val="22"/>
        </w:rPr>
        <w:t>Exceptions</w:t>
      </w:r>
    </w:p>
    <w:p w14:paraId="68A2CFB5" w14:textId="77777777" w:rsidR="00636C21" w:rsidRPr="00DD7BD1" w:rsidRDefault="00636C21" w:rsidP="00636C21">
      <w:pPr>
        <w:pStyle w:val="Bullet2"/>
        <w:spacing w:after="0" w:line="240" w:lineRule="auto"/>
        <w:ind w:left="0" w:firstLine="0"/>
        <w:rPr>
          <w:rFonts w:cs="Calibri"/>
          <w:color w:val="auto"/>
          <w:szCs w:val="22"/>
        </w:rPr>
      </w:pPr>
      <w:r w:rsidRPr="00DD7BD1">
        <w:rPr>
          <w:rFonts w:cs="Calibri"/>
          <w:color w:val="auto"/>
          <w:szCs w:val="22"/>
        </w:rPr>
        <w:t>The new law does not apply to contracts:</w:t>
      </w:r>
    </w:p>
    <w:p w14:paraId="4907519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Entered into under a loan repayment assistance or forgiveness program; </w:t>
      </w:r>
    </w:p>
    <w:p w14:paraId="38D2950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repayment of the cost of tuition for a transferable credential if:</w:t>
      </w:r>
    </w:p>
    <w:p w14:paraId="01AB1E3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It is offered separately from any employment contract; </w:t>
      </w:r>
    </w:p>
    <w:p w14:paraId="1CB29EB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obtaining of the credential is not a condition of employment;</w:t>
      </w:r>
    </w:p>
    <w:p w14:paraId="0B807715"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specifies the repayment amount before the worker agrees to the contract, and such amount does not exceed the cost of the credential;</w:t>
      </w:r>
    </w:p>
    <w:p w14:paraId="5A65108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provides for prorated repayment proportional to the total repayment amount and length of required employment period, and it does not require an accelerated payment schedule if the worker separates from employment; and</w:t>
      </w:r>
    </w:p>
    <w:p w14:paraId="723727AF"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requires repayment only if the worker resigns voluntarily or is terminated for misconduct;</w:t>
      </w:r>
    </w:p>
    <w:p w14:paraId="48FA6A5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enrollment in approved apprenticeship programs;</w:t>
      </w:r>
    </w:p>
    <w:p w14:paraId="49CDAE78"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For discretionary or unearned monetary payments (including financial bonuses) at the outset of employment that are not tied to job performance, if:</w:t>
      </w:r>
    </w:p>
    <w:p w14:paraId="72AB13E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terms are set forth in a separate agreement;</w:t>
      </w:r>
    </w:p>
    <w:p w14:paraId="2827446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employee is notified of the right to consult an attorney and given at least five business days to do so;</w:t>
      </w:r>
    </w:p>
    <w:p w14:paraId="057737C0"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Any repayment obligation for early separation is not subject to interest accrual and is prorated for the remainder of the retention period, up to two years from the receipt of payment; </w:t>
      </w:r>
    </w:p>
    <w:p w14:paraId="49A2738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worker may defer payment to the end of the retention period without any repayment obligation; and</w:t>
      </w:r>
    </w:p>
    <w:p w14:paraId="7837C7E7"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is only required if the employee voluntarily resigns or is terminated for misconduct; or</w:t>
      </w:r>
    </w:p>
    <w:p w14:paraId="1745FEE9" w14:textId="1C330CF8"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Related to leasing, financing or purchasing residential property. </w:t>
      </w:r>
    </w:p>
    <w:p w14:paraId="03EFCC8C" w14:textId="69D760FD" w:rsidR="00636C21" w:rsidRPr="00DD7BD1" w:rsidRDefault="00636C21" w:rsidP="00636C21">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2186C099" w14:textId="4479DD95" w:rsidR="00636C21" w:rsidRPr="00DD7BD1" w:rsidRDefault="00636C21" w:rsidP="00636C21">
      <w:pPr>
        <w:jc w:val="center"/>
        <w:rPr>
          <w:rFonts w:ascii="Calibri" w:hAnsi="Calibri" w:cs="Calibri"/>
        </w:rPr>
      </w:pPr>
      <w:bookmarkStart w:id="67" w:name="_Hlk213073084"/>
      <w:r w:rsidRPr="00DD7BD1">
        <w:rPr>
          <w:rFonts w:ascii="Calibri" w:hAnsi="Calibri" w:cs="Calibri"/>
          <w:b/>
          <w:bCs/>
          <w:sz w:val="28"/>
          <w:szCs w:val="28"/>
          <w:shd w:val="clear" w:color="auto" w:fill="FFFFFF"/>
          <w:lang w:val="en"/>
        </w:rPr>
        <w:t xml:space="preserve">Immigration Rights Notice &amp; Named Emergency Designee – </w:t>
      </w:r>
      <w:r w:rsidRPr="00DD7BD1">
        <w:rPr>
          <w:rFonts w:ascii="Calibri" w:hAnsi="Calibri" w:cs="Calibri"/>
          <w:b/>
          <w:bCs/>
          <w:color w:val="C00000"/>
          <w:sz w:val="28"/>
          <w:szCs w:val="28"/>
          <w:shd w:val="clear" w:color="auto" w:fill="FFFFFF"/>
          <w:lang w:val="en"/>
        </w:rPr>
        <w:t>Feb 1 &amp; Mar 30, 2026</w:t>
      </w:r>
      <w:bookmarkEnd w:id="67"/>
    </w:p>
    <w:p w14:paraId="499767BA" w14:textId="77777777" w:rsidR="00636C21" w:rsidRPr="00DD7BD1" w:rsidRDefault="00636C21" w:rsidP="00636C21">
      <w:pPr>
        <w:rPr>
          <w:rFonts w:ascii="Calibri" w:hAnsi="Calibri" w:cs="Calibri"/>
        </w:rPr>
      </w:pPr>
      <w:r w:rsidRPr="00DD7BD1">
        <w:rPr>
          <w:rFonts w:ascii="Calibri" w:hAnsi="Calibri" w:cs="Calibri"/>
        </w:rPr>
        <w:t xml:space="preserve">On Oct. 12, 2025, California </w:t>
      </w:r>
      <w:bookmarkStart w:id="68" w:name="_Hlk212796906"/>
      <w:r w:rsidRPr="00DD7BD1">
        <w:rPr>
          <w:rFonts w:ascii="Calibri" w:hAnsi="Calibri" w:cs="Calibri"/>
        </w:rPr>
        <w:fldChar w:fldCharType="begin"/>
      </w:r>
      <w:r w:rsidRPr="00DD7BD1">
        <w:rPr>
          <w:rFonts w:ascii="Calibri" w:hAnsi="Calibri" w:cs="Calibri"/>
        </w:rPr>
        <w:instrText>HYPERLINK "https://leginfo.legislature.ca.gov/faces/billNavClient.xhtml?bill_id=202520260SB294"</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rPr>
        <w:t>enacted</w:t>
      </w:r>
      <w:r w:rsidRPr="00DD7BD1">
        <w:rPr>
          <w:rFonts w:ascii="Calibri" w:hAnsi="Calibri" w:cs="Calibri"/>
        </w:rPr>
        <w:fldChar w:fldCharType="end"/>
      </w:r>
      <w:r w:rsidRPr="00DD7BD1">
        <w:rPr>
          <w:rFonts w:ascii="Calibri" w:hAnsi="Calibri" w:cs="Calibri"/>
        </w:rPr>
        <w:t xml:space="preserve"> </w:t>
      </w:r>
      <w:bookmarkEnd w:id="68"/>
      <w:r w:rsidRPr="00DD7BD1">
        <w:rPr>
          <w:rFonts w:ascii="Calibri" w:hAnsi="Calibri" w:cs="Calibri"/>
        </w:rPr>
        <w:t xml:space="preserve">the Workplace Know Your Rights Act (Act), which requires employers to provide each current employee with an </w:t>
      </w:r>
      <w:r w:rsidRPr="00DD7BD1">
        <w:rPr>
          <w:rFonts w:ascii="Calibri" w:hAnsi="Calibri" w:cs="Calibri"/>
          <w:b/>
          <w:bCs/>
        </w:rPr>
        <w:t>annual stand-alone written notice</w:t>
      </w:r>
      <w:r w:rsidRPr="00DD7BD1">
        <w:rPr>
          <w:rFonts w:ascii="Calibri" w:hAnsi="Calibri" w:cs="Calibri"/>
        </w:rPr>
        <w:t xml:space="preserve"> of specified workers’ protections against unfair immigration-related practices and their constitutional rights when interacting with law enforcement in the workplace. </w:t>
      </w:r>
    </w:p>
    <w:p w14:paraId="5073229C"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Labor Commission will prepare a template notice by Jan. 1, 2026. </w:t>
      </w:r>
    </w:p>
    <w:p w14:paraId="6C03A4EB"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first notice must be provided to employees on or before </w:t>
      </w:r>
      <w:r w:rsidRPr="00DD7BD1">
        <w:rPr>
          <w:rFonts w:ascii="Calibri" w:hAnsi="Calibri" w:cs="Calibri"/>
          <w:b/>
          <w:bCs/>
        </w:rPr>
        <w:t>Feb. 1, 2026</w:t>
      </w:r>
      <w:r w:rsidRPr="00DD7BD1">
        <w:rPr>
          <w:rFonts w:ascii="Calibri" w:hAnsi="Calibri" w:cs="Calibri"/>
        </w:rPr>
        <w:t xml:space="preserve">.  </w:t>
      </w:r>
    </w:p>
    <w:p w14:paraId="7C4274DB" w14:textId="6EF28B50"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ETC will provide the Notice once it is published.</w:t>
      </w:r>
    </w:p>
    <w:p w14:paraId="1C89F670"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Designated Emergency Contact</w:t>
      </w:r>
    </w:p>
    <w:p w14:paraId="73BFEA58" w14:textId="77777777" w:rsidR="00636C21" w:rsidRPr="00DD7BD1" w:rsidRDefault="00636C21" w:rsidP="00636C21">
      <w:pPr>
        <w:rPr>
          <w:rFonts w:ascii="Calibri" w:hAnsi="Calibri" w:cs="Calibri"/>
        </w:rPr>
      </w:pPr>
      <w:r w:rsidRPr="00DD7BD1">
        <w:rPr>
          <w:rFonts w:ascii="Calibri" w:hAnsi="Calibri" w:cs="Calibri"/>
        </w:rPr>
        <w:t xml:space="preserve">If requested by an employee, employers must notify the </w:t>
      </w:r>
      <w:r w:rsidRPr="00DD7BD1">
        <w:rPr>
          <w:rFonts w:ascii="Calibri" w:hAnsi="Calibri" w:cs="Calibri"/>
          <w:b/>
          <w:bCs/>
        </w:rPr>
        <w:t>employee’s designated emergency contact in the event the employee is arrested or detained at work</w:t>
      </w:r>
      <w:r w:rsidRPr="00DD7BD1">
        <w:rPr>
          <w:rFonts w:ascii="Calibri" w:hAnsi="Calibri" w:cs="Calibri"/>
        </w:rPr>
        <w:t xml:space="preserve">. </w:t>
      </w:r>
    </w:p>
    <w:p w14:paraId="248E32FF" w14:textId="77777777" w:rsidR="00636C21" w:rsidRPr="00DD7BD1" w:rsidRDefault="00636C21" w:rsidP="00636C21">
      <w:pPr>
        <w:rPr>
          <w:rFonts w:ascii="Calibri" w:hAnsi="Calibri" w:cs="Calibri"/>
        </w:rPr>
      </w:pPr>
      <w:r w:rsidRPr="00DD7BD1">
        <w:rPr>
          <w:rFonts w:ascii="Calibri" w:hAnsi="Calibri" w:cs="Calibri"/>
        </w:rPr>
        <w:t xml:space="preserve">Employers must give employees the opportunity to designate an emergency contact no later than </w:t>
      </w:r>
      <w:r w:rsidRPr="00DD7BD1">
        <w:rPr>
          <w:rFonts w:ascii="Calibri" w:hAnsi="Calibri" w:cs="Calibri"/>
          <w:b/>
          <w:bCs/>
        </w:rPr>
        <w:t>March 30, 2026</w:t>
      </w:r>
      <w:r w:rsidRPr="00DD7BD1">
        <w:rPr>
          <w:rFonts w:ascii="Calibri" w:hAnsi="Calibri" w:cs="Calibri"/>
        </w:rPr>
        <w:t xml:space="preserve"> (or at the time of hire for employees hired after that date). </w:t>
      </w:r>
    </w:p>
    <w:p w14:paraId="0C64B9F6" w14:textId="4DBB42FB" w:rsidR="00636C21" w:rsidRPr="00DD7BD1" w:rsidRDefault="00636C21" w:rsidP="00636C21">
      <w:pPr>
        <w:rPr>
          <w:rFonts w:ascii="Calibri" w:hAnsi="Calibri" w:cs="Calibri"/>
        </w:rPr>
      </w:pPr>
      <w:r w:rsidRPr="00DD7BD1">
        <w:rPr>
          <w:rFonts w:ascii="Calibri" w:hAnsi="Calibri" w:cs="Calibri"/>
        </w:rPr>
        <w:t>In designating an emergency contact, employees must be allowed to indicate whether the emergency contact should be notified if the employee is arrested or detained on their worksite, or during the performance of the employee’s job duties away from the worksite.</w:t>
      </w:r>
    </w:p>
    <w:p w14:paraId="0F3EDCA0" w14:textId="4A3137B0" w:rsidR="00636C21" w:rsidRPr="00DD7BD1" w:rsidRDefault="00636C21" w:rsidP="00636C21">
      <w:pPr>
        <w:jc w:val="center"/>
        <w:rPr>
          <w:rFonts w:ascii="Calibri" w:hAnsi="Calibri" w:cs="Calibri"/>
        </w:rPr>
      </w:pPr>
      <w:bookmarkStart w:id="69" w:name="_Hlk213073102"/>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bookmarkEnd w:id="69"/>
    </w:p>
    <w:p w14:paraId="6DF41A3A" w14:textId="4D479210"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30"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89F1689" w14:textId="77777777" w:rsidR="00636C21" w:rsidRPr="00DD7BD1" w:rsidRDefault="00636C21" w:rsidP="00636C21">
      <w:pPr>
        <w:rPr>
          <w:rFonts w:ascii="Calibri" w:hAnsi="Calibri" w:cs="Calibri"/>
          <w:b/>
          <w:bCs/>
          <w:shd w:val="clear" w:color="auto" w:fill="FFFFFF"/>
        </w:rPr>
      </w:pPr>
      <w:r w:rsidRPr="00DD7BD1">
        <w:rPr>
          <w:rFonts w:ascii="Calibri" w:hAnsi="Calibri" w:cs="Calibri"/>
          <w:b/>
          <w:bCs/>
          <w:shd w:val="clear" w:color="auto" w:fill="FFFFFF"/>
        </w:rPr>
        <w:t>Overview</w:t>
      </w:r>
    </w:p>
    <w:p w14:paraId="4C4C7B4B" w14:textId="679B5638"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29AE9052" w14:textId="1EB02C2C"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The notice must include all of the elements required under the federal WARN Act.  </w:t>
      </w:r>
    </w:p>
    <w:p w14:paraId="28E36E16" w14:textId="77777777"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380302BB"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668C975F"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3A9816BE"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4BB6E5FA" w14:textId="19564C0C"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4C3F5C4E" w14:textId="331F24BF"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5C4E7A4" w14:textId="7568A528" w:rsidR="00636C21" w:rsidRPr="00DD7BD1" w:rsidRDefault="00636C21" w:rsidP="00636C21">
      <w:pPr>
        <w:jc w:val="center"/>
        <w:rPr>
          <w:rFonts w:ascii="Calibri" w:hAnsi="Calibri" w:cs="Calibri"/>
        </w:rPr>
      </w:pPr>
      <w:bookmarkStart w:id="70" w:name="_Hlk213073123"/>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bookmarkEnd w:id="70"/>
    </w:p>
    <w:p w14:paraId="726FD06A" w14:textId="720BBF7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31"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1ABB2358" w14:textId="67975184" w:rsidR="00636C21" w:rsidRPr="00DD7BD1" w:rsidRDefault="00636C21" w:rsidP="00636C21">
      <w:pPr>
        <w:rPr>
          <w:rFonts w:ascii="Calibri" w:hAnsi="Calibri" w:cs="Calibri"/>
          <w:b/>
          <w:bCs/>
          <w:shd w:val="clear" w:color="auto" w:fill="FFFFFF"/>
          <w:lang w:val="en"/>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C931D24" w14:textId="4D38E522" w:rsidR="00A85628" w:rsidRPr="00DD7BD1" w:rsidRDefault="00A85628" w:rsidP="00A85628">
      <w:pPr>
        <w:spacing w:before="11"/>
        <w:ind w:left="1257"/>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Adopts New Employment AI Regulations – </w:t>
      </w:r>
      <w:r w:rsidRPr="00DD7BD1">
        <w:rPr>
          <w:rFonts w:ascii="Calibri" w:hAnsi="Calibri" w:cs="Calibri"/>
          <w:b/>
          <w:bCs/>
          <w:color w:val="C00000"/>
          <w:sz w:val="28"/>
          <w:szCs w:val="28"/>
          <w:shd w:val="clear" w:color="auto" w:fill="FFFFFF"/>
          <w:lang w:val="en"/>
        </w:rPr>
        <w:t>Eff Oct 1, 2025</w:t>
      </w:r>
    </w:p>
    <w:p w14:paraId="62D1CE82" w14:textId="77777777" w:rsidR="00A85628" w:rsidRPr="00DD7BD1" w:rsidRDefault="00A85628" w:rsidP="00A85628">
      <w:pPr>
        <w:pStyle w:val="BodyText"/>
        <w:spacing w:after="0" w:line="240" w:lineRule="auto"/>
        <w:rPr>
          <w:rFonts w:cs="Calibri"/>
          <w:b/>
          <w:bCs/>
          <w:color w:val="auto"/>
          <w:szCs w:val="22"/>
        </w:rPr>
      </w:pPr>
      <w:r w:rsidRPr="00DD7BD1">
        <w:rPr>
          <w:rFonts w:cs="Calibri"/>
          <w:b/>
          <w:bCs/>
          <w:color w:val="auto"/>
          <w:szCs w:val="22"/>
          <w:highlight w:val="lightGray"/>
        </w:rPr>
        <w:t>Employer Takeaways:</w:t>
      </w:r>
    </w:p>
    <w:p w14:paraId="25EC48BD" w14:textId="77777777" w:rsidR="00A85628" w:rsidRPr="00DD7BD1" w:rsidRDefault="00A85628" w:rsidP="00A85628">
      <w:pPr>
        <w:pStyle w:val="BodyText"/>
        <w:spacing w:before="10" w:line="247" w:lineRule="auto"/>
        <w:ind w:right="-90"/>
        <w:jc w:val="left"/>
        <w:rPr>
          <w:rFonts w:cs="Calibri"/>
          <w:color w:val="auto"/>
          <w:szCs w:val="22"/>
        </w:rPr>
      </w:pPr>
      <w:r w:rsidRPr="00DD7BD1">
        <w:rPr>
          <w:rFonts w:cs="Calibri"/>
          <w:color w:val="auto"/>
          <w:w w:val="110"/>
          <w:szCs w:val="22"/>
        </w:rPr>
        <w:t>Employers that</w:t>
      </w:r>
      <w:r w:rsidRPr="00DD7BD1">
        <w:rPr>
          <w:rFonts w:cs="Calibri"/>
          <w:color w:val="auto"/>
          <w:spacing w:val="-4"/>
          <w:w w:val="110"/>
          <w:szCs w:val="22"/>
        </w:rPr>
        <w:t xml:space="preserve"> </w:t>
      </w:r>
      <w:r w:rsidRPr="00DD7BD1">
        <w:rPr>
          <w:rFonts w:cs="Calibri"/>
          <w:color w:val="auto"/>
          <w:w w:val="110"/>
          <w:szCs w:val="22"/>
        </w:rPr>
        <w:t>use automated</w:t>
      </w:r>
      <w:r w:rsidRPr="00DD7BD1">
        <w:rPr>
          <w:rFonts w:cs="Calibri"/>
          <w:color w:val="auto"/>
          <w:spacing w:val="-4"/>
          <w:w w:val="110"/>
          <w:szCs w:val="22"/>
        </w:rPr>
        <w:t xml:space="preserve"> </w:t>
      </w:r>
      <w:r w:rsidRPr="00DD7BD1">
        <w:rPr>
          <w:rFonts w:cs="Calibri"/>
          <w:color w:val="auto"/>
          <w:w w:val="110"/>
          <w:szCs w:val="22"/>
        </w:rPr>
        <w:t>decision</w:t>
      </w:r>
      <w:r w:rsidRPr="00DD7BD1">
        <w:rPr>
          <w:rFonts w:cs="Calibri"/>
          <w:color w:val="auto"/>
          <w:spacing w:val="-3"/>
          <w:w w:val="110"/>
          <w:szCs w:val="22"/>
        </w:rPr>
        <w:t xml:space="preserve"> </w:t>
      </w:r>
      <w:r w:rsidRPr="00DD7BD1">
        <w:rPr>
          <w:rFonts w:cs="Calibri"/>
          <w:color w:val="auto"/>
          <w:w w:val="110"/>
          <w:szCs w:val="22"/>
        </w:rPr>
        <w:t>systems (ADS)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3"/>
          <w:w w:val="110"/>
          <w:szCs w:val="22"/>
        </w:rPr>
        <w:t xml:space="preserve"> </w:t>
      </w:r>
      <w:r w:rsidRPr="00DD7BD1">
        <w:rPr>
          <w:rFonts w:cs="Calibri"/>
          <w:color w:val="auto"/>
          <w:w w:val="110"/>
          <w:szCs w:val="22"/>
        </w:rPr>
        <w:t>making employment</w:t>
      </w:r>
      <w:r w:rsidRPr="00DD7BD1">
        <w:rPr>
          <w:rFonts w:cs="Calibri"/>
          <w:color w:val="auto"/>
          <w:spacing w:val="-5"/>
          <w:w w:val="110"/>
          <w:szCs w:val="22"/>
        </w:rPr>
        <w:t xml:space="preserve"> </w:t>
      </w:r>
      <w:r w:rsidRPr="00DD7BD1">
        <w:rPr>
          <w:rFonts w:cs="Calibri"/>
          <w:color w:val="auto"/>
          <w:w w:val="110"/>
          <w:szCs w:val="22"/>
        </w:rPr>
        <w:t>decisions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3"/>
          <w:w w:val="110"/>
          <w:szCs w:val="22"/>
        </w:rPr>
        <w:t xml:space="preserve"> </w:t>
      </w:r>
      <w:r w:rsidRPr="00DD7BD1">
        <w:rPr>
          <w:rFonts w:cs="Calibri"/>
          <w:color w:val="auto"/>
          <w:w w:val="110"/>
          <w:szCs w:val="22"/>
        </w:rPr>
        <w:t>vendors whose products</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used</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arena</w:t>
      </w:r>
      <w:r w:rsidRPr="00DD7BD1">
        <w:rPr>
          <w:rFonts w:cs="Calibri"/>
          <w:color w:val="auto"/>
          <w:spacing w:val="-17"/>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take</w:t>
      </w:r>
      <w:r w:rsidRPr="00DD7BD1">
        <w:rPr>
          <w:rFonts w:cs="Calibri"/>
          <w:color w:val="auto"/>
          <w:spacing w:val="-14"/>
          <w:w w:val="110"/>
          <w:szCs w:val="22"/>
        </w:rPr>
        <w:t xml:space="preserve"> </w:t>
      </w:r>
      <w:r w:rsidRPr="00DD7BD1">
        <w:rPr>
          <w:rFonts w:cs="Calibri"/>
          <w:color w:val="auto"/>
          <w:w w:val="110"/>
          <w:szCs w:val="22"/>
        </w:rPr>
        <w:t>concrete</w:t>
      </w:r>
      <w:r w:rsidRPr="00DD7BD1">
        <w:rPr>
          <w:rFonts w:cs="Calibri"/>
          <w:color w:val="auto"/>
          <w:spacing w:val="-16"/>
          <w:w w:val="110"/>
          <w:szCs w:val="22"/>
        </w:rPr>
        <w:t xml:space="preserve"> </w:t>
      </w:r>
      <w:r w:rsidRPr="00DD7BD1">
        <w:rPr>
          <w:rFonts w:cs="Calibri"/>
          <w:color w:val="auto"/>
          <w:w w:val="110"/>
          <w:szCs w:val="22"/>
        </w:rPr>
        <w:t>steps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prepare</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implementation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the new Regulations on October 1, including:</w:t>
      </w:r>
    </w:p>
    <w:p w14:paraId="74AF49A2" w14:textId="77777777" w:rsidR="00A85628" w:rsidRPr="00DD7BD1"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Calibri" w:hAnsi="Calibri" w:cs="Calibri"/>
        </w:rPr>
      </w:pPr>
      <w:r w:rsidRPr="00DD7BD1">
        <w:rPr>
          <w:rFonts w:ascii="Calibri" w:hAnsi="Calibri" w:cs="Calibri"/>
          <w:w w:val="110"/>
        </w:rPr>
        <w:t>Identify</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ADS</w:t>
      </w:r>
      <w:r w:rsidRPr="00DD7BD1">
        <w:rPr>
          <w:rFonts w:ascii="Calibri" w:hAnsi="Calibri" w:cs="Calibri"/>
          <w:spacing w:val="-12"/>
          <w:w w:val="110"/>
        </w:rPr>
        <w:t xml:space="preserve"> </w:t>
      </w:r>
      <w:r w:rsidRPr="00DD7BD1">
        <w:rPr>
          <w:rFonts w:ascii="Calibri" w:hAnsi="Calibri" w:cs="Calibri"/>
          <w:w w:val="110"/>
        </w:rPr>
        <w:t>systems</w:t>
      </w:r>
      <w:r w:rsidRPr="00DD7BD1">
        <w:rPr>
          <w:rFonts w:ascii="Calibri" w:hAnsi="Calibri" w:cs="Calibri"/>
          <w:spacing w:val="-13"/>
          <w:w w:val="110"/>
        </w:rPr>
        <w:t xml:space="preserve"> </w:t>
      </w:r>
      <w:r w:rsidRPr="00DD7BD1">
        <w:rPr>
          <w:rFonts w:ascii="Calibri" w:hAnsi="Calibri" w:cs="Calibri"/>
          <w:w w:val="110"/>
        </w:rPr>
        <w:t>used</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0"/>
          <w:w w:val="110"/>
        </w:rPr>
        <w:t xml:space="preserve"> </w:t>
      </w:r>
      <w:r w:rsidRPr="00DD7BD1">
        <w:rPr>
          <w:rFonts w:ascii="Calibri" w:hAnsi="Calibri" w:cs="Calibri"/>
          <w:w w:val="110"/>
        </w:rPr>
        <w:t>decision-</w:t>
      </w:r>
      <w:r w:rsidRPr="00DD7BD1">
        <w:rPr>
          <w:rFonts w:ascii="Calibri" w:hAnsi="Calibri" w:cs="Calibri"/>
          <w:spacing w:val="-2"/>
          <w:w w:val="110"/>
        </w:rPr>
        <w:t>making;</w:t>
      </w:r>
    </w:p>
    <w:p w14:paraId="03A8B6EE" w14:textId="77777777" w:rsidR="00A85628" w:rsidRPr="00DD7BD1"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Calibri" w:hAnsi="Calibri" w:cs="Calibri"/>
        </w:rPr>
      </w:pPr>
      <w:r w:rsidRPr="00DD7BD1">
        <w:rPr>
          <w:rFonts w:ascii="Calibri" w:hAnsi="Calibri" w:cs="Calibri"/>
        </w:rPr>
        <w:t>Review</w:t>
      </w:r>
      <w:r w:rsidRPr="00DD7BD1">
        <w:rPr>
          <w:rFonts w:ascii="Calibri" w:hAnsi="Calibri" w:cs="Calibri"/>
          <w:spacing w:val="31"/>
        </w:rPr>
        <w:t xml:space="preserve"> </w:t>
      </w:r>
      <w:r w:rsidRPr="00DD7BD1">
        <w:rPr>
          <w:rFonts w:ascii="Calibri" w:hAnsi="Calibri" w:cs="Calibri"/>
        </w:rPr>
        <w:t>&amp;</w:t>
      </w:r>
      <w:r w:rsidRPr="00DD7BD1">
        <w:rPr>
          <w:rFonts w:ascii="Calibri" w:hAnsi="Calibri" w:cs="Calibri"/>
          <w:spacing w:val="28"/>
        </w:rPr>
        <w:t xml:space="preserve"> </w:t>
      </w:r>
      <w:r w:rsidRPr="00DD7BD1">
        <w:rPr>
          <w:rFonts w:ascii="Calibri" w:hAnsi="Calibri" w:cs="Calibri"/>
        </w:rPr>
        <w:t>amend</w:t>
      </w:r>
      <w:r w:rsidRPr="00DD7BD1">
        <w:rPr>
          <w:rFonts w:ascii="Calibri" w:hAnsi="Calibri" w:cs="Calibri"/>
          <w:spacing w:val="30"/>
        </w:rPr>
        <w:t xml:space="preserve"> </w:t>
      </w:r>
      <w:r w:rsidRPr="00DD7BD1">
        <w:rPr>
          <w:rFonts w:ascii="Calibri" w:hAnsi="Calibri" w:cs="Calibri"/>
        </w:rPr>
        <w:t>record</w:t>
      </w:r>
      <w:r w:rsidRPr="00DD7BD1">
        <w:rPr>
          <w:rFonts w:ascii="Calibri" w:hAnsi="Calibri" w:cs="Calibri"/>
          <w:spacing w:val="29"/>
        </w:rPr>
        <w:t xml:space="preserve"> </w:t>
      </w:r>
      <w:r w:rsidRPr="00DD7BD1">
        <w:rPr>
          <w:rFonts w:ascii="Calibri" w:hAnsi="Calibri" w:cs="Calibri"/>
        </w:rPr>
        <w:t>retention</w:t>
      </w:r>
      <w:r w:rsidRPr="00DD7BD1">
        <w:rPr>
          <w:rFonts w:ascii="Calibri" w:hAnsi="Calibri" w:cs="Calibri"/>
          <w:spacing w:val="27"/>
        </w:rPr>
        <w:t xml:space="preserve"> </w:t>
      </w:r>
      <w:r w:rsidRPr="00DD7BD1">
        <w:rPr>
          <w:rFonts w:ascii="Calibri" w:hAnsi="Calibri" w:cs="Calibri"/>
        </w:rPr>
        <w:t>policies</w:t>
      </w:r>
      <w:r w:rsidRPr="00DD7BD1">
        <w:rPr>
          <w:rFonts w:ascii="Calibri" w:hAnsi="Calibri" w:cs="Calibri"/>
          <w:spacing w:val="29"/>
        </w:rPr>
        <w:t xml:space="preserve"> </w:t>
      </w:r>
      <w:r w:rsidRPr="00DD7BD1">
        <w:rPr>
          <w:rFonts w:ascii="Calibri" w:hAnsi="Calibri" w:cs="Calibri"/>
        </w:rPr>
        <w:t>to</w:t>
      </w:r>
      <w:r w:rsidRPr="00DD7BD1">
        <w:rPr>
          <w:rFonts w:ascii="Calibri" w:hAnsi="Calibri" w:cs="Calibri"/>
          <w:spacing w:val="30"/>
        </w:rPr>
        <w:t xml:space="preserve"> </w:t>
      </w:r>
      <w:r w:rsidRPr="00DD7BD1">
        <w:rPr>
          <w:rFonts w:ascii="Calibri" w:hAnsi="Calibri" w:cs="Calibri"/>
        </w:rPr>
        <w:t>ensure</w:t>
      </w:r>
      <w:r w:rsidRPr="00DD7BD1">
        <w:rPr>
          <w:rFonts w:ascii="Calibri" w:hAnsi="Calibri" w:cs="Calibri"/>
          <w:spacing w:val="28"/>
        </w:rPr>
        <w:t xml:space="preserve"> </w:t>
      </w:r>
      <w:r w:rsidRPr="00DD7BD1">
        <w:rPr>
          <w:rFonts w:ascii="Calibri" w:hAnsi="Calibri" w:cs="Calibri"/>
        </w:rPr>
        <w:t>records</w:t>
      </w:r>
      <w:r w:rsidRPr="00DD7BD1">
        <w:rPr>
          <w:rFonts w:ascii="Calibri" w:hAnsi="Calibri" w:cs="Calibri"/>
          <w:spacing w:val="30"/>
        </w:rPr>
        <w:t xml:space="preserve"> </w:t>
      </w:r>
      <w:r w:rsidRPr="00DD7BD1">
        <w:rPr>
          <w:rFonts w:ascii="Calibri" w:hAnsi="Calibri" w:cs="Calibri"/>
        </w:rPr>
        <w:t>are</w:t>
      </w:r>
      <w:r w:rsidRPr="00DD7BD1">
        <w:rPr>
          <w:rFonts w:ascii="Calibri" w:hAnsi="Calibri" w:cs="Calibri"/>
          <w:spacing w:val="25"/>
        </w:rPr>
        <w:t xml:space="preserve"> </w:t>
      </w:r>
      <w:r w:rsidRPr="00DD7BD1">
        <w:rPr>
          <w:rFonts w:ascii="Calibri" w:hAnsi="Calibri" w:cs="Calibri"/>
        </w:rPr>
        <w:t>retained</w:t>
      </w:r>
      <w:r w:rsidRPr="00DD7BD1">
        <w:rPr>
          <w:rFonts w:ascii="Calibri" w:hAnsi="Calibri" w:cs="Calibri"/>
          <w:spacing w:val="29"/>
        </w:rPr>
        <w:t xml:space="preserve"> </w:t>
      </w:r>
      <w:r w:rsidRPr="00DD7BD1">
        <w:rPr>
          <w:rFonts w:ascii="Calibri" w:hAnsi="Calibri" w:cs="Calibri"/>
        </w:rPr>
        <w:t>for</w:t>
      </w:r>
      <w:r w:rsidRPr="00DD7BD1">
        <w:rPr>
          <w:rFonts w:ascii="Calibri" w:hAnsi="Calibri" w:cs="Calibri"/>
          <w:spacing w:val="28"/>
        </w:rPr>
        <w:t xml:space="preserve"> </w:t>
      </w:r>
      <w:r w:rsidRPr="00DD7BD1">
        <w:rPr>
          <w:rFonts w:ascii="Calibri" w:hAnsi="Calibri" w:cs="Calibri"/>
        </w:rPr>
        <w:t>at</w:t>
      </w:r>
      <w:r w:rsidRPr="00DD7BD1">
        <w:rPr>
          <w:rFonts w:ascii="Calibri" w:hAnsi="Calibri" w:cs="Calibri"/>
          <w:spacing w:val="28"/>
        </w:rPr>
        <w:t xml:space="preserve"> </w:t>
      </w:r>
      <w:r w:rsidRPr="00DD7BD1">
        <w:rPr>
          <w:rFonts w:ascii="Calibri" w:hAnsi="Calibri" w:cs="Calibri"/>
        </w:rPr>
        <w:t>least</w:t>
      </w:r>
      <w:r w:rsidRPr="00DD7BD1">
        <w:rPr>
          <w:rFonts w:ascii="Calibri" w:hAnsi="Calibri" w:cs="Calibri"/>
          <w:spacing w:val="33"/>
        </w:rPr>
        <w:t xml:space="preserve"> </w:t>
      </w:r>
      <w:r w:rsidRPr="00DD7BD1">
        <w:rPr>
          <w:rFonts w:ascii="Calibri" w:hAnsi="Calibri" w:cs="Calibri"/>
        </w:rPr>
        <w:t>4</w:t>
      </w:r>
      <w:r w:rsidRPr="00DD7BD1">
        <w:rPr>
          <w:rFonts w:ascii="Calibri" w:hAnsi="Calibri" w:cs="Calibri"/>
          <w:spacing w:val="27"/>
        </w:rPr>
        <w:t xml:space="preserve"> </w:t>
      </w:r>
      <w:r w:rsidRPr="00DD7BD1">
        <w:rPr>
          <w:rFonts w:ascii="Calibri" w:hAnsi="Calibri" w:cs="Calibri"/>
          <w:spacing w:val="-2"/>
        </w:rPr>
        <w:t>years;</w:t>
      </w:r>
    </w:p>
    <w:p w14:paraId="7A7E6B4D" w14:textId="77777777" w:rsidR="00A85628" w:rsidRPr="00DD7BD1"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Calibri" w:hAnsi="Calibri" w:cs="Calibri"/>
        </w:rPr>
      </w:pPr>
      <w:r w:rsidRPr="00DD7BD1">
        <w:rPr>
          <w:rFonts w:ascii="Calibri" w:hAnsi="Calibri" w:cs="Calibri"/>
          <w:w w:val="110"/>
        </w:rPr>
        <w:t>Ensure</w:t>
      </w:r>
      <w:r w:rsidRPr="00DD7BD1">
        <w:rPr>
          <w:rFonts w:ascii="Calibri" w:hAnsi="Calibri" w:cs="Calibri"/>
          <w:spacing w:val="-12"/>
          <w:w w:val="110"/>
        </w:rPr>
        <w:t xml:space="preserve"> </w:t>
      </w:r>
      <w:r w:rsidRPr="00DD7BD1">
        <w:rPr>
          <w:rFonts w:ascii="Calibri" w:hAnsi="Calibri" w:cs="Calibri"/>
          <w:w w:val="110"/>
        </w:rPr>
        <w:t>HR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12"/>
          <w:w w:val="110"/>
        </w:rPr>
        <w:t xml:space="preserve"> </w:t>
      </w:r>
      <w:r w:rsidRPr="00DD7BD1">
        <w:rPr>
          <w:rFonts w:ascii="Calibri" w:hAnsi="Calibri" w:cs="Calibri"/>
          <w:w w:val="110"/>
        </w:rPr>
        <w:t>managers</w:t>
      </w:r>
      <w:r w:rsidRPr="00DD7BD1">
        <w:rPr>
          <w:rFonts w:ascii="Calibri" w:hAnsi="Calibri" w:cs="Calibri"/>
          <w:spacing w:val="-10"/>
          <w:w w:val="110"/>
        </w:rPr>
        <w:t xml:space="preserve"> </w:t>
      </w:r>
      <w:r w:rsidRPr="00DD7BD1">
        <w:rPr>
          <w:rFonts w:ascii="Calibri" w:hAnsi="Calibri" w:cs="Calibri"/>
          <w:w w:val="110"/>
        </w:rPr>
        <w:t>are</w:t>
      </w:r>
      <w:r w:rsidRPr="00DD7BD1">
        <w:rPr>
          <w:rFonts w:ascii="Calibri" w:hAnsi="Calibri" w:cs="Calibri"/>
          <w:spacing w:val="-13"/>
          <w:w w:val="110"/>
        </w:rPr>
        <w:t xml:space="preserve"> </w:t>
      </w:r>
      <w:r w:rsidRPr="00DD7BD1">
        <w:rPr>
          <w:rFonts w:ascii="Calibri" w:hAnsi="Calibri" w:cs="Calibri"/>
          <w:w w:val="110"/>
        </w:rPr>
        <w:t>aware</w:t>
      </w:r>
      <w:r w:rsidRPr="00DD7BD1">
        <w:rPr>
          <w:rFonts w:ascii="Calibri" w:hAnsi="Calibri" w:cs="Calibri"/>
          <w:spacing w:val="-13"/>
          <w:w w:val="110"/>
        </w:rPr>
        <w:t xml:space="preserve"> </w:t>
      </w:r>
      <w:r w:rsidRPr="00DD7BD1">
        <w:rPr>
          <w:rFonts w:ascii="Calibri" w:hAnsi="Calibri" w:cs="Calibri"/>
          <w:w w:val="110"/>
        </w:rPr>
        <w:t>that</w:t>
      </w:r>
      <w:r w:rsidRPr="00DD7BD1">
        <w:rPr>
          <w:rFonts w:ascii="Calibri" w:hAnsi="Calibri" w:cs="Calibri"/>
          <w:spacing w:val="-14"/>
          <w:w w:val="110"/>
        </w:rPr>
        <w:t xml:space="preserve"> </w:t>
      </w:r>
      <w:r w:rsidRPr="00DD7BD1">
        <w:rPr>
          <w:rFonts w:ascii="Calibri" w:hAnsi="Calibri" w:cs="Calibri"/>
          <w:w w:val="110"/>
        </w:rPr>
        <w:t>accommodations</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4"/>
          <w:w w:val="110"/>
        </w:rPr>
        <w:t xml:space="preserve"> </w:t>
      </w:r>
      <w:r w:rsidRPr="00DD7BD1">
        <w:rPr>
          <w:rFonts w:ascii="Calibri" w:hAnsi="Calibri" w:cs="Calibri"/>
          <w:w w:val="110"/>
        </w:rPr>
        <w:t>disability</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religion</w:t>
      </w:r>
      <w:r w:rsidRPr="00DD7BD1">
        <w:rPr>
          <w:rFonts w:ascii="Calibri" w:hAnsi="Calibri" w:cs="Calibri"/>
          <w:spacing w:val="-12"/>
          <w:w w:val="110"/>
        </w:rPr>
        <w:t xml:space="preserve"> </w:t>
      </w:r>
      <w:r w:rsidRPr="00DD7BD1">
        <w:rPr>
          <w:rFonts w:ascii="Calibri" w:hAnsi="Calibri" w:cs="Calibri"/>
          <w:w w:val="110"/>
        </w:rPr>
        <w:t>might</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required</w:t>
      </w:r>
      <w:r w:rsidRPr="00DD7BD1">
        <w:rPr>
          <w:rFonts w:ascii="Calibri" w:hAnsi="Calibri" w:cs="Calibri"/>
          <w:spacing w:val="-10"/>
          <w:w w:val="110"/>
        </w:rPr>
        <w:t xml:space="preserve"> </w:t>
      </w:r>
      <w:r w:rsidRPr="00DD7BD1">
        <w:rPr>
          <w:rFonts w:ascii="Calibri" w:hAnsi="Calibri" w:cs="Calibri"/>
          <w:w w:val="110"/>
        </w:rPr>
        <w:t xml:space="preserve">when using an ADS in employment decisions/ Update anti-discrimination and reasonable accommodation </w:t>
      </w:r>
      <w:r w:rsidRPr="00DD7BD1">
        <w:rPr>
          <w:rFonts w:ascii="Calibri" w:hAnsi="Calibri" w:cs="Calibri"/>
          <w:w w:val="115"/>
        </w:rPr>
        <w:t>policies</w:t>
      </w:r>
      <w:r w:rsidRPr="00DD7BD1">
        <w:rPr>
          <w:rFonts w:ascii="Calibri" w:hAnsi="Calibri" w:cs="Calibri"/>
          <w:spacing w:val="-7"/>
          <w:w w:val="115"/>
        </w:rPr>
        <w:t xml:space="preserve"> </w:t>
      </w:r>
      <w:r w:rsidRPr="00DD7BD1">
        <w:rPr>
          <w:rFonts w:ascii="Calibri" w:hAnsi="Calibri" w:cs="Calibri"/>
          <w:w w:val="115"/>
        </w:rPr>
        <w:t>to</w:t>
      </w:r>
      <w:r w:rsidRPr="00DD7BD1">
        <w:rPr>
          <w:rFonts w:ascii="Calibri" w:hAnsi="Calibri" w:cs="Calibri"/>
          <w:spacing w:val="-8"/>
          <w:w w:val="115"/>
        </w:rPr>
        <w:t xml:space="preserve"> </w:t>
      </w:r>
      <w:r w:rsidRPr="00DD7BD1">
        <w:rPr>
          <w:rFonts w:ascii="Calibri" w:hAnsi="Calibri" w:cs="Calibri"/>
          <w:w w:val="115"/>
        </w:rPr>
        <w:t>address</w:t>
      </w:r>
      <w:r w:rsidRPr="00DD7BD1">
        <w:rPr>
          <w:rFonts w:ascii="Calibri" w:hAnsi="Calibri" w:cs="Calibri"/>
          <w:spacing w:val="-6"/>
          <w:w w:val="115"/>
        </w:rPr>
        <w:t xml:space="preserve"> </w:t>
      </w:r>
      <w:r w:rsidRPr="00DD7BD1">
        <w:rPr>
          <w:rFonts w:ascii="Calibri" w:hAnsi="Calibri" w:cs="Calibri"/>
          <w:w w:val="115"/>
        </w:rPr>
        <w:t>the</w:t>
      </w:r>
      <w:r w:rsidRPr="00DD7BD1">
        <w:rPr>
          <w:rFonts w:ascii="Calibri" w:hAnsi="Calibri" w:cs="Calibri"/>
          <w:spacing w:val="-9"/>
          <w:w w:val="115"/>
        </w:rPr>
        <w:t xml:space="preserve"> </w:t>
      </w:r>
      <w:r w:rsidRPr="00DD7BD1">
        <w:rPr>
          <w:rFonts w:ascii="Calibri" w:hAnsi="Calibri" w:cs="Calibri"/>
          <w:w w:val="115"/>
        </w:rPr>
        <w:t>use</w:t>
      </w:r>
      <w:r w:rsidRPr="00DD7BD1">
        <w:rPr>
          <w:rFonts w:ascii="Calibri" w:hAnsi="Calibri" w:cs="Calibri"/>
          <w:spacing w:val="-8"/>
          <w:w w:val="115"/>
        </w:rPr>
        <w:t xml:space="preserve"> </w:t>
      </w:r>
      <w:r w:rsidRPr="00DD7BD1">
        <w:rPr>
          <w:rFonts w:ascii="Calibri" w:hAnsi="Calibri" w:cs="Calibri"/>
          <w:w w:val="115"/>
        </w:rPr>
        <w:t>of</w:t>
      </w:r>
      <w:r w:rsidRPr="00DD7BD1">
        <w:rPr>
          <w:rFonts w:ascii="Calibri" w:hAnsi="Calibri" w:cs="Calibri"/>
          <w:spacing w:val="-9"/>
          <w:w w:val="115"/>
        </w:rPr>
        <w:t xml:space="preserve"> </w:t>
      </w:r>
      <w:r w:rsidRPr="00DD7BD1">
        <w:rPr>
          <w:rFonts w:ascii="Calibri" w:hAnsi="Calibri" w:cs="Calibri"/>
          <w:w w:val="115"/>
        </w:rPr>
        <w:t>ADS</w:t>
      </w:r>
      <w:r w:rsidRPr="00DD7BD1">
        <w:rPr>
          <w:rFonts w:ascii="Calibri" w:hAnsi="Calibri" w:cs="Calibri"/>
          <w:spacing w:val="-8"/>
          <w:w w:val="115"/>
        </w:rPr>
        <w:t xml:space="preserve"> </w:t>
      </w:r>
      <w:r w:rsidRPr="00DD7BD1">
        <w:rPr>
          <w:rFonts w:ascii="Calibri" w:hAnsi="Calibri" w:cs="Calibri"/>
          <w:w w:val="115"/>
        </w:rPr>
        <w:t>systems;</w:t>
      </w:r>
    </w:p>
    <w:p w14:paraId="5EE75491" w14:textId="77777777" w:rsidR="00A85628" w:rsidRPr="00DD7BD1"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Calibri" w:hAnsi="Calibri" w:cs="Calibri"/>
        </w:rPr>
      </w:pPr>
      <w:r w:rsidRPr="00DD7BD1">
        <w:rPr>
          <w:rFonts w:ascii="Calibri" w:hAnsi="Calibri" w:cs="Calibri"/>
          <w:spacing w:val="-2"/>
          <w:w w:val="115"/>
        </w:rPr>
        <w:t>Perform anti-bias</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10"/>
          <w:w w:val="115"/>
        </w:rPr>
        <w:t xml:space="preserve"> </w:t>
      </w:r>
      <w:r w:rsidRPr="00DD7BD1">
        <w:rPr>
          <w:rFonts w:ascii="Calibri" w:hAnsi="Calibri" w:cs="Calibri"/>
          <w:spacing w:val="-2"/>
          <w:w w:val="115"/>
        </w:rPr>
        <w:t>establishing</w:t>
      </w:r>
      <w:r w:rsidRPr="00DD7BD1">
        <w:rPr>
          <w:rFonts w:ascii="Calibri" w:hAnsi="Calibri" w:cs="Calibri"/>
          <w:spacing w:val="-8"/>
          <w:w w:val="115"/>
        </w:rPr>
        <w:t xml:space="preserve"> </w:t>
      </w:r>
      <w:r w:rsidRPr="00DD7BD1">
        <w:rPr>
          <w:rFonts w:ascii="Calibri" w:hAnsi="Calibri" w:cs="Calibri"/>
          <w:spacing w:val="-2"/>
          <w:w w:val="115"/>
        </w:rPr>
        <w:t>a</w:t>
      </w:r>
      <w:r w:rsidRPr="00DD7BD1">
        <w:rPr>
          <w:rFonts w:ascii="Calibri" w:hAnsi="Calibri" w:cs="Calibri"/>
          <w:spacing w:val="-7"/>
          <w:w w:val="115"/>
        </w:rPr>
        <w:t xml:space="preserve"> </w:t>
      </w:r>
      <w:r w:rsidRPr="00DD7BD1">
        <w:rPr>
          <w:rFonts w:ascii="Calibri" w:hAnsi="Calibri" w:cs="Calibri"/>
          <w:spacing w:val="-2"/>
          <w:w w:val="115"/>
        </w:rPr>
        <w:t>plan</w:t>
      </w:r>
      <w:r w:rsidRPr="00DD7BD1">
        <w:rPr>
          <w:rFonts w:ascii="Calibri" w:hAnsi="Calibri" w:cs="Calibri"/>
          <w:spacing w:val="-8"/>
          <w:w w:val="115"/>
        </w:rPr>
        <w:t xml:space="preserve"> </w:t>
      </w:r>
      <w:r w:rsidRPr="00DD7BD1">
        <w:rPr>
          <w:rFonts w:ascii="Calibri" w:hAnsi="Calibri" w:cs="Calibri"/>
          <w:spacing w:val="-2"/>
          <w:w w:val="115"/>
        </w:rPr>
        <w:t>outlining</w:t>
      </w:r>
      <w:r w:rsidRPr="00DD7BD1">
        <w:rPr>
          <w:rFonts w:ascii="Calibri" w:hAnsi="Calibri" w:cs="Calibri"/>
          <w:spacing w:val="-6"/>
          <w:w w:val="115"/>
        </w:rPr>
        <w:t xml:space="preserve"> </w:t>
      </w:r>
      <w:r w:rsidRPr="00DD7BD1">
        <w:rPr>
          <w:rFonts w:ascii="Calibri" w:hAnsi="Calibri" w:cs="Calibri"/>
          <w:spacing w:val="-2"/>
          <w:w w:val="115"/>
        </w:rPr>
        <w:t>the</w:t>
      </w:r>
      <w:r w:rsidRPr="00DD7BD1">
        <w:rPr>
          <w:rFonts w:ascii="Calibri" w:hAnsi="Calibri" w:cs="Calibri"/>
          <w:spacing w:val="-8"/>
          <w:w w:val="115"/>
        </w:rPr>
        <w:t xml:space="preserve"> </w:t>
      </w:r>
      <w:r w:rsidRPr="00DD7BD1">
        <w:rPr>
          <w:rFonts w:ascii="Calibri" w:hAnsi="Calibri" w:cs="Calibri"/>
          <w:spacing w:val="-2"/>
          <w:w w:val="115"/>
        </w:rPr>
        <w:t>frequency</w:t>
      </w:r>
      <w:r w:rsidRPr="00DD7BD1">
        <w:rPr>
          <w:rFonts w:ascii="Calibri" w:hAnsi="Calibri" w:cs="Calibri"/>
          <w:spacing w:val="-6"/>
          <w:w w:val="115"/>
        </w:rPr>
        <w:t xml:space="preserve"> </w:t>
      </w:r>
      <w:r w:rsidRPr="00DD7BD1">
        <w:rPr>
          <w:rFonts w:ascii="Calibri" w:hAnsi="Calibri" w:cs="Calibri"/>
          <w:spacing w:val="-2"/>
          <w:w w:val="115"/>
        </w:rPr>
        <w:t>and</w:t>
      </w:r>
      <w:r w:rsidRPr="00DD7BD1">
        <w:rPr>
          <w:rFonts w:ascii="Calibri" w:hAnsi="Calibri" w:cs="Calibri"/>
          <w:spacing w:val="-6"/>
          <w:w w:val="115"/>
        </w:rPr>
        <w:t xml:space="preserve"> </w:t>
      </w:r>
      <w:r w:rsidRPr="00DD7BD1">
        <w:rPr>
          <w:rFonts w:ascii="Calibri" w:hAnsi="Calibri" w:cs="Calibri"/>
          <w:spacing w:val="-2"/>
          <w:w w:val="115"/>
        </w:rPr>
        <w:t>nature</w:t>
      </w:r>
      <w:r w:rsidRPr="00DD7BD1">
        <w:rPr>
          <w:rFonts w:ascii="Calibri" w:hAnsi="Calibri" w:cs="Calibri"/>
          <w:spacing w:val="-8"/>
          <w:w w:val="115"/>
        </w:rPr>
        <w:t xml:space="preserve"> </w:t>
      </w:r>
      <w:r w:rsidRPr="00DD7BD1">
        <w:rPr>
          <w:rFonts w:ascii="Calibri" w:hAnsi="Calibri" w:cs="Calibri"/>
          <w:spacing w:val="-2"/>
          <w:w w:val="115"/>
        </w:rPr>
        <w:t>of</w:t>
      </w:r>
      <w:r w:rsidRPr="00DD7BD1">
        <w:rPr>
          <w:rFonts w:ascii="Calibri" w:hAnsi="Calibri" w:cs="Calibri"/>
          <w:spacing w:val="-10"/>
          <w:w w:val="115"/>
        </w:rPr>
        <w:t xml:space="preserve"> </w:t>
      </w:r>
      <w:r w:rsidRPr="00DD7BD1">
        <w:rPr>
          <w:rFonts w:ascii="Calibri" w:hAnsi="Calibri" w:cs="Calibri"/>
          <w:spacing w:val="-2"/>
          <w:w w:val="115"/>
        </w:rPr>
        <w:t>such</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7"/>
          <w:w w:val="115"/>
        </w:rPr>
        <w:t xml:space="preserve"> </w:t>
      </w:r>
      <w:r w:rsidRPr="00DD7BD1">
        <w:rPr>
          <w:rFonts w:ascii="Calibri" w:hAnsi="Calibri" w:cs="Calibri"/>
          <w:spacing w:val="-2"/>
          <w:w w:val="115"/>
        </w:rPr>
        <w:t xml:space="preserve">and </w:t>
      </w:r>
      <w:r w:rsidRPr="00DD7BD1">
        <w:rPr>
          <w:rFonts w:ascii="Calibri" w:hAnsi="Calibri" w:cs="Calibri"/>
          <w:w w:val="110"/>
        </w:rPr>
        <w:t>documenting</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testing</w:t>
      </w:r>
      <w:r w:rsidRPr="00DD7BD1">
        <w:rPr>
          <w:rFonts w:ascii="Calibri" w:hAnsi="Calibri" w:cs="Calibri"/>
          <w:spacing w:val="-4"/>
          <w:w w:val="110"/>
        </w:rPr>
        <w:t xml:space="preserve"> </w:t>
      </w:r>
      <w:r w:rsidRPr="00DD7BD1">
        <w:rPr>
          <w:rFonts w:ascii="Calibri" w:hAnsi="Calibri" w:cs="Calibri"/>
          <w:w w:val="110"/>
        </w:rPr>
        <w:t>process/criteria,</w:t>
      </w:r>
      <w:r w:rsidRPr="00DD7BD1">
        <w:rPr>
          <w:rFonts w:ascii="Calibri" w:hAnsi="Calibri" w:cs="Calibri"/>
          <w:spacing w:val="-3"/>
          <w:w w:val="110"/>
        </w:rPr>
        <w:t xml:space="preserve"> </w:t>
      </w:r>
      <w:r w:rsidRPr="00DD7BD1">
        <w:rPr>
          <w:rFonts w:ascii="Calibri" w:hAnsi="Calibri" w:cs="Calibri"/>
          <w:w w:val="110"/>
        </w:rPr>
        <w:t>results,</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steps</w:t>
      </w:r>
      <w:r w:rsidRPr="00DD7BD1">
        <w:rPr>
          <w:rFonts w:ascii="Calibri" w:hAnsi="Calibri" w:cs="Calibri"/>
          <w:spacing w:val="-4"/>
          <w:w w:val="110"/>
        </w:rPr>
        <w:t xml:space="preserve"> </w:t>
      </w:r>
      <w:r w:rsidRPr="00DD7BD1">
        <w:rPr>
          <w:rFonts w:ascii="Calibri" w:hAnsi="Calibri" w:cs="Calibri"/>
          <w:w w:val="110"/>
        </w:rPr>
        <w:t>taken</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address</w:t>
      </w:r>
      <w:r w:rsidRPr="00DD7BD1">
        <w:rPr>
          <w:rFonts w:ascii="Calibri" w:hAnsi="Calibri" w:cs="Calibri"/>
          <w:spacing w:val="-4"/>
          <w:w w:val="110"/>
        </w:rPr>
        <w:t xml:space="preserve"> </w:t>
      </w:r>
      <w:r w:rsidRPr="00DD7BD1">
        <w:rPr>
          <w:rFonts w:ascii="Calibri" w:hAnsi="Calibri" w:cs="Calibri"/>
          <w:w w:val="110"/>
        </w:rPr>
        <w:t>results,</w:t>
      </w:r>
      <w:r w:rsidRPr="00DD7BD1">
        <w:rPr>
          <w:rFonts w:ascii="Calibri" w:hAnsi="Calibri" w:cs="Calibri"/>
          <w:spacing w:val="-3"/>
          <w:w w:val="110"/>
        </w:rPr>
        <w:t xml:space="preserve"> </w:t>
      </w:r>
      <w:r w:rsidRPr="00DD7BD1">
        <w:rPr>
          <w:rFonts w:ascii="Calibri" w:hAnsi="Calibri" w:cs="Calibri"/>
          <w:w w:val="110"/>
        </w:rPr>
        <w:t>as</w:t>
      </w:r>
      <w:r w:rsidRPr="00DD7BD1">
        <w:rPr>
          <w:rFonts w:ascii="Calibri" w:hAnsi="Calibri" w:cs="Calibri"/>
          <w:spacing w:val="-2"/>
          <w:w w:val="110"/>
        </w:rPr>
        <w:t xml:space="preserve"> </w:t>
      </w:r>
      <w:r w:rsidRPr="00DD7BD1">
        <w:rPr>
          <w:rFonts w:ascii="Calibri" w:hAnsi="Calibri" w:cs="Calibri"/>
          <w:w w:val="110"/>
        </w:rPr>
        <w:t>appropriate;</w:t>
      </w:r>
      <w:r w:rsidRPr="00DD7BD1">
        <w:rPr>
          <w:rFonts w:ascii="Calibri" w:hAnsi="Calibri" w:cs="Calibri"/>
          <w:spacing w:val="-3"/>
          <w:w w:val="110"/>
        </w:rPr>
        <w:t xml:space="preserve"> </w:t>
      </w:r>
      <w:r w:rsidRPr="00DD7BD1">
        <w:rPr>
          <w:rFonts w:ascii="Calibri" w:hAnsi="Calibri" w:cs="Calibri"/>
          <w:w w:val="110"/>
        </w:rPr>
        <w:t>and</w:t>
      </w:r>
    </w:p>
    <w:p w14:paraId="6BA43895" w14:textId="77777777" w:rsidR="00A85628" w:rsidRPr="00DD7BD1" w:rsidRDefault="00A85628" w:rsidP="00A85628">
      <w:pPr>
        <w:pStyle w:val="BodyText"/>
        <w:spacing w:before="195" w:line="249" w:lineRule="auto"/>
        <w:ind w:right="-90"/>
        <w:jc w:val="left"/>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California</w:t>
      </w:r>
      <w:r w:rsidRPr="00DD7BD1">
        <w:rPr>
          <w:rFonts w:cs="Calibri"/>
          <w:color w:val="auto"/>
          <w:spacing w:val="-10"/>
          <w:w w:val="110"/>
          <w:szCs w:val="22"/>
        </w:rPr>
        <w:t xml:space="preserve"> </w:t>
      </w:r>
      <w:r w:rsidRPr="00DD7BD1">
        <w:rPr>
          <w:rFonts w:cs="Calibri"/>
          <w:color w:val="auto"/>
          <w:w w:val="110"/>
          <w:szCs w:val="22"/>
        </w:rPr>
        <w:t>Civil</w:t>
      </w:r>
      <w:r w:rsidRPr="00DD7BD1">
        <w:rPr>
          <w:rFonts w:cs="Calibri"/>
          <w:color w:val="auto"/>
          <w:spacing w:val="-9"/>
          <w:w w:val="110"/>
          <w:szCs w:val="22"/>
        </w:rPr>
        <w:t xml:space="preserve"> </w:t>
      </w:r>
      <w:r w:rsidRPr="00DD7BD1">
        <w:rPr>
          <w:rFonts w:cs="Calibri"/>
          <w:color w:val="auto"/>
          <w:w w:val="110"/>
          <w:szCs w:val="22"/>
        </w:rPr>
        <w:t>Rights</w:t>
      </w:r>
      <w:r w:rsidRPr="00DD7BD1">
        <w:rPr>
          <w:rFonts w:cs="Calibri"/>
          <w:color w:val="auto"/>
          <w:spacing w:val="-7"/>
          <w:w w:val="110"/>
          <w:szCs w:val="22"/>
        </w:rPr>
        <w:t xml:space="preserve"> </w:t>
      </w:r>
      <w:r w:rsidRPr="00DD7BD1">
        <w:rPr>
          <w:rFonts w:cs="Calibri"/>
          <w:color w:val="auto"/>
          <w:w w:val="110"/>
          <w:szCs w:val="22"/>
        </w:rPr>
        <w:t>Council</w:t>
      </w:r>
      <w:r w:rsidRPr="00DD7BD1">
        <w:rPr>
          <w:rFonts w:cs="Calibri"/>
          <w:color w:val="auto"/>
          <w:spacing w:val="-9"/>
          <w:w w:val="110"/>
          <w:szCs w:val="22"/>
        </w:rPr>
        <w:t xml:space="preserve"> </w:t>
      </w:r>
      <w:r w:rsidRPr="00DD7BD1">
        <w:rPr>
          <w:rFonts w:cs="Calibri"/>
          <w:color w:val="auto"/>
          <w:w w:val="110"/>
          <w:szCs w:val="22"/>
        </w:rPr>
        <w:t>(CRC)</w:t>
      </w:r>
      <w:r w:rsidRPr="00DD7BD1">
        <w:rPr>
          <w:rFonts w:cs="Calibri"/>
          <w:color w:val="auto"/>
          <w:spacing w:val="-10"/>
          <w:w w:val="110"/>
          <w:szCs w:val="22"/>
        </w:rPr>
        <w:t xml:space="preserve"> </w:t>
      </w:r>
      <w:r w:rsidRPr="00DD7BD1">
        <w:rPr>
          <w:rFonts w:cs="Calibri"/>
          <w:color w:val="auto"/>
          <w:w w:val="110"/>
          <w:szCs w:val="22"/>
        </w:rPr>
        <w:t>recently</w:t>
      </w:r>
      <w:r w:rsidRPr="00DD7BD1">
        <w:rPr>
          <w:rFonts w:cs="Calibri"/>
          <w:color w:val="auto"/>
          <w:spacing w:val="-4"/>
          <w:w w:val="110"/>
          <w:szCs w:val="22"/>
        </w:rPr>
        <w:t xml:space="preserve"> </w:t>
      </w:r>
      <w:hyperlink r:id="rId532">
        <w:r w:rsidRPr="00DD7BD1">
          <w:rPr>
            <w:rFonts w:cs="Calibri"/>
            <w:color w:val="0000FF"/>
            <w:w w:val="110"/>
            <w:szCs w:val="22"/>
            <w:u w:val="single" w:color="0000FF"/>
          </w:rPr>
          <w:t>announced</w:t>
        </w:r>
      </w:hyperlink>
      <w:r w:rsidRPr="00DD7BD1">
        <w:rPr>
          <w:rFonts w:cs="Calibri"/>
          <w:color w:val="0000FF"/>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has</w:t>
      </w:r>
      <w:r w:rsidRPr="00DD7BD1">
        <w:rPr>
          <w:rFonts w:cs="Calibri"/>
          <w:color w:val="auto"/>
          <w:spacing w:val="-7"/>
          <w:w w:val="110"/>
          <w:szCs w:val="22"/>
        </w:rPr>
        <w:t xml:space="preserve"> </w:t>
      </w:r>
      <w:r w:rsidRPr="00DD7BD1">
        <w:rPr>
          <w:rFonts w:cs="Calibri"/>
          <w:color w:val="auto"/>
          <w:w w:val="110"/>
          <w:szCs w:val="22"/>
        </w:rPr>
        <w:t>finalized</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clarify</w:t>
      </w:r>
      <w:r w:rsidRPr="00DD7BD1">
        <w:rPr>
          <w:rFonts w:cs="Calibri"/>
          <w:color w:val="auto"/>
          <w:spacing w:val="-7"/>
          <w:w w:val="110"/>
          <w:szCs w:val="22"/>
        </w:rPr>
        <w:t xml:space="preserve"> </w:t>
      </w:r>
      <w:r w:rsidRPr="00DD7BD1">
        <w:rPr>
          <w:rFonts w:cs="Calibri"/>
          <w:color w:val="auto"/>
          <w:w w:val="110"/>
          <w:szCs w:val="22"/>
        </w:rPr>
        <w:t>how California’s</w:t>
      </w:r>
      <w:r w:rsidRPr="00DD7BD1">
        <w:rPr>
          <w:rFonts w:cs="Calibri"/>
          <w:color w:val="auto"/>
          <w:spacing w:val="-2"/>
          <w:w w:val="110"/>
          <w:szCs w:val="22"/>
        </w:rPr>
        <w:t xml:space="preserve"> </w:t>
      </w:r>
      <w:r w:rsidRPr="00DD7BD1">
        <w:rPr>
          <w:rFonts w:cs="Calibri"/>
          <w:color w:val="auto"/>
          <w:w w:val="110"/>
          <w:szCs w:val="22"/>
        </w:rPr>
        <w:t>anti-discrimination</w:t>
      </w:r>
      <w:r w:rsidRPr="00DD7BD1">
        <w:rPr>
          <w:rFonts w:cs="Calibri"/>
          <w:color w:val="auto"/>
          <w:spacing w:val="-3"/>
          <w:w w:val="110"/>
          <w:szCs w:val="22"/>
        </w:rPr>
        <w:t xml:space="preserve"> </w:t>
      </w:r>
      <w:r w:rsidRPr="00DD7BD1">
        <w:rPr>
          <w:rFonts w:cs="Calibri"/>
          <w:color w:val="auto"/>
          <w:w w:val="110"/>
          <w:szCs w:val="22"/>
        </w:rPr>
        <w:t>laws</w:t>
      </w:r>
      <w:r w:rsidRPr="00DD7BD1">
        <w:rPr>
          <w:rFonts w:cs="Calibri"/>
          <w:color w:val="auto"/>
          <w:spacing w:val="-2"/>
          <w:w w:val="110"/>
          <w:szCs w:val="22"/>
        </w:rPr>
        <w:t xml:space="preserve"> </w:t>
      </w:r>
      <w:r w:rsidRPr="00DD7BD1">
        <w:rPr>
          <w:rFonts w:cs="Calibri"/>
          <w:color w:val="auto"/>
          <w:w w:val="110"/>
          <w:szCs w:val="22"/>
        </w:rPr>
        <w:t>apply to the</w:t>
      </w:r>
      <w:r w:rsidRPr="00DD7BD1">
        <w:rPr>
          <w:rFonts w:cs="Calibri"/>
          <w:color w:val="auto"/>
          <w:spacing w:val="-2"/>
          <w:w w:val="110"/>
          <w:szCs w:val="22"/>
        </w:rPr>
        <w:t xml:space="preserve"> </w:t>
      </w:r>
      <w:r w:rsidRPr="00DD7BD1">
        <w:rPr>
          <w:rFonts w:cs="Calibri"/>
          <w:color w:val="auto"/>
          <w:w w:val="110"/>
          <w:szCs w:val="22"/>
        </w:rPr>
        <w:t>use</w:t>
      </w:r>
      <w:r w:rsidRPr="00DD7BD1">
        <w:rPr>
          <w:rFonts w:cs="Calibri"/>
          <w:color w:val="auto"/>
          <w:spacing w:val="-2"/>
          <w:w w:val="110"/>
          <w:szCs w:val="22"/>
        </w:rPr>
        <w:t xml:space="preserve"> </w:t>
      </w:r>
      <w:r w:rsidRPr="00DD7BD1">
        <w:rPr>
          <w:rFonts w:cs="Calibri"/>
          <w:color w:val="auto"/>
          <w:w w:val="110"/>
          <w:szCs w:val="22"/>
        </w:rPr>
        <w:t>of artificial</w:t>
      </w:r>
      <w:r w:rsidRPr="00DD7BD1">
        <w:rPr>
          <w:rFonts w:cs="Calibri"/>
          <w:color w:val="auto"/>
          <w:spacing w:val="-2"/>
          <w:w w:val="110"/>
          <w:szCs w:val="22"/>
        </w:rPr>
        <w:t xml:space="preserve"> </w:t>
      </w:r>
      <w:r w:rsidRPr="00DD7BD1">
        <w:rPr>
          <w:rFonts w:cs="Calibri"/>
          <w:color w:val="auto"/>
          <w:w w:val="110"/>
          <w:szCs w:val="22"/>
        </w:rPr>
        <w:t>intelligence (AI) and automated decision</w:t>
      </w:r>
      <w:r w:rsidRPr="00DD7BD1">
        <w:rPr>
          <w:rFonts w:cs="Calibri"/>
          <w:color w:val="auto"/>
          <w:spacing w:val="-2"/>
          <w:w w:val="110"/>
          <w:szCs w:val="22"/>
        </w:rPr>
        <w:t xml:space="preserve"> </w:t>
      </w:r>
      <w:r w:rsidRPr="00DD7BD1">
        <w:rPr>
          <w:rFonts w:cs="Calibri"/>
          <w:color w:val="auto"/>
          <w:w w:val="110"/>
          <w:szCs w:val="22"/>
        </w:rPr>
        <w:t>systems (ADSs) in employment decision-making (the “Regulations”).</w:t>
      </w:r>
    </w:p>
    <w:p w14:paraId="161B9A47" w14:textId="77777777" w:rsidR="00A85628" w:rsidRPr="00DD7BD1" w:rsidRDefault="00A85628" w:rsidP="00A85628">
      <w:pPr>
        <w:pStyle w:val="BodyText"/>
        <w:spacing w:before="188" w:line="247" w:lineRule="auto"/>
        <w:ind w:right="-90"/>
        <w:jc w:val="left"/>
        <w:rPr>
          <w:rFonts w:cs="Calibri"/>
          <w:szCs w:val="22"/>
        </w:rPr>
      </w:pPr>
      <w:r w:rsidRPr="00DD7BD1">
        <w:rPr>
          <w:rFonts w:cs="Calibri"/>
          <w:color w:val="auto"/>
          <w:w w:val="110"/>
          <w:szCs w:val="22"/>
        </w:rPr>
        <w:t>The</w:t>
      </w:r>
      <w:r w:rsidRPr="00DD7BD1">
        <w:rPr>
          <w:rFonts w:cs="Calibri"/>
          <w:spacing w:val="-6"/>
          <w:w w:val="110"/>
          <w:szCs w:val="22"/>
        </w:rPr>
        <w:t xml:space="preserve"> </w:t>
      </w:r>
      <w:hyperlink r:id="rId533">
        <w:r w:rsidRPr="00DD7BD1">
          <w:rPr>
            <w:rFonts w:cs="Calibri"/>
            <w:color w:val="0000FF"/>
            <w:w w:val="110"/>
            <w:szCs w:val="22"/>
            <w:u w:val="single" w:color="0000FF"/>
          </w:rPr>
          <w:t>Regulations</w:t>
        </w:r>
      </w:hyperlink>
      <w:r w:rsidRPr="00DD7BD1">
        <w:rPr>
          <w:rFonts w:cs="Calibri"/>
          <w:color w:val="0000FF"/>
          <w:spacing w:val="-1"/>
          <w:w w:val="110"/>
          <w:szCs w:val="22"/>
        </w:rPr>
        <w:t xml:space="preserve"> </w:t>
      </w:r>
      <w:r w:rsidRPr="00DD7BD1">
        <w:rPr>
          <w:rFonts w:cs="Calibri"/>
          <w:color w:val="auto"/>
          <w:w w:val="110"/>
          <w:szCs w:val="22"/>
        </w:rPr>
        <w:t>amend</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existing</w:t>
      </w:r>
      <w:r w:rsidRPr="00DD7BD1">
        <w:rPr>
          <w:rFonts w:cs="Calibri"/>
          <w:color w:val="auto"/>
          <w:spacing w:val="-4"/>
          <w:w w:val="110"/>
          <w:szCs w:val="22"/>
        </w:rPr>
        <w:t xml:space="preserve"> </w:t>
      </w:r>
      <w:r w:rsidRPr="00DD7BD1">
        <w:rPr>
          <w:rFonts w:cs="Calibri"/>
          <w:color w:val="auto"/>
          <w:w w:val="110"/>
          <w:szCs w:val="22"/>
        </w:rPr>
        <w:t>regulatory</w:t>
      </w:r>
      <w:r w:rsidRPr="00DD7BD1">
        <w:rPr>
          <w:rFonts w:cs="Calibri"/>
          <w:color w:val="auto"/>
          <w:spacing w:val="-4"/>
          <w:w w:val="110"/>
          <w:szCs w:val="22"/>
        </w:rPr>
        <w:t xml:space="preserve"> </w:t>
      </w:r>
      <w:r w:rsidRPr="00DD7BD1">
        <w:rPr>
          <w:rFonts w:cs="Calibri"/>
          <w:color w:val="auto"/>
          <w:w w:val="110"/>
          <w:szCs w:val="22"/>
        </w:rPr>
        <w:t>framework</w:t>
      </w:r>
      <w:r w:rsidRPr="00DD7BD1">
        <w:rPr>
          <w:rFonts w:cs="Calibri"/>
          <w:color w:val="auto"/>
          <w:spacing w:val="-2"/>
          <w:w w:val="110"/>
          <w:szCs w:val="22"/>
        </w:rPr>
        <w:t xml:space="preserve"> </w:t>
      </w:r>
      <w:r w:rsidRPr="00DD7BD1">
        <w:rPr>
          <w:rFonts w:cs="Calibri"/>
          <w:color w:val="auto"/>
          <w:w w:val="110"/>
          <w:szCs w:val="22"/>
        </w:rPr>
        <w:t>providing</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use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6"/>
          <w:w w:val="110"/>
          <w:szCs w:val="22"/>
        </w:rPr>
        <w:t xml:space="preserve"> </w:t>
      </w:r>
      <w:r w:rsidRPr="00DD7BD1">
        <w:rPr>
          <w:rFonts w:cs="Calibri"/>
          <w:color w:val="auto"/>
          <w:w w:val="110"/>
          <w:szCs w:val="22"/>
        </w:rPr>
        <w:t>ADS</w:t>
      </w:r>
      <w:r w:rsidRPr="00DD7BD1">
        <w:rPr>
          <w:rFonts w:cs="Calibri"/>
          <w:color w:val="auto"/>
          <w:spacing w:val="-6"/>
          <w:w w:val="110"/>
          <w:szCs w:val="22"/>
        </w:rPr>
        <w:t xml:space="preserve"> </w:t>
      </w:r>
      <w:r w:rsidRPr="00DD7BD1">
        <w:rPr>
          <w:rFonts w:cs="Calibri"/>
          <w:color w:val="auto"/>
          <w:w w:val="110"/>
          <w:szCs w:val="22"/>
        </w:rPr>
        <w:t>(including</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spacing w:val="-2"/>
          <w:w w:val="115"/>
          <w:szCs w:val="22"/>
        </w:rPr>
        <w:t>making</w:t>
      </w:r>
      <w:r w:rsidRPr="00DD7BD1">
        <w:rPr>
          <w:rFonts w:cs="Calibri"/>
          <w:color w:val="auto"/>
          <w:spacing w:val="-13"/>
          <w:w w:val="115"/>
          <w:szCs w:val="22"/>
        </w:rPr>
        <w:t xml:space="preserve"> </w:t>
      </w:r>
      <w:r w:rsidRPr="00DD7BD1">
        <w:rPr>
          <w:rFonts w:cs="Calibri"/>
          <w:color w:val="auto"/>
          <w:spacing w:val="-2"/>
          <w:w w:val="115"/>
          <w:szCs w:val="22"/>
        </w:rPr>
        <w:t>employment</w:t>
      </w:r>
      <w:r w:rsidRPr="00DD7BD1">
        <w:rPr>
          <w:rFonts w:cs="Calibri"/>
          <w:color w:val="auto"/>
          <w:spacing w:val="-14"/>
          <w:w w:val="115"/>
          <w:szCs w:val="22"/>
        </w:rPr>
        <w:t xml:space="preserve"> </w:t>
      </w:r>
      <w:r w:rsidRPr="00DD7BD1">
        <w:rPr>
          <w:rFonts w:cs="Calibri"/>
          <w:color w:val="auto"/>
          <w:spacing w:val="-2"/>
          <w:w w:val="115"/>
          <w:szCs w:val="22"/>
        </w:rPr>
        <w:t>decisions</w:t>
      </w:r>
      <w:r w:rsidRPr="00DD7BD1">
        <w:rPr>
          <w:rFonts w:cs="Calibri"/>
          <w:color w:val="auto"/>
          <w:spacing w:val="-7"/>
          <w:w w:val="115"/>
          <w:szCs w:val="22"/>
        </w:rPr>
        <w:t xml:space="preserve"> </w:t>
      </w:r>
      <w:r w:rsidRPr="00DD7BD1">
        <w:rPr>
          <w:rFonts w:cs="Calibri"/>
          <w:b/>
          <w:color w:val="auto"/>
          <w:spacing w:val="-2"/>
          <w:w w:val="115"/>
          <w:szCs w:val="22"/>
        </w:rPr>
        <w:t>can</w:t>
      </w:r>
      <w:r w:rsidRPr="00DD7BD1">
        <w:rPr>
          <w:rFonts w:cs="Calibri"/>
          <w:b/>
          <w:color w:val="auto"/>
          <w:spacing w:val="-13"/>
          <w:w w:val="115"/>
          <w:szCs w:val="22"/>
        </w:rPr>
        <w:t xml:space="preserve"> </w:t>
      </w:r>
      <w:r w:rsidRPr="00DD7BD1">
        <w:rPr>
          <w:rFonts w:cs="Calibri"/>
          <w:color w:val="auto"/>
          <w:spacing w:val="-2"/>
          <w:w w:val="115"/>
          <w:szCs w:val="22"/>
        </w:rPr>
        <w:t>violate</w:t>
      </w:r>
      <w:r w:rsidRPr="00DD7BD1">
        <w:rPr>
          <w:rFonts w:cs="Calibri"/>
          <w:color w:val="auto"/>
          <w:spacing w:val="-14"/>
          <w:w w:val="115"/>
          <w:szCs w:val="22"/>
        </w:rPr>
        <w:t xml:space="preserve"> </w:t>
      </w:r>
      <w:r w:rsidRPr="00DD7BD1">
        <w:rPr>
          <w:rFonts w:cs="Calibri"/>
          <w:color w:val="auto"/>
          <w:spacing w:val="-2"/>
          <w:w w:val="115"/>
          <w:szCs w:val="22"/>
        </w:rPr>
        <w:t>California</w:t>
      </w:r>
      <w:r w:rsidRPr="00DD7BD1">
        <w:rPr>
          <w:rFonts w:cs="Calibri"/>
          <w:color w:val="auto"/>
          <w:spacing w:val="-12"/>
          <w:w w:val="115"/>
          <w:szCs w:val="22"/>
        </w:rPr>
        <w:t xml:space="preserve"> </w:t>
      </w:r>
      <w:r w:rsidRPr="00DD7BD1">
        <w:rPr>
          <w:rFonts w:cs="Calibri"/>
          <w:color w:val="auto"/>
          <w:spacing w:val="-2"/>
          <w:w w:val="115"/>
          <w:szCs w:val="22"/>
        </w:rPr>
        <w:t>law</w:t>
      </w:r>
      <w:r w:rsidRPr="00DD7BD1">
        <w:rPr>
          <w:rFonts w:cs="Calibri"/>
          <w:color w:val="auto"/>
          <w:spacing w:val="-12"/>
          <w:w w:val="115"/>
          <w:szCs w:val="22"/>
        </w:rPr>
        <w:t xml:space="preserve"> </w:t>
      </w:r>
      <w:r w:rsidRPr="00DD7BD1">
        <w:rPr>
          <w:rFonts w:cs="Calibri"/>
          <w:color w:val="auto"/>
          <w:spacing w:val="-2"/>
          <w:w w:val="115"/>
          <w:szCs w:val="22"/>
        </w:rPr>
        <w:t>if</w:t>
      </w:r>
      <w:r w:rsidRPr="00DD7BD1">
        <w:rPr>
          <w:rFonts w:cs="Calibri"/>
          <w:color w:val="auto"/>
          <w:spacing w:val="-12"/>
          <w:w w:val="115"/>
          <w:szCs w:val="22"/>
        </w:rPr>
        <w:t xml:space="preserve"> </w:t>
      </w:r>
      <w:r w:rsidRPr="00DD7BD1">
        <w:rPr>
          <w:rFonts w:cs="Calibri"/>
          <w:color w:val="auto"/>
          <w:spacing w:val="-2"/>
          <w:w w:val="115"/>
          <w:szCs w:val="22"/>
        </w:rPr>
        <w:t>such</w:t>
      </w:r>
      <w:r w:rsidRPr="00DD7BD1">
        <w:rPr>
          <w:rFonts w:cs="Calibri"/>
          <w:color w:val="auto"/>
          <w:spacing w:val="-14"/>
          <w:w w:val="115"/>
          <w:szCs w:val="22"/>
        </w:rPr>
        <w:t xml:space="preserve"> </w:t>
      </w:r>
      <w:r w:rsidRPr="00DD7BD1">
        <w:rPr>
          <w:rFonts w:cs="Calibri"/>
          <w:color w:val="auto"/>
          <w:spacing w:val="-2"/>
          <w:w w:val="115"/>
          <w:szCs w:val="22"/>
        </w:rPr>
        <w:t>tools</w:t>
      </w:r>
      <w:r w:rsidRPr="00DD7BD1">
        <w:rPr>
          <w:rFonts w:cs="Calibri"/>
          <w:color w:val="auto"/>
          <w:spacing w:val="-11"/>
          <w:w w:val="115"/>
          <w:szCs w:val="22"/>
        </w:rPr>
        <w:t xml:space="preserve"> </w:t>
      </w:r>
      <w:r w:rsidRPr="00DD7BD1">
        <w:rPr>
          <w:rFonts w:cs="Calibri"/>
          <w:color w:val="auto"/>
          <w:spacing w:val="-2"/>
          <w:w w:val="115"/>
          <w:szCs w:val="22"/>
        </w:rPr>
        <w:t>discriminate</w:t>
      </w:r>
      <w:r w:rsidRPr="00DD7BD1">
        <w:rPr>
          <w:rFonts w:cs="Calibri"/>
          <w:color w:val="auto"/>
          <w:spacing w:val="-11"/>
          <w:w w:val="115"/>
          <w:szCs w:val="22"/>
        </w:rPr>
        <w:t xml:space="preserve"> </w:t>
      </w:r>
      <w:r w:rsidRPr="00DD7BD1">
        <w:rPr>
          <w:rFonts w:cs="Calibri"/>
          <w:color w:val="auto"/>
          <w:spacing w:val="-2"/>
          <w:w w:val="115"/>
          <w:szCs w:val="22"/>
        </w:rPr>
        <w:t>against</w:t>
      </w:r>
      <w:r w:rsidRPr="00DD7BD1">
        <w:rPr>
          <w:rFonts w:cs="Calibri"/>
          <w:color w:val="auto"/>
          <w:spacing w:val="-12"/>
          <w:w w:val="115"/>
          <w:szCs w:val="22"/>
        </w:rPr>
        <w:t xml:space="preserve"> </w:t>
      </w:r>
      <w:r w:rsidRPr="00DD7BD1">
        <w:rPr>
          <w:rFonts w:cs="Calibri"/>
          <w:color w:val="auto"/>
          <w:spacing w:val="-2"/>
          <w:w w:val="115"/>
          <w:szCs w:val="22"/>
        </w:rPr>
        <w:t>employees</w:t>
      </w:r>
      <w:r w:rsidRPr="00DD7BD1">
        <w:rPr>
          <w:rFonts w:cs="Calibri"/>
          <w:color w:val="auto"/>
          <w:spacing w:val="-13"/>
          <w:w w:val="115"/>
          <w:szCs w:val="22"/>
        </w:rPr>
        <w:t xml:space="preserve"> </w:t>
      </w:r>
      <w:r w:rsidRPr="00DD7BD1">
        <w:rPr>
          <w:rFonts w:cs="Calibri"/>
          <w:color w:val="auto"/>
          <w:spacing w:val="-2"/>
          <w:w w:val="115"/>
          <w:szCs w:val="22"/>
        </w:rPr>
        <w:t xml:space="preserve">or </w:t>
      </w:r>
      <w:r w:rsidRPr="00DD7BD1">
        <w:rPr>
          <w:rFonts w:cs="Calibri"/>
          <w:color w:val="auto"/>
          <w:w w:val="110"/>
          <w:szCs w:val="22"/>
        </w:rPr>
        <w:t>applicants –</w:t>
      </w:r>
      <w:r w:rsidRPr="00DD7BD1">
        <w:rPr>
          <w:rFonts w:cs="Calibri"/>
          <w:color w:val="auto"/>
          <w:spacing w:val="-2"/>
          <w:w w:val="110"/>
          <w:szCs w:val="22"/>
        </w:rPr>
        <w:t xml:space="preserve"> </w:t>
      </w:r>
      <w:r w:rsidRPr="00DD7BD1">
        <w:rPr>
          <w:rFonts w:cs="Calibri"/>
          <w:color w:val="auto"/>
          <w:w w:val="110"/>
          <w:szCs w:val="22"/>
        </w:rPr>
        <w:t>either</w:t>
      </w:r>
      <w:r w:rsidRPr="00DD7BD1">
        <w:rPr>
          <w:rFonts w:cs="Calibri"/>
          <w:color w:val="auto"/>
          <w:spacing w:val="-1"/>
          <w:w w:val="110"/>
          <w:szCs w:val="22"/>
        </w:rPr>
        <w:t xml:space="preserve"> </w:t>
      </w:r>
      <w:r w:rsidRPr="00DD7BD1">
        <w:rPr>
          <w:rFonts w:cs="Calibri"/>
          <w:color w:val="auto"/>
          <w:w w:val="110"/>
          <w:szCs w:val="22"/>
        </w:rPr>
        <w:t>directly or</w:t>
      </w:r>
      <w:r w:rsidRPr="00DD7BD1">
        <w:rPr>
          <w:rFonts w:cs="Calibri"/>
          <w:color w:val="auto"/>
          <w:spacing w:val="-2"/>
          <w:w w:val="110"/>
          <w:szCs w:val="22"/>
        </w:rPr>
        <w:t xml:space="preserve"> </w:t>
      </w:r>
      <w:r w:rsidRPr="00DD7BD1">
        <w:rPr>
          <w:rFonts w:cs="Calibri"/>
          <w:color w:val="auto"/>
          <w:w w:val="110"/>
          <w:szCs w:val="22"/>
        </w:rPr>
        <w:t>due to disparate impact –</w:t>
      </w:r>
      <w:r w:rsidRPr="00DD7BD1">
        <w:rPr>
          <w:rFonts w:cs="Calibri"/>
          <w:color w:val="auto"/>
          <w:spacing w:val="-2"/>
          <w:w w:val="110"/>
          <w:szCs w:val="22"/>
        </w:rPr>
        <w:t xml:space="preserve"> </w:t>
      </w:r>
      <w:r w:rsidRPr="00DD7BD1">
        <w:rPr>
          <w:rFonts w:cs="Calibri"/>
          <w:color w:val="auto"/>
          <w:w w:val="110"/>
          <w:szCs w:val="22"/>
        </w:rPr>
        <w:t>on the</w:t>
      </w:r>
      <w:r w:rsidRPr="00DD7BD1">
        <w:rPr>
          <w:rFonts w:cs="Calibri"/>
          <w:color w:val="auto"/>
          <w:spacing w:val="-1"/>
          <w:w w:val="110"/>
          <w:szCs w:val="22"/>
        </w:rPr>
        <w:t xml:space="preserve"> </w:t>
      </w:r>
      <w:r w:rsidRPr="00DD7BD1">
        <w:rPr>
          <w:rFonts w:cs="Calibri"/>
          <w:color w:val="auto"/>
          <w:w w:val="110"/>
          <w:szCs w:val="22"/>
        </w:rPr>
        <w:t>basis of</w:t>
      </w:r>
      <w:r w:rsidRPr="00DD7BD1">
        <w:rPr>
          <w:rFonts w:cs="Calibri"/>
          <w:color w:val="auto"/>
          <w:spacing w:val="-1"/>
          <w:w w:val="110"/>
          <w:szCs w:val="22"/>
        </w:rPr>
        <w:t xml:space="preserve"> </w:t>
      </w:r>
      <w:r w:rsidRPr="00DD7BD1">
        <w:rPr>
          <w:rFonts w:cs="Calibri"/>
          <w:color w:val="auto"/>
          <w:w w:val="110"/>
          <w:szCs w:val="22"/>
        </w:rPr>
        <w:t>protected characteristics (including race, age,</w:t>
      </w:r>
      <w:r w:rsidRPr="00DD7BD1">
        <w:rPr>
          <w:rFonts w:cs="Calibri"/>
          <w:color w:val="auto"/>
          <w:spacing w:val="-4"/>
          <w:w w:val="110"/>
          <w:szCs w:val="22"/>
        </w:rPr>
        <w:t xml:space="preserve"> </w:t>
      </w:r>
      <w:r w:rsidRPr="00DD7BD1">
        <w:rPr>
          <w:rFonts w:cs="Calibri"/>
          <w:color w:val="auto"/>
          <w:w w:val="110"/>
          <w:szCs w:val="22"/>
        </w:rPr>
        <w:t>religious</w:t>
      </w:r>
      <w:r w:rsidRPr="00DD7BD1">
        <w:rPr>
          <w:rFonts w:cs="Calibri"/>
          <w:color w:val="auto"/>
          <w:spacing w:val="-3"/>
          <w:w w:val="110"/>
          <w:szCs w:val="22"/>
        </w:rPr>
        <w:t xml:space="preserve"> </w:t>
      </w:r>
      <w:r w:rsidRPr="00DD7BD1">
        <w:rPr>
          <w:rFonts w:cs="Calibri"/>
          <w:color w:val="auto"/>
          <w:w w:val="110"/>
          <w:szCs w:val="22"/>
        </w:rPr>
        <w:t>creed,</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6"/>
          <w:w w:val="110"/>
          <w:szCs w:val="22"/>
        </w:rPr>
        <w:t xml:space="preserve"> </w:t>
      </w:r>
      <w:r w:rsidRPr="00DD7BD1">
        <w:rPr>
          <w:rFonts w:cs="Calibri"/>
          <w:color w:val="auto"/>
          <w:w w:val="110"/>
          <w:szCs w:val="22"/>
        </w:rPr>
        <w:t>origin,</w:t>
      </w:r>
      <w:r w:rsidRPr="00DD7BD1">
        <w:rPr>
          <w:rFonts w:cs="Calibri"/>
          <w:color w:val="auto"/>
          <w:spacing w:val="-6"/>
          <w:w w:val="110"/>
          <w:szCs w:val="22"/>
        </w:rPr>
        <w:t xml:space="preserve"> </w:t>
      </w:r>
      <w:r w:rsidRPr="00DD7BD1">
        <w:rPr>
          <w:rFonts w:cs="Calibri"/>
          <w:color w:val="auto"/>
          <w:w w:val="110"/>
          <w:szCs w:val="22"/>
        </w:rPr>
        <w:t>gender,</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disability).</w:t>
      </w:r>
      <w:r w:rsidRPr="00DD7BD1">
        <w:rPr>
          <w:rFonts w:cs="Calibri"/>
          <w:color w:val="auto"/>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 xml:space="preserve">Regulations </w:t>
      </w:r>
      <w:r w:rsidRPr="00DD7BD1">
        <w:rPr>
          <w:rFonts w:cs="Calibri"/>
          <w:color w:val="auto"/>
          <w:w w:val="110"/>
          <w:szCs w:val="22"/>
          <w:u w:val="single"/>
        </w:rPr>
        <w:t>apply</w:t>
      </w:r>
      <w:r w:rsidRPr="00DD7BD1">
        <w:rPr>
          <w:rFonts w:cs="Calibri"/>
          <w:color w:val="auto"/>
          <w:spacing w:val="-3"/>
          <w:w w:val="110"/>
          <w:szCs w:val="22"/>
          <w:u w:val="single"/>
        </w:rPr>
        <w:t xml:space="preserve"> </w:t>
      </w:r>
      <w:r w:rsidRPr="00DD7BD1">
        <w:rPr>
          <w:rFonts w:cs="Calibri"/>
          <w:color w:val="auto"/>
          <w:w w:val="110"/>
          <w:szCs w:val="22"/>
          <w:u w:val="single"/>
        </w:rPr>
        <w:t>to</w:t>
      </w:r>
      <w:r w:rsidRPr="00DD7BD1">
        <w:rPr>
          <w:rFonts w:cs="Calibri"/>
          <w:color w:val="auto"/>
          <w:spacing w:val="-3"/>
          <w:w w:val="110"/>
          <w:szCs w:val="22"/>
          <w:u w:val="single"/>
        </w:rPr>
        <w:t xml:space="preserve"> </w:t>
      </w:r>
      <w:r w:rsidRPr="00DD7BD1">
        <w:rPr>
          <w:rFonts w:cs="Calibri"/>
          <w:color w:val="auto"/>
          <w:w w:val="110"/>
          <w:szCs w:val="22"/>
          <w:u w:val="single"/>
        </w:rPr>
        <w:t>all</w:t>
      </w:r>
      <w:r w:rsidRPr="00DD7BD1">
        <w:rPr>
          <w:rFonts w:cs="Calibri"/>
          <w:color w:val="auto"/>
          <w:spacing w:val="-5"/>
          <w:w w:val="110"/>
          <w:szCs w:val="22"/>
          <w:u w:val="single"/>
        </w:rPr>
        <w:t xml:space="preserve"> </w:t>
      </w:r>
      <w:r w:rsidRPr="00DD7BD1">
        <w:rPr>
          <w:rFonts w:cs="Calibri"/>
          <w:color w:val="auto"/>
          <w:w w:val="110"/>
          <w:szCs w:val="22"/>
          <w:u w:val="single"/>
        </w:rPr>
        <w:t>employers</w:t>
      </w:r>
      <w:r w:rsidRPr="00DD7BD1">
        <w:rPr>
          <w:rFonts w:cs="Calibri"/>
          <w:color w:val="auto"/>
          <w:w w:val="110"/>
          <w:szCs w:val="22"/>
        </w:rPr>
        <w:t xml:space="preserve"> in California</w:t>
      </w:r>
      <w:r w:rsidRPr="00DD7BD1">
        <w:rPr>
          <w:rFonts w:cs="Calibri"/>
          <w:color w:val="auto"/>
          <w:spacing w:val="-5"/>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3"/>
          <w:w w:val="110"/>
          <w:szCs w:val="22"/>
        </w:rPr>
        <w:t xml:space="preserve"> </w:t>
      </w:r>
      <w:r w:rsidRPr="00DD7BD1">
        <w:rPr>
          <w:rFonts w:cs="Calibri"/>
          <w:color w:val="auto"/>
          <w:w w:val="110"/>
          <w:szCs w:val="22"/>
        </w:rPr>
        <w:t>“artificial</w:t>
      </w:r>
      <w:r w:rsidRPr="00DD7BD1">
        <w:rPr>
          <w:rFonts w:cs="Calibri"/>
          <w:color w:val="auto"/>
          <w:spacing w:val="-6"/>
          <w:w w:val="110"/>
          <w:szCs w:val="22"/>
        </w:rPr>
        <w:t xml:space="preserve"> </w:t>
      </w:r>
      <w:r w:rsidRPr="00DD7BD1">
        <w:rPr>
          <w:rFonts w:cs="Calibri"/>
          <w:color w:val="auto"/>
          <w:w w:val="110"/>
          <w:szCs w:val="22"/>
        </w:rPr>
        <w:t>intelligence,</w:t>
      </w:r>
      <w:r w:rsidRPr="00DD7BD1">
        <w:rPr>
          <w:rFonts w:cs="Calibri"/>
          <w:color w:val="auto"/>
          <w:spacing w:val="-7"/>
          <w:w w:val="110"/>
          <w:szCs w:val="22"/>
        </w:rPr>
        <w:t xml:space="preserve"> </w:t>
      </w:r>
      <w:r w:rsidRPr="00DD7BD1">
        <w:rPr>
          <w:rFonts w:cs="Calibri"/>
          <w:color w:val="auto"/>
          <w:w w:val="110"/>
          <w:szCs w:val="22"/>
        </w:rPr>
        <w:t>machine-learning,</w:t>
      </w:r>
      <w:r w:rsidRPr="00DD7BD1">
        <w:rPr>
          <w:rFonts w:cs="Calibri"/>
          <w:color w:val="auto"/>
          <w:spacing w:val="-5"/>
          <w:w w:val="110"/>
          <w:szCs w:val="22"/>
        </w:rPr>
        <w:t xml:space="preserve"> </w:t>
      </w:r>
      <w:r w:rsidRPr="00DD7BD1">
        <w:rPr>
          <w:rFonts w:cs="Calibri"/>
          <w:color w:val="auto"/>
          <w:w w:val="110"/>
          <w:szCs w:val="22"/>
        </w:rPr>
        <w:t>algorithms,</w:t>
      </w:r>
      <w:r w:rsidRPr="00DD7BD1">
        <w:rPr>
          <w:rFonts w:cs="Calibri"/>
          <w:color w:val="auto"/>
          <w:spacing w:val="-5"/>
          <w:w w:val="110"/>
          <w:szCs w:val="22"/>
        </w:rPr>
        <w:t xml:space="preserve"> </w:t>
      </w:r>
      <w:r w:rsidRPr="00DD7BD1">
        <w:rPr>
          <w:rFonts w:cs="Calibri"/>
          <w:color w:val="auto"/>
          <w:w w:val="110"/>
          <w:szCs w:val="22"/>
        </w:rPr>
        <w:t>statistics,</w:t>
      </w:r>
      <w:r w:rsidRPr="00DD7BD1">
        <w:rPr>
          <w:rFonts w:cs="Calibri"/>
          <w:color w:val="auto"/>
          <w:spacing w:val="-5"/>
          <w:w w:val="110"/>
          <w:szCs w:val="22"/>
        </w:rPr>
        <w:t xml:space="preserve"> </w:t>
      </w:r>
      <w:r w:rsidRPr="00DD7BD1">
        <w:rPr>
          <w:rFonts w:cs="Calibri"/>
          <w:color w:val="auto"/>
          <w:w w:val="110"/>
          <w:szCs w:val="22"/>
        </w:rPr>
        <w:t>and/or</w:t>
      </w:r>
      <w:r w:rsidRPr="00DD7BD1">
        <w:rPr>
          <w:rFonts w:cs="Calibri"/>
          <w:color w:val="auto"/>
          <w:spacing w:val="-7"/>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data</w:t>
      </w:r>
      <w:r w:rsidRPr="00DD7BD1">
        <w:rPr>
          <w:rFonts w:cs="Calibri"/>
          <w:color w:val="auto"/>
          <w:spacing w:val="-10"/>
          <w:w w:val="110"/>
          <w:szCs w:val="22"/>
        </w:rPr>
        <w:t xml:space="preserve"> </w:t>
      </w:r>
      <w:r w:rsidRPr="00DD7BD1">
        <w:rPr>
          <w:rFonts w:cs="Calibri"/>
          <w:color w:val="auto"/>
          <w:w w:val="110"/>
          <w:szCs w:val="22"/>
        </w:rPr>
        <w:t>processing”</w:t>
      </w:r>
      <w:r w:rsidRPr="00DD7BD1">
        <w:rPr>
          <w:rFonts w:cs="Calibri"/>
          <w:color w:val="auto"/>
          <w:spacing w:val="-3"/>
          <w:w w:val="110"/>
          <w:szCs w:val="22"/>
        </w:rPr>
        <w:t xml:space="preserve"> </w:t>
      </w:r>
      <w:r w:rsidRPr="00DD7BD1">
        <w:rPr>
          <w:rFonts w:cs="Calibri"/>
          <w:color w:val="auto"/>
          <w:w w:val="110"/>
          <w:szCs w:val="22"/>
        </w:rPr>
        <w:t>to facilitate</w:t>
      </w:r>
      <w:r w:rsidRPr="00DD7BD1">
        <w:rPr>
          <w:rFonts w:cs="Calibri"/>
          <w:color w:val="auto"/>
          <w:spacing w:val="-3"/>
          <w:w w:val="110"/>
          <w:szCs w:val="22"/>
        </w:rPr>
        <w:t xml:space="preserve"> </w:t>
      </w:r>
      <w:r w:rsidRPr="00DD7BD1">
        <w:rPr>
          <w:rFonts w:cs="Calibri"/>
          <w:color w:val="auto"/>
          <w:w w:val="110"/>
          <w:szCs w:val="22"/>
        </w:rPr>
        <w:t>human</w:t>
      </w:r>
      <w:r w:rsidRPr="00DD7BD1">
        <w:rPr>
          <w:rFonts w:cs="Calibri"/>
          <w:color w:val="auto"/>
          <w:spacing w:val="-5"/>
          <w:w w:val="110"/>
          <w:szCs w:val="22"/>
        </w:rPr>
        <w:t xml:space="preserve"> </w:t>
      </w:r>
      <w:r w:rsidRPr="00DD7BD1">
        <w:rPr>
          <w:rFonts w:cs="Calibri"/>
          <w:color w:val="auto"/>
          <w:w w:val="110"/>
          <w:szCs w:val="22"/>
        </w:rPr>
        <w:t>decision-making</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respect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recruitment,</w:t>
      </w:r>
      <w:r w:rsidRPr="00DD7BD1">
        <w:rPr>
          <w:rFonts w:cs="Calibri"/>
          <w:color w:val="auto"/>
          <w:spacing w:val="-5"/>
          <w:w w:val="110"/>
          <w:szCs w:val="22"/>
        </w:rPr>
        <w:t xml:space="preserve"> </w:t>
      </w:r>
      <w:r w:rsidRPr="00DD7BD1">
        <w:rPr>
          <w:rFonts w:cs="Calibri"/>
          <w:color w:val="auto"/>
          <w:w w:val="110"/>
          <w:szCs w:val="22"/>
        </w:rPr>
        <w:t>hiring,</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
          <w:w w:val="110"/>
          <w:szCs w:val="22"/>
        </w:rPr>
        <w:t xml:space="preserve"> </w:t>
      </w:r>
      <w:r w:rsidRPr="00DD7BD1">
        <w:rPr>
          <w:rFonts w:cs="Calibri"/>
          <w:color w:val="auto"/>
          <w:w w:val="110"/>
          <w:szCs w:val="22"/>
        </w:rPr>
        <w:t>promotion</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job</w:t>
      </w:r>
      <w:r w:rsidRPr="00DD7BD1">
        <w:rPr>
          <w:rFonts w:cs="Calibri"/>
          <w:color w:val="auto"/>
          <w:spacing w:val="-3"/>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 xml:space="preserve">or </w:t>
      </w:r>
      <w:r w:rsidRPr="00DD7BD1">
        <w:rPr>
          <w:rFonts w:cs="Calibri"/>
          <w:color w:val="auto"/>
          <w:spacing w:val="-2"/>
          <w:w w:val="115"/>
          <w:szCs w:val="22"/>
        </w:rPr>
        <w:t>employees.</w:t>
      </w:r>
    </w:p>
    <w:p w14:paraId="3BFA49DE"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Prohibited Discrimination Due to Use of an ADS and Reasonable Accommodations</w:t>
      </w:r>
    </w:p>
    <w:p w14:paraId="0BF0ACB5" w14:textId="77777777" w:rsidR="00A85628" w:rsidRPr="00DD7BD1" w:rsidRDefault="00A85628" w:rsidP="00A85628">
      <w:pPr>
        <w:pStyle w:val="BodyText"/>
        <w:spacing w:before="9" w:line="249" w:lineRule="auto"/>
        <w:ind w:right="-90"/>
        <w:jc w:val="left"/>
        <w:rPr>
          <w:rFonts w:cs="Calibri"/>
          <w:color w:val="auto"/>
          <w:szCs w:val="22"/>
        </w:rPr>
      </w:pPr>
      <w:r w:rsidRPr="00DD7BD1">
        <w:rPr>
          <w:rFonts w:cs="Calibri"/>
          <w:color w:val="auto"/>
          <w:w w:val="110"/>
          <w:szCs w:val="22"/>
        </w:rPr>
        <w:t>The regulations</w:t>
      </w:r>
      <w:r w:rsidRPr="00DD7BD1">
        <w:rPr>
          <w:rFonts w:cs="Calibri"/>
          <w:color w:val="auto"/>
          <w:spacing w:val="-1"/>
          <w:w w:val="110"/>
          <w:szCs w:val="22"/>
        </w:rPr>
        <w:t xml:space="preserve"> </w:t>
      </w:r>
      <w:r w:rsidRPr="00DD7BD1">
        <w:rPr>
          <w:rFonts w:cs="Calibri"/>
          <w:color w:val="auto"/>
          <w:w w:val="110"/>
          <w:szCs w:val="22"/>
        </w:rPr>
        <w:t>prohibit</w:t>
      </w:r>
      <w:r w:rsidRPr="00DD7BD1">
        <w:rPr>
          <w:rFonts w:cs="Calibri"/>
          <w:color w:val="auto"/>
          <w:spacing w:val="-2"/>
          <w:w w:val="110"/>
          <w:szCs w:val="22"/>
        </w:rPr>
        <w:t xml:space="preserve"> </w:t>
      </w:r>
      <w:r w:rsidRPr="00DD7BD1">
        <w:rPr>
          <w:rFonts w:cs="Calibri"/>
          <w:color w:val="auto"/>
          <w:w w:val="110"/>
          <w:szCs w:val="22"/>
        </w:rPr>
        <w:t>employers from</w:t>
      </w:r>
      <w:r w:rsidRPr="00DD7BD1">
        <w:rPr>
          <w:rFonts w:cs="Calibri"/>
          <w:color w:val="auto"/>
          <w:spacing w:val="-1"/>
          <w:w w:val="110"/>
          <w:szCs w:val="22"/>
        </w:rPr>
        <w:t xml:space="preserve"> </w:t>
      </w:r>
      <w:r w:rsidRPr="00DD7BD1">
        <w:rPr>
          <w:rFonts w:cs="Calibri"/>
          <w:color w:val="auto"/>
          <w:w w:val="110"/>
          <w:szCs w:val="22"/>
        </w:rPr>
        <w:t>using</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ADS</w:t>
      </w:r>
      <w:r w:rsidRPr="00DD7BD1">
        <w:rPr>
          <w:rFonts w:cs="Calibri"/>
          <w:color w:val="auto"/>
          <w:spacing w:val="-1"/>
          <w:w w:val="110"/>
          <w:szCs w:val="22"/>
        </w:rPr>
        <w:t xml:space="preserve"> </w:t>
      </w:r>
      <w:r w:rsidRPr="00DD7BD1">
        <w:rPr>
          <w:rFonts w:cs="Calibri"/>
          <w:color w:val="auto"/>
          <w:w w:val="110"/>
          <w:szCs w:val="22"/>
        </w:rPr>
        <w:t>or</w:t>
      </w:r>
      <w:r w:rsidRPr="00DD7BD1">
        <w:rPr>
          <w:rFonts w:cs="Calibri"/>
          <w:color w:val="auto"/>
          <w:spacing w:val="-2"/>
          <w:w w:val="110"/>
          <w:szCs w:val="22"/>
        </w:rPr>
        <w:t xml:space="preserve"> </w:t>
      </w:r>
      <w:r w:rsidRPr="00DD7BD1">
        <w:rPr>
          <w:rFonts w:cs="Calibri"/>
          <w:color w:val="auto"/>
          <w:w w:val="110"/>
          <w:szCs w:val="22"/>
        </w:rPr>
        <w:t>selection criteria</w:t>
      </w:r>
      <w:r w:rsidRPr="00DD7BD1">
        <w:rPr>
          <w:rFonts w:cs="Calibri"/>
          <w:color w:val="auto"/>
          <w:spacing w:val="-2"/>
          <w:w w:val="110"/>
          <w:szCs w:val="22"/>
        </w:rPr>
        <w:t xml:space="preserve"> </w:t>
      </w:r>
      <w:r w:rsidRPr="00DD7BD1">
        <w:rPr>
          <w:rFonts w:cs="Calibri"/>
          <w:color w:val="auto"/>
          <w:w w:val="110"/>
          <w:szCs w:val="22"/>
        </w:rPr>
        <w:t>(including a</w:t>
      </w:r>
      <w:r w:rsidRPr="00DD7BD1">
        <w:rPr>
          <w:rFonts w:cs="Calibri"/>
          <w:color w:val="auto"/>
          <w:spacing w:val="-2"/>
          <w:w w:val="110"/>
          <w:szCs w:val="22"/>
        </w:rPr>
        <w:t xml:space="preserve"> </w:t>
      </w:r>
      <w:r w:rsidRPr="00DD7BD1">
        <w:rPr>
          <w:rFonts w:cs="Calibri"/>
          <w:color w:val="auto"/>
          <w:w w:val="110"/>
          <w:szCs w:val="22"/>
        </w:rPr>
        <w:t>qualification standard, employment test, or proxy) that discriminates against applicants or employees based on protected categories defined</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FEHA.</w:t>
      </w:r>
      <w:r w:rsidRPr="00DD7BD1">
        <w:rPr>
          <w:rFonts w:cs="Calibri"/>
          <w:color w:val="auto"/>
          <w:spacing w:val="-12"/>
          <w:w w:val="110"/>
          <w:szCs w:val="22"/>
        </w:rPr>
        <w:t xml:space="preserve"> </w:t>
      </w:r>
      <w:r w:rsidRPr="00DD7BD1">
        <w:rPr>
          <w:rFonts w:cs="Calibri"/>
          <w:color w:val="auto"/>
          <w:w w:val="120"/>
          <w:szCs w:val="22"/>
        </w:rPr>
        <w:t>§</w:t>
      </w:r>
      <w:r w:rsidRPr="00DD7BD1">
        <w:rPr>
          <w:rFonts w:cs="Calibri"/>
          <w:color w:val="auto"/>
          <w:spacing w:val="-17"/>
          <w:w w:val="120"/>
          <w:szCs w:val="22"/>
        </w:rPr>
        <w:t xml:space="preserve"> </w:t>
      </w:r>
      <w:r w:rsidRPr="00DD7BD1">
        <w:rPr>
          <w:rFonts w:cs="Calibri"/>
          <w:color w:val="auto"/>
          <w:w w:val="110"/>
          <w:szCs w:val="22"/>
        </w:rPr>
        <w:t>11009(f).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term</w:t>
      </w:r>
      <w:r w:rsidRPr="00DD7BD1">
        <w:rPr>
          <w:rFonts w:cs="Calibri"/>
          <w:color w:val="auto"/>
          <w:spacing w:val="-11"/>
          <w:w w:val="110"/>
          <w:szCs w:val="22"/>
        </w:rPr>
        <w:t xml:space="preserve"> </w:t>
      </w:r>
      <w:r w:rsidRPr="00DD7BD1">
        <w:rPr>
          <w:rFonts w:cs="Calibri"/>
          <w:color w:val="auto"/>
          <w:w w:val="110"/>
          <w:szCs w:val="22"/>
        </w:rPr>
        <w:t>“proxy”</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9"/>
          <w:w w:val="110"/>
          <w:szCs w:val="22"/>
        </w:rPr>
        <w:t xml:space="preserve"> </w:t>
      </w:r>
      <w:r w:rsidRPr="00DD7BD1">
        <w:rPr>
          <w:rFonts w:cs="Calibri"/>
          <w:color w:val="auto"/>
          <w:w w:val="110"/>
          <w:szCs w:val="22"/>
        </w:rPr>
        <w:t>newly</w:t>
      </w:r>
      <w:r w:rsidRPr="00DD7BD1">
        <w:rPr>
          <w:rFonts w:cs="Calibri"/>
          <w:color w:val="auto"/>
          <w:spacing w:val="-11"/>
          <w:w w:val="110"/>
          <w:szCs w:val="22"/>
        </w:rPr>
        <w:t xml:space="preserve"> </w:t>
      </w:r>
      <w:r w:rsidRPr="00DD7BD1">
        <w:rPr>
          <w:rFonts w:cs="Calibri"/>
          <w:color w:val="auto"/>
          <w:w w:val="110"/>
          <w:szCs w:val="22"/>
        </w:rPr>
        <w:t>defined</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characteristic</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category</w:t>
      </w:r>
      <w:r w:rsidRPr="00DD7BD1">
        <w:rPr>
          <w:rFonts w:cs="Calibri"/>
          <w:color w:val="auto"/>
          <w:spacing w:val="-9"/>
          <w:w w:val="110"/>
          <w:szCs w:val="22"/>
        </w:rPr>
        <w:t xml:space="preserve"> </w:t>
      </w:r>
      <w:r w:rsidRPr="00DD7BD1">
        <w:rPr>
          <w:rFonts w:cs="Calibri"/>
          <w:color w:val="auto"/>
          <w:w w:val="110"/>
          <w:szCs w:val="22"/>
        </w:rPr>
        <w:t>closely correlated</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7"/>
          <w:w w:val="110"/>
          <w:szCs w:val="22"/>
        </w:rPr>
        <w:t xml:space="preserve"> </w:t>
      </w:r>
      <w:r w:rsidRPr="00DD7BD1">
        <w:rPr>
          <w:rFonts w:cs="Calibri"/>
          <w:color w:val="auto"/>
          <w:w w:val="110"/>
          <w:szCs w:val="22"/>
        </w:rPr>
        <w:t>category</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6"/>
          <w:w w:val="110"/>
          <w:szCs w:val="22"/>
        </w:rPr>
        <w:t xml:space="preserve"> </w:t>
      </w:r>
      <w:r w:rsidRPr="00DD7BD1">
        <w:rPr>
          <w:rFonts w:cs="Calibri"/>
          <w:color w:val="auto"/>
          <w:w w:val="110"/>
          <w:szCs w:val="22"/>
        </w:rPr>
        <w:t>FEHA.</w:t>
      </w:r>
      <w:r w:rsidRPr="00DD7BD1">
        <w:rPr>
          <w:rFonts w:cs="Calibri"/>
          <w:color w:val="auto"/>
          <w:spacing w:val="-17"/>
          <w:w w:val="110"/>
          <w:szCs w:val="22"/>
        </w:rPr>
        <w:t xml:space="preserve"> </w:t>
      </w:r>
      <w:r w:rsidRPr="00DD7BD1">
        <w:rPr>
          <w:rFonts w:cs="Calibri"/>
          <w:color w:val="auto"/>
          <w:w w:val="120"/>
          <w:szCs w:val="22"/>
        </w:rPr>
        <w:t>§</w:t>
      </w:r>
      <w:r w:rsidRPr="00DD7BD1">
        <w:rPr>
          <w:rFonts w:cs="Calibri"/>
          <w:color w:val="auto"/>
          <w:spacing w:val="-19"/>
          <w:w w:val="120"/>
          <w:szCs w:val="22"/>
        </w:rPr>
        <w:t xml:space="preserve"> </w:t>
      </w:r>
      <w:r w:rsidRPr="00DD7BD1">
        <w:rPr>
          <w:rFonts w:cs="Calibri"/>
          <w:color w:val="auto"/>
          <w:w w:val="110"/>
          <w:szCs w:val="22"/>
        </w:rPr>
        <w:t>11008(l).</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further</w:t>
      </w:r>
      <w:r w:rsidRPr="00DD7BD1">
        <w:rPr>
          <w:rFonts w:cs="Calibri"/>
          <w:color w:val="auto"/>
          <w:spacing w:val="-16"/>
          <w:w w:val="110"/>
          <w:szCs w:val="22"/>
        </w:rPr>
        <w:t xml:space="preserve"> </w:t>
      </w:r>
      <w:r w:rsidRPr="00DD7BD1">
        <w:rPr>
          <w:rFonts w:cs="Calibri"/>
          <w:color w:val="auto"/>
          <w:w w:val="110"/>
          <w:szCs w:val="22"/>
        </w:rPr>
        <w:t>make</w:t>
      </w:r>
      <w:r w:rsidRPr="00DD7BD1">
        <w:rPr>
          <w:rFonts w:cs="Calibri"/>
          <w:color w:val="auto"/>
          <w:spacing w:val="-17"/>
          <w:w w:val="110"/>
          <w:szCs w:val="22"/>
        </w:rPr>
        <w:t xml:space="preserve"> </w:t>
      </w:r>
      <w:r w:rsidRPr="00DD7BD1">
        <w:rPr>
          <w:rFonts w:cs="Calibri"/>
          <w:color w:val="auto"/>
          <w:w w:val="110"/>
          <w:szCs w:val="22"/>
        </w:rPr>
        <w:t>clear</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use of facially neutral ADS selection tools that have an “adverse impact” on applicants or employees based on a protected</w:t>
      </w:r>
      <w:r w:rsidRPr="00DD7BD1">
        <w:rPr>
          <w:rFonts w:cs="Calibri"/>
          <w:color w:val="auto"/>
          <w:spacing w:val="-10"/>
          <w:w w:val="110"/>
          <w:szCs w:val="22"/>
        </w:rPr>
        <w:t xml:space="preserve"> </w:t>
      </w:r>
      <w:r w:rsidRPr="00DD7BD1">
        <w:rPr>
          <w:rFonts w:cs="Calibri"/>
          <w:color w:val="auto"/>
          <w:w w:val="110"/>
          <w:szCs w:val="22"/>
        </w:rPr>
        <w:t>characteristic</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8"/>
          <w:w w:val="110"/>
          <w:szCs w:val="22"/>
        </w:rPr>
        <w:t xml:space="preserve"> </w:t>
      </w:r>
      <w:r w:rsidRPr="00DD7BD1">
        <w:rPr>
          <w:rFonts w:cs="Calibri"/>
          <w:color w:val="auto"/>
          <w:w w:val="110"/>
          <w:szCs w:val="22"/>
        </w:rPr>
        <w:t>impermissible</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0"/>
          <w:w w:val="110"/>
          <w:szCs w:val="22"/>
        </w:rPr>
        <w:t xml:space="preserve"> </w:t>
      </w:r>
      <w:r w:rsidRPr="00DD7BD1">
        <w:rPr>
          <w:rFonts w:cs="Calibri"/>
          <w:color w:val="auto"/>
          <w:w w:val="110"/>
          <w:szCs w:val="22"/>
        </w:rPr>
        <w:t>FEHA</w:t>
      </w:r>
      <w:r w:rsidRPr="00DD7BD1">
        <w:rPr>
          <w:rFonts w:cs="Calibri"/>
          <w:color w:val="auto"/>
          <w:spacing w:val="-9"/>
          <w:w w:val="110"/>
          <w:szCs w:val="22"/>
        </w:rPr>
        <w:t xml:space="preserve"> </w:t>
      </w:r>
      <w:r w:rsidRPr="00DD7BD1">
        <w:rPr>
          <w:rFonts w:cs="Calibri"/>
          <w:color w:val="auto"/>
          <w:w w:val="110"/>
          <w:szCs w:val="22"/>
        </w:rPr>
        <w:t>unless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entity</w:t>
      </w:r>
      <w:r w:rsidRPr="00DD7BD1">
        <w:rPr>
          <w:rFonts w:cs="Calibri"/>
          <w:color w:val="auto"/>
          <w:spacing w:val="-7"/>
          <w:w w:val="110"/>
          <w:szCs w:val="22"/>
        </w:rPr>
        <w:t xml:space="preserve"> </w:t>
      </w:r>
      <w:r w:rsidRPr="00DD7BD1">
        <w:rPr>
          <w:rFonts w:cs="Calibri"/>
          <w:color w:val="auto"/>
          <w:w w:val="110"/>
          <w:szCs w:val="22"/>
        </w:rPr>
        <w:t>can</w:t>
      </w:r>
      <w:r w:rsidRPr="00DD7BD1">
        <w:rPr>
          <w:rFonts w:cs="Calibri"/>
          <w:color w:val="auto"/>
          <w:spacing w:val="-9"/>
          <w:w w:val="110"/>
          <w:szCs w:val="22"/>
        </w:rPr>
        <w:t xml:space="preserve"> </w:t>
      </w:r>
      <w:r w:rsidRPr="00DD7BD1">
        <w:rPr>
          <w:rFonts w:cs="Calibri"/>
          <w:color w:val="auto"/>
          <w:w w:val="110"/>
          <w:szCs w:val="22"/>
        </w:rPr>
        <w:t>show</w:t>
      </w:r>
      <w:r w:rsidRPr="00DD7BD1">
        <w:rPr>
          <w:rFonts w:cs="Calibri"/>
          <w:color w:val="auto"/>
          <w:spacing w:val="-11"/>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the selectin</w:t>
      </w:r>
      <w:r w:rsidRPr="00DD7BD1">
        <w:rPr>
          <w:rFonts w:cs="Calibri"/>
          <w:color w:val="auto"/>
          <w:spacing w:val="-2"/>
          <w:w w:val="110"/>
          <w:szCs w:val="22"/>
        </w:rPr>
        <w:t xml:space="preserve"> </w:t>
      </w:r>
      <w:r w:rsidRPr="00DD7BD1">
        <w:rPr>
          <w:rFonts w:cs="Calibri"/>
          <w:color w:val="auto"/>
          <w:w w:val="110"/>
          <w:szCs w:val="22"/>
        </w:rPr>
        <w:t>practice</w:t>
      </w:r>
      <w:r w:rsidRPr="00DD7BD1">
        <w:rPr>
          <w:rFonts w:cs="Calibri"/>
          <w:color w:val="auto"/>
          <w:spacing w:val="-2"/>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“job-related and consistent</w:t>
      </w:r>
      <w:r w:rsidRPr="00DD7BD1">
        <w:rPr>
          <w:rFonts w:cs="Calibri"/>
          <w:color w:val="auto"/>
          <w:spacing w:val="-2"/>
          <w:w w:val="110"/>
          <w:szCs w:val="22"/>
        </w:rPr>
        <w:t xml:space="preserve"> </w:t>
      </w:r>
      <w:r w:rsidRPr="00DD7BD1">
        <w:rPr>
          <w:rFonts w:cs="Calibri"/>
          <w:color w:val="auto"/>
          <w:w w:val="110"/>
          <w:szCs w:val="22"/>
        </w:rPr>
        <w:t>with business</w:t>
      </w:r>
      <w:r w:rsidRPr="00DD7BD1">
        <w:rPr>
          <w:rFonts w:cs="Calibri"/>
          <w:color w:val="auto"/>
          <w:spacing w:val="-1"/>
          <w:w w:val="110"/>
          <w:szCs w:val="22"/>
        </w:rPr>
        <w:t xml:space="preserve"> </w:t>
      </w:r>
      <w:r w:rsidRPr="00DD7BD1">
        <w:rPr>
          <w:rFonts w:cs="Calibri"/>
          <w:color w:val="auto"/>
          <w:w w:val="110"/>
          <w:szCs w:val="22"/>
        </w:rPr>
        <w:t>necessity.”</w:t>
      </w:r>
      <w:r w:rsidRPr="00DD7BD1">
        <w:rPr>
          <w:rFonts w:cs="Calibri"/>
          <w:color w:val="auto"/>
          <w:spacing w:val="-2"/>
          <w:w w:val="110"/>
          <w:szCs w:val="22"/>
        </w:rPr>
        <w:t xml:space="preserve"> </w:t>
      </w:r>
      <w:r w:rsidRPr="00DD7BD1">
        <w:rPr>
          <w:rFonts w:cs="Calibri"/>
          <w:color w:val="auto"/>
          <w:w w:val="120"/>
          <w:szCs w:val="22"/>
        </w:rPr>
        <w:t>§</w:t>
      </w:r>
      <w:r w:rsidRPr="00DD7BD1">
        <w:rPr>
          <w:rFonts w:cs="Calibri"/>
          <w:color w:val="auto"/>
          <w:spacing w:val="-8"/>
          <w:w w:val="120"/>
          <w:szCs w:val="22"/>
        </w:rPr>
        <w:t xml:space="preserve"> </w:t>
      </w:r>
      <w:r w:rsidRPr="00DD7BD1">
        <w:rPr>
          <w:rFonts w:cs="Calibri"/>
          <w:color w:val="auto"/>
          <w:w w:val="110"/>
          <w:szCs w:val="22"/>
        </w:rPr>
        <w:t>11017(e).</w:t>
      </w:r>
      <w:r w:rsidRPr="00DD7BD1">
        <w:rPr>
          <w:rFonts w:cs="Calibri"/>
          <w:color w:val="auto"/>
          <w:spacing w:val="-2"/>
          <w:w w:val="110"/>
          <w:szCs w:val="22"/>
        </w:rPr>
        <w:t xml:space="preserve"> </w:t>
      </w:r>
      <w:r w:rsidRPr="00DD7BD1">
        <w:rPr>
          <w:rFonts w:cs="Calibri"/>
          <w:color w:val="auto"/>
          <w:w w:val="110"/>
          <w:szCs w:val="22"/>
        </w:rPr>
        <w:t>Thus, as with</w:t>
      </w:r>
      <w:r w:rsidRPr="00DD7BD1">
        <w:rPr>
          <w:rFonts w:cs="Calibri"/>
          <w:color w:val="auto"/>
          <w:spacing w:val="-1"/>
          <w:w w:val="110"/>
          <w:szCs w:val="22"/>
        </w:rPr>
        <w:t xml:space="preserve"> </w:t>
      </w:r>
      <w:r w:rsidRPr="00DD7BD1">
        <w:rPr>
          <w:rFonts w:cs="Calibri"/>
          <w:color w:val="auto"/>
          <w:w w:val="110"/>
          <w:szCs w:val="22"/>
        </w:rPr>
        <w:t>other</w:t>
      </w:r>
      <w:r w:rsidRPr="00DD7BD1">
        <w:rPr>
          <w:rFonts w:cs="Calibri"/>
          <w:color w:val="auto"/>
          <w:spacing w:val="-2"/>
          <w:w w:val="110"/>
          <w:szCs w:val="22"/>
        </w:rPr>
        <w:t xml:space="preserve"> </w:t>
      </w:r>
      <w:r w:rsidRPr="00DD7BD1">
        <w:rPr>
          <w:rFonts w:cs="Calibri"/>
          <w:color w:val="auto"/>
          <w:w w:val="110"/>
          <w:szCs w:val="22"/>
        </w:rPr>
        <w:t>selection criteria used in</w:t>
      </w:r>
      <w:r w:rsidRPr="00DD7BD1">
        <w:rPr>
          <w:rFonts w:cs="Calibri"/>
          <w:color w:val="auto"/>
          <w:spacing w:val="-2"/>
          <w:w w:val="110"/>
          <w:szCs w:val="22"/>
        </w:rPr>
        <w:t xml:space="preserve"> </w:t>
      </w:r>
      <w:r w:rsidRPr="00DD7BD1">
        <w:rPr>
          <w:rFonts w:cs="Calibri"/>
          <w:color w:val="auto"/>
          <w:w w:val="110"/>
          <w:szCs w:val="22"/>
        </w:rPr>
        <w:t>making</w:t>
      </w:r>
      <w:r w:rsidRPr="00DD7BD1">
        <w:rPr>
          <w:rFonts w:cs="Calibri"/>
          <w:color w:val="auto"/>
          <w:spacing w:val="-1"/>
          <w:w w:val="110"/>
          <w:szCs w:val="22"/>
        </w:rPr>
        <w:t xml:space="preserve"> </w:t>
      </w:r>
      <w:r w:rsidRPr="00DD7BD1">
        <w:rPr>
          <w:rFonts w:cs="Calibri"/>
          <w:color w:val="auto"/>
          <w:w w:val="110"/>
          <w:szCs w:val="22"/>
        </w:rPr>
        <w:t>employment decisions,</w:t>
      </w:r>
      <w:r w:rsidRPr="00DD7BD1">
        <w:rPr>
          <w:rFonts w:cs="Calibri"/>
          <w:color w:val="auto"/>
          <w:spacing w:val="-2"/>
          <w:w w:val="110"/>
          <w:szCs w:val="22"/>
        </w:rPr>
        <w:t xml:space="preserve"> </w:t>
      </w:r>
      <w:r w:rsidRPr="00DD7BD1">
        <w:rPr>
          <w:rFonts w:cs="Calibri"/>
          <w:color w:val="auto"/>
          <w:w w:val="110"/>
          <w:szCs w:val="22"/>
        </w:rPr>
        <w:t>even if an employer does</w:t>
      </w:r>
      <w:r w:rsidRPr="00DD7BD1">
        <w:rPr>
          <w:rFonts w:cs="Calibri"/>
          <w:color w:val="auto"/>
          <w:spacing w:val="-1"/>
          <w:w w:val="110"/>
          <w:szCs w:val="22"/>
        </w:rPr>
        <w:t xml:space="preserve"> </w:t>
      </w:r>
      <w:r w:rsidRPr="00DD7BD1">
        <w:rPr>
          <w:rFonts w:cs="Calibri"/>
          <w:color w:val="auto"/>
          <w:w w:val="110"/>
          <w:szCs w:val="22"/>
        </w:rPr>
        <w:t>not intentionally</w:t>
      </w:r>
      <w:r w:rsidRPr="00DD7BD1">
        <w:rPr>
          <w:rFonts w:cs="Calibri"/>
          <w:color w:val="auto"/>
          <w:spacing w:val="-1"/>
          <w:w w:val="110"/>
          <w:szCs w:val="22"/>
        </w:rPr>
        <w:t xml:space="preserve"> </w:t>
      </w:r>
      <w:r w:rsidRPr="00DD7BD1">
        <w:rPr>
          <w:rFonts w:cs="Calibri"/>
          <w:color w:val="auto"/>
          <w:w w:val="110"/>
          <w:szCs w:val="22"/>
        </w:rPr>
        <w:t>use an</w:t>
      </w:r>
      <w:r w:rsidRPr="00DD7BD1">
        <w:rPr>
          <w:rFonts w:cs="Calibri"/>
          <w:color w:val="auto"/>
          <w:spacing w:val="-2"/>
          <w:w w:val="110"/>
          <w:szCs w:val="22"/>
        </w:rPr>
        <w:t xml:space="preserve"> </w:t>
      </w:r>
      <w:r w:rsidRPr="00DD7BD1">
        <w:rPr>
          <w:rFonts w:cs="Calibri"/>
          <w:color w:val="auto"/>
          <w:w w:val="110"/>
          <w:szCs w:val="22"/>
        </w:rPr>
        <w:t>ADS (including AI)</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discriminate</w:t>
      </w:r>
      <w:r w:rsidRPr="00DD7BD1">
        <w:rPr>
          <w:rFonts w:cs="Calibri"/>
          <w:color w:val="auto"/>
          <w:spacing w:val="-11"/>
          <w:w w:val="110"/>
          <w:szCs w:val="22"/>
        </w:rPr>
        <w:t xml:space="preserve"> </w:t>
      </w:r>
      <w:r w:rsidRPr="00DD7BD1">
        <w:rPr>
          <w:rFonts w:cs="Calibri"/>
          <w:color w:val="auto"/>
          <w:w w:val="110"/>
          <w:szCs w:val="22"/>
        </w:rPr>
        <w:t>among</w:t>
      </w:r>
      <w:r w:rsidRPr="00DD7BD1">
        <w:rPr>
          <w:rFonts w:cs="Calibri"/>
          <w:color w:val="auto"/>
          <w:spacing w:val="-9"/>
          <w:w w:val="110"/>
          <w:szCs w:val="22"/>
        </w:rPr>
        <w:t xml:space="preserve"> </w:t>
      </w:r>
      <w:r w:rsidRPr="00DD7BD1">
        <w:rPr>
          <w:rFonts w:cs="Calibri"/>
          <w:color w:val="auto"/>
          <w:w w:val="110"/>
          <w:szCs w:val="22"/>
        </w:rPr>
        <w:t>applicants</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liable</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violating</w:t>
      </w:r>
      <w:r w:rsidRPr="00DD7BD1">
        <w:rPr>
          <w:rFonts w:cs="Calibri"/>
          <w:color w:val="auto"/>
          <w:spacing w:val="-9"/>
          <w:w w:val="110"/>
          <w:szCs w:val="22"/>
        </w:rPr>
        <w:t xml:space="preserve"> </w:t>
      </w:r>
      <w:r w:rsidRPr="00DD7BD1">
        <w:rPr>
          <w:rFonts w:cs="Calibri"/>
          <w:color w:val="auto"/>
          <w:w w:val="110"/>
          <w:szCs w:val="22"/>
        </w:rPr>
        <w:t>FEHA</w:t>
      </w:r>
      <w:r w:rsidRPr="00DD7BD1">
        <w:rPr>
          <w:rFonts w:cs="Calibri"/>
          <w:color w:val="auto"/>
          <w:spacing w:val="-10"/>
          <w:w w:val="110"/>
          <w:szCs w:val="22"/>
        </w:rPr>
        <w:t xml:space="preserve"> </w:t>
      </w:r>
      <w:r w:rsidRPr="00DD7BD1">
        <w:rPr>
          <w:rFonts w:cs="Calibri"/>
          <w:color w:val="auto"/>
          <w:w w:val="110"/>
          <w:szCs w:val="22"/>
        </w:rPr>
        <w:t>if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ADS</w:t>
      </w:r>
      <w:r w:rsidRPr="00DD7BD1">
        <w:rPr>
          <w:rFonts w:cs="Calibri"/>
          <w:color w:val="auto"/>
          <w:spacing w:val="-9"/>
          <w:w w:val="110"/>
          <w:szCs w:val="22"/>
        </w:rPr>
        <w:t xml:space="preserve"> </w:t>
      </w:r>
      <w:r w:rsidRPr="00DD7BD1">
        <w:rPr>
          <w:rFonts w:cs="Calibri"/>
          <w:color w:val="auto"/>
          <w:w w:val="110"/>
          <w:szCs w:val="22"/>
        </w:rPr>
        <w:t>creates disparate impact.</w:t>
      </w:r>
    </w:p>
    <w:p w14:paraId="2B1E542D" w14:textId="77777777" w:rsidR="00A85628" w:rsidRPr="00DD7BD1" w:rsidRDefault="00A85628" w:rsidP="00A85628">
      <w:pPr>
        <w:pStyle w:val="BodyText"/>
        <w:spacing w:line="249" w:lineRule="auto"/>
        <w:ind w:right="-180"/>
        <w:jc w:val="left"/>
        <w:rPr>
          <w:rFonts w:cs="Calibri"/>
          <w:color w:val="auto"/>
          <w:szCs w:val="22"/>
        </w:rPr>
      </w:pP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caution</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example,</w:t>
      </w:r>
      <w:r w:rsidRPr="00DD7BD1">
        <w:rPr>
          <w:rFonts w:cs="Calibri"/>
          <w:color w:val="auto"/>
          <w:spacing w:val="-8"/>
          <w:w w:val="110"/>
          <w:szCs w:val="22"/>
        </w:rPr>
        <w:t xml:space="preserve"> </w:t>
      </w:r>
      <w:r w:rsidRPr="00DD7BD1">
        <w:rPr>
          <w:rFonts w:cs="Calibri"/>
          <w:color w:val="auto"/>
          <w:w w:val="110"/>
          <w:szCs w:val="22"/>
        </w:rPr>
        <w:t>measures</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applicant’s</w:t>
      </w:r>
      <w:r w:rsidRPr="00DD7BD1">
        <w:rPr>
          <w:rFonts w:cs="Calibri"/>
          <w:color w:val="auto"/>
          <w:spacing w:val="-7"/>
          <w:w w:val="110"/>
          <w:szCs w:val="22"/>
        </w:rPr>
        <w:t xml:space="preserve"> </w:t>
      </w:r>
      <w:r w:rsidRPr="00DD7BD1">
        <w:rPr>
          <w:rFonts w:cs="Calibri"/>
          <w:color w:val="auto"/>
          <w:w w:val="110"/>
          <w:szCs w:val="22"/>
        </w:rPr>
        <w:t>skill,</w:t>
      </w:r>
      <w:r w:rsidRPr="00DD7BD1">
        <w:rPr>
          <w:rFonts w:cs="Calibri"/>
          <w:color w:val="auto"/>
          <w:spacing w:val="-5"/>
          <w:w w:val="110"/>
          <w:szCs w:val="22"/>
        </w:rPr>
        <w:t xml:space="preserve"> </w:t>
      </w:r>
      <w:r w:rsidRPr="00DD7BD1">
        <w:rPr>
          <w:rFonts w:cs="Calibri"/>
          <w:color w:val="auto"/>
          <w:w w:val="110"/>
          <w:szCs w:val="22"/>
        </w:rPr>
        <w:t>dexterity,</w:t>
      </w:r>
      <w:r w:rsidRPr="00DD7BD1">
        <w:rPr>
          <w:rFonts w:cs="Calibri"/>
          <w:color w:val="auto"/>
          <w:spacing w:val="-5"/>
          <w:w w:val="110"/>
          <w:szCs w:val="22"/>
        </w:rPr>
        <w:t xml:space="preserve"> </w:t>
      </w:r>
      <w:r w:rsidRPr="00DD7BD1">
        <w:rPr>
          <w:rFonts w:cs="Calibri"/>
          <w:color w:val="auto"/>
          <w:w w:val="110"/>
          <w:szCs w:val="22"/>
        </w:rPr>
        <w:t>reaction time, and/or other</w:t>
      </w:r>
      <w:r w:rsidRPr="00DD7BD1">
        <w:rPr>
          <w:rFonts w:cs="Calibri"/>
          <w:color w:val="auto"/>
          <w:spacing w:val="-1"/>
          <w:w w:val="110"/>
          <w:szCs w:val="22"/>
        </w:rPr>
        <w:t xml:space="preserve"> </w:t>
      </w:r>
      <w:r w:rsidRPr="00DD7BD1">
        <w:rPr>
          <w:rFonts w:cs="Calibri"/>
          <w:color w:val="auto"/>
          <w:w w:val="110"/>
          <w:szCs w:val="22"/>
        </w:rPr>
        <w:t>abilities or characteristics may</w:t>
      </w:r>
      <w:r w:rsidRPr="00DD7BD1">
        <w:rPr>
          <w:rFonts w:cs="Calibri"/>
          <w:color w:val="auto"/>
          <w:spacing w:val="-1"/>
          <w:w w:val="110"/>
          <w:szCs w:val="22"/>
        </w:rPr>
        <w:t xml:space="preserve"> </w:t>
      </w:r>
      <w:r w:rsidRPr="00DD7BD1">
        <w:rPr>
          <w:rFonts w:cs="Calibri"/>
          <w:color w:val="auto"/>
          <w:w w:val="110"/>
          <w:szCs w:val="22"/>
        </w:rPr>
        <w:t>discriminate against</w:t>
      </w:r>
      <w:r w:rsidRPr="00DD7BD1">
        <w:rPr>
          <w:rFonts w:cs="Calibri"/>
          <w:color w:val="auto"/>
          <w:spacing w:val="-1"/>
          <w:w w:val="110"/>
          <w:szCs w:val="22"/>
        </w:rPr>
        <w:t xml:space="preserve"> </w:t>
      </w:r>
      <w:r w:rsidRPr="00DD7BD1">
        <w:rPr>
          <w:rFonts w:cs="Calibri"/>
          <w:color w:val="auto"/>
          <w:w w:val="110"/>
          <w:szCs w:val="22"/>
        </w:rPr>
        <w:t>individuals with certain disability or other protected</w:t>
      </w:r>
      <w:r w:rsidRPr="00DD7BD1">
        <w:rPr>
          <w:rFonts w:cs="Calibri"/>
          <w:color w:val="auto"/>
          <w:spacing w:val="-7"/>
          <w:w w:val="110"/>
          <w:szCs w:val="22"/>
        </w:rPr>
        <w:t xml:space="preserve"> </w:t>
      </w:r>
      <w:r w:rsidRPr="00DD7BD1">
        <w:rPr>
          <w:rFonts w:cs="Calibri"/>
          <w:color w:val="auto"/>
          <w:w w:val="110"/>
          <w:szCs w:val="22"/>
        </w:rPr>
        <w:t>characteristics.</w:t>
      </w:r>
      <w:r w:rsidRPr="00DD7BD1">
        <w:rPr>
          <w:rFonts w:cs="Calibri"/>
          <w:color w:val="auto"/>
          <w:spacing w:val="-5"/>
          <w:w w:val="110"/>
          <w:szCs w:val="22"/>
        </w:rPr>
        <w:t xml:space="preserve"> </w:t>
      </w:r>
      <w:r w:rsidRPr="00DD7BD1">
        <w:rPr>
          <w:rFonts w:cs="Calibri"/>
          <w:color w:val="auto"/>
          <w:w w:val="120"/>
          <w:szCs w:val="22"/>
        </w:rPr>
        <w:t>§</w:t>
      </w:r>
      <w:r w:rsidRPr="00DD7BD1">
        <w:rPr>
          <w:rFonts w:cs="Calibri"/>
          <w:color w:val="auto"/>
          <w:spacing w:val="-11"/>
          <w:w w:val="120"/>
          <w:szCs w:val="22"/>
        </w:rPr>
        <w:t xml:space="preserve"> </w:t>
      </w:r>
      <w:r w:rsidRPr="00DD7BD1">
        <w:rPr>
          <w:rFonts w:cs="Calibri"/>
          <w:color w:val="auto"/>
          <w:w w:val="110"/>
          <w:szCs w:val="22"/>
        </w:rPr>
        <w:t>11016(c)(5).</w:t>
      </w:r>
      <w:r w:rsidRPr="00DD7BD1">
        <w:rPr>
          <w:rFonts w:cs="Calibri"/>
          <w:color w:val="auto"/>
          <w:spacing w:val="-8"/>
          <w:w w:val="110"/>
          <w:szCs w:val="22"/>
        </w:rPr>
        <w:t xml:space="preserve"> </w:t>
      </w:r>
      <w:r w:rsidRPr="00DD7BD1">
        <w:rPr>
          <w:rFonts w:cs="Calibri"/>
          <w:color w:val="auto"/>
          <w:w w:val="110"/>
          <w:szCs w:val="22"/>
        </w:rPr>
        <w:t>Similarly,</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example,</w:t>
      </w:r>
      <w:r w:rsidRPr="00DD7BD1">
        <w:rPr>
          <w:rFonts w:cs="Calibri"/>
          <w:color w:val="auto"/>
          <w:spacing w:val="-4"/>
          <w:w w:val="110"/>
          <w:szCs w:val="22"/>
        </w:rPr>
        <w:t xml:space="preserve"> </w:t>
      </w:r>
      <w:r w:rsidRPr="00DD7BD1">
        <w:rPr>
          <w:rFonts w:cs="Calibri"/>
          <w:color w:val="auto"/>
          <w:w w:val="110"/>
          <w:szCs w:val="22"/>
        </w:rPr>
        <w:t>analyzes</w:t>
      </w:r>
      <w:r w:rsidRPr="00DD7BD1">
        <w:rPr>
          <w:rFonts w:cs="Calibri"/>
          <w:color w:val="auto"/>
          <w:spacing w:val="-6"/>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tone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voice, facial</w:t>
      </w:r>
      <w:r w:rsidRPr="00DD7BD1">
        <w:rPr>
          <w:rFonts w:cs="Calibri"/>
          <w:color w:val="auto"/>
          <w:spacing w:val="-8"/>
          <w:w w:val="110"/>
          <w:szCs w:val="22"/>
        </w:rPr>
        <w:t xml:space="preserve"> </w:t>
      </w:r>
      <w:r w:rsidRPr="00DD7BD1">
        <w:rPr>
          <w:rFonts w:cs="Calibri"/>
          <w:color w:val="auto"/>
          <w:w w:val="110"/>
          <w:szCs w:val="22"/>
        </w:rPr>
        <w:t>expressions,</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t>
      </w:r>
      <w:r w:rsidRPr="00DD7BD1">
        <w:rPr>
          <w:rFonts w:cs="Calibri"/>
          <w:color w:val="auto"/>
          <w:spacing w:val="-6"/>
          <w:w w:val="110"/>
          <w:szCs w:val="22"/>
        </w:rPr>
        <w:t xml:space="preserve"> </w:t>
      </w:r>
      <w:r w:rsidRPr="00DD7BD1">
        <w:rPr>
          <w:rFonts w:cs="Calibri"/>
          <w:color w:val="auto"/>
          <w:w w:val="110"/>
          <w:szCs w:val="22"/>
        </w:rPr>
        <w:t>physical</w:t>
      </w:r>
      <w:r w:rsidRPr="00DD7BD1">
        <w:rPr>
          <w:rFonts w:cs="Calibri"/>
          <w:color w:val="auto"/>
          <w:spacing w:val="-8"/>
          <w:w w:val="110"/>
          <w:szCs w:val="22"/>
        </w:rPr>
        <w:t xml:space="preserve"> </w:t>
      </w:r>
      <w:r w:rsidRPr="00DD7BD1">
        <w:rPr>
          <w:rFonts w:cs="Calibri"/>
          <w:color w:val="auto"/>
          <w:w w:val="110"/>
          <w:szCs w:val="22"/>
        </w:rPr>
        <w:t>characteristics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behavior</w:t>
      </w:r>
      <w:r w:rsidRPr="00DD7BD1">
        <w:rPr>
          <w:rFonts w:cs="Calibri"/>
          <w:color w:val="auto"/>
          <w:spacing w:val="-10"/>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discriminate</w:t>
      </w:r>
      <w:r w:rsidRPr="00DD7BD1">
        <w:rPr>
          <w:rFonts w:cs="Calibri"/>
          <w:color w:val="auto"/>
          <w:spacing w:val="-8"/>
          <w:w w:val="110"/>
          <w:szCs w:val="22"/>
        </w:rPr>
        <w:t xml:space="preserve"> </w:t>
      </w:r>
      <w:r w:rsidRPr="00DD7BD1">
        <w:rPr>
          <w:rFonts w:cs="Calibri"/>
          <w:color w:val="auto"/>
          <w:w w:val="110"/>
          <w:szCs w:val="22"/>
        </w:rPr>
        <w:t>against</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6"/>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spacing w:val="-2"/>
          <w:w w:val="110"/>
          <w:szCs w:val="22"/>
        </w:rPr>
        <w:t xml:space="preserve">applicants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race,</w:t>
      </w:r>
      <w:r w:rsidRPr="00DD7BD1">
        <w:rPr>
          <w:rFonts w:cs="Calibri"/>
          <w:color w:val="auto"/>
          <w:spacing w:val="-16"/>
          <w:w w:val="110"/>
          <w:szCs w:val="22"/>
        </w:rPr>
        <w:t xml:space="preserve"> </w:t>
      </w:r>
      <w:r w:rsidRPr="00DD7BD1">
        <w:rPr>
          <w:rFonts w:cs="Calibri"/>
          <w:color w:val="auto"/>
          <w:w w:val="110"/>
          <w:szCs w:val="22"/>
        </w:rPr>
        <w:t>national</w:t>
      </w:r>
      <w:r w:rsidRPr="00DD7BD1">
        <w:rPr>
          <w:rFonts w:cs="Calibri"/>
          <w:color w:val="auto"/>
          <w:spacing w:val="-15"/>
          <w:w w:val="110"/>
          <w:szCs w:val="22"/>
        </w:rPr>
        <w:t xml:space="preserve"> </w:t>
      </w:r>
      <w:r w:rsidRPr="00DD7BD1">
        <w:rPr>
          <w:rFonts w:cs="Calibri"/>
          <w:color w:val="auto"/>
          <w:w w:val="110"/>
          <w:szCs w:val="22"/>
        </w:rPr>
        <w:t>origin,</w:t>
      </w:r>
      <w:r w:rsidRPr="00DD7BD1">
        <w:rPr>
          <w:rFonts w:cs="Calibri"/>
          <w:color w:val="auto"/>
          <w:spacing w:val="-14"/>
          <w:w w:val="110"/>
          <w:szCs w:val="22"/>
        </w:rPr>
        <w:t xml:space="preserve"> </w:t>
      </w:r>
      <w:r w:rsidRPr="00DD7BD1">
        <w:rPr>
          <w:rFonts w:cs="Calibri"/>
          <w:color w:val="auto"/>
          <w:w w:val="110"/>
          <w:szCs w:val="22"/>
        </w:rPr>
        <w:t>gender,</w:t>
      </w:r>
      <w:r w:rsidRPr="00DD7BD1">
        <w:rPr>
          <w:rFonts w:cs="Calibri"/>
          <w:color w:val="auto"/>
          <w:spacing w:val="-17"/>
          <w:w w:val="110"/>
          <w:szCs w:val="22"/>
        </w:rPr>
        <w:t xml:space="preserve"> </w:t>
      </w:r>
      <w:r w:rsidRPr="00DD7BD1">
        <w:rPr>
          <w:rFonts w:cs="Calibri"/>
          <w:color w:val="auto"/>
          <w:w w:val="110"/>
          <w:szCs w:val="22"/>
        </w:rPr>
        <w:t>disability,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characteristics.</w:t>
      </w:r>
      <w:r w:rsidRPr="00DD7BD1">
        <w:rPr>
          <w:rFonts w:cs="Calibri"/>
          <w:color w:val="auto"/>
          <w:spacing w:val="-15"/>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11016(d)(1).</w:t>
      </w:r>
      <w:r w:rsidRPr="00DD7BD1">
        <w:rPr>
          <w:rFonts w:cs="Calibri"/>
          <w:color w:val="auto"/>
          <w:spacing w:val="-14"/>
          <w:w w:val="110"/>
          <w:szCs w:val="22"/>
        </w:rPr>
        <w:t xml:space="preserve"> </w:t>
      </w:r>
      <w:r w:rsidRPr="00DD7BD1">
        <w:rPr>
          <w:rFonts w:cs="Calibri"/>
          <w:color w:val="auto"/>
          <w:w w:val="110"/>
          <w:szCs w:val="22"/>
        </w:rPr>
        <w:t>Accordingly,</w:t>
      </w:r>
      <w:r w:rsidRPr="00DD7BD1">
        <w:rPr>
          <w:rFonts w:cs="Calibri"/>
          <w:color w:val="auto"/>
          <w:spacing w:val="-15"/>
          <w:w w:val="110"/>
          <w:szCs w:val="22"/>
        </w:rPr>
        <w:t xml:space="preserve"> </w:t>
      </w:r>
      <w:r w:rsidRPr="00DD7BD1">
        <w:rPr>
          <w:rFonts w:cs="Calibri"/>
          <w:color w:val="auto"/>
          <w:w w:val="110"/>
          <w:szCs w:val="22"/>
        </w:rPr>
        <w:t>to avoid unlawful discrimination, employers may need to provide reasonable accommodation to an applicant or employee consistent with the FEHA’s religious creed and disability protections. §§ 11016(c)(5) and (d)(1).</w:t>
      </w:r>
    </w:p>
    <w:p w14:paraId="45901392"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Anti-Bias Testing as Affirmative Defense</w:t>
      </w:r>
    </w:p>
    <w:p w14:paraId="434B9DFB" w14:textId="77777777" w:rsidR="00A85628" w:rsidRPr="00DD7BD1" w:rsidRDefault="00A85628" w:rsidP="00A85628">
      <w:pPr>
        <w:pStyle w:val="BodyText"/>
        <w:spacing w:before="9" w:line="247" w:lineRule="auto"/>
        <w:jc w:val="left"/>
        <w:rPr>
          <w:rFonts w:cs="Calibri"/>
          <w:color w:val="auto"/>
          <w:szCs w:val="22"/>
        </w:rPr>
      </w:pP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defend</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discrimination</w:t>
      </w:r>
      <w:r w:rsidRPr="00DD7BD1">
        <w:rPr>
          <w:rFonts w:cs="Calibri"/>
          <w:color w:val="auto"/>
          <w:spacing w:val="-4"/>
          <w:w w:val="110"/>
          <w:szCs w:val="22"/>
        </w:rPr>
        <w:t xml:space="preserve"> </w:t>
      </w:r>
      <w:r w:rsidRPr="00DD7BD1">
        <w:rPr>
          <w:rFonts w:cs="Calibri"/>
          <w:color w:val="auto"/>
          <w:w w:val="110"/>
          <w:szCs w:val="22"/>
        </w:rPr>
        <w:t>claim</w:t>
      </w:r>
      <w:r w:rsidRPr="00DD7BD1">
        <w:rPr>
          <w:rFonts w:cs="Calibri"/>
          <w:color w:val="auto"/>
          <w:spacing w:val="-7"/>
          <w:w w:val="110"/>
          <w:szCs w:val="22"/>
        </w:rPr>
        <w:t xml:space="preserve"> </w:t>
      </w:r>
      <w:r w:rsidRPr="00DD7BD1">
        <w:rPr>
          <w:rFonts w:cs="Calibri"/>
          <w:color w:val="auto"/>
          <w:w w:val="110"/>
          <w:szCs w:val="22"/>
        </w:rPr>
        <w:t>based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4"/>
          <w:w w:val="110"/>
          <w:szCs w:val="22"/>
        </w:rPr>
        <w:t xml:space="preserve"> </w:t>
      </w:r>
      <w:r w:rsidRPr="00DD7BD1">
        <w:rPr>
          <w:rFonts w:cs="Calibri"/>
          <w:color w:val="auto"/>
          <w:w w:val="110"/>
          <w:szCs w:val="22"/>
        </w:rPr>
        <w:t>can show</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performed</w:t>
      </w:r>
      <w:r w:rsidRPr="00DD7BD1">
        <w:rPr>
          <w:rFonts w:cs="Calibri"/>
          <w:color w:val="auto"/>
          <w:spacing w:val="-8"/>
          <w:w w:val="110"/>
          <w:szCs w:val="22"/>
        </w:rPr>
        <w:t xml:space="preserve"> </w:t>
      </w:r>
      <w:r w:rsidRPr="00DD7BD1">
        <w:rPr>
          <w:rFonts w:cs="Calibri"/>
          <w:color w:val="auto"/>
          <w:w w:val="110"/>
          <w:szCs w:val="22"/>
        </w:rPr>
        <w:t>“anti-bias</w:t>
      </w:r>
      <w:r w:rsidRPr="00DD7BD1">
        <w:rPr>
          <w:rFonts w:cs="Calibri"/>
          <w:color w:val="auto"/>
          <w:spacing w:val="-8"/>
          <w:w w:val="110"/>
          <w:szCs w:val="22"/>
        </w:rPr>
        <w:t xml:space="preserve"> </w:t>
      </w:r>
      <w:r w:rsidRPr="00DD7BD1">
        <w:rPr>
          <w:rFonts w:cs="Calibri"/>
          <w:color w:val="auto"/>
          <w:w w:val="110"/>
          <w:szCs w:val="22"/>
        </w:rPr>
        <w:t>testing</w:t>
      </w:r>
      <w:r w:rsidRPr="00DD7BD1">
        <w:rPr>
          <w:rFonts w:cs="Calibri"/>
          <w:color w:val="auto"/>
          <w:spacing w:val="-10"/>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similar</w:t>
      </w:r>
      <w:r w:rsidRPr="00DD7BD1">
        <w:rPr>
          <w:rFonts w:cs="Calibri"/>
          <w:color w:val="auto"/>
          <w:spacing w:val="-9"/>
          <w:w w:val="110"/>
          <w:szCs w:val="22"/>
        </w:rPr>
        <w:t xml:space="preserve"> </w:t>
      </w:r>
      <w:r w:rsidRPr="00DD7BD1">
        <w:rPr>
          <w:rFonts w:cs="Calibri"/>
          <w:color w:val="auto"/>
          <w:w w:val="110"/>
          <w:szCs w:val="22"/>
        </w:rPr>
        <w:t>proactive</w:t>
      </w:r>
      <w:r w:rsidRPr="00DD7BD1">
        <w:rPr>
          <w:rFonts w:cs="Calibri"/>
          <w:color w:val="auto"/>
          <w:spacing w:val="-11"/>
          <w:w w:val="110"/>
          <w:szCs w:val="22"/>
        </w:rPr>
        <w:t xml:space="preserve"> </w:t>
      </w:r>
      <w:r w:rsidRPr="00DD7BD1">
        <w:rPr>
          <w:rFonts w:cs="Calibri"/>
          <w:color w:val="auto"/>
          <w:w w:val="110"/>
          <w:szCs w:val="22"/>
        </w:rPr>
        <w:t>efforts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avoid</w:t>
      </w:r>
      <w:r w:rsidRPr="00DD7BD1">
        <w:rPr>
          <w:rFonts w:cs="Calibri"/>
          <w:color w:val="auto"/>
          <w:spacing w:val="-8"/>
          <w:w w:val="110"/>
          <w:szCs w:val="22"/>
        </w:rPr>
        <w:t xml:space="preserve"> </w:t>
      </w:r>
      <w:r w:rsidRPr="00DD7BD1">
        <w:rPr>
          <w:rFonts w:cs="Calibri"/>
          <w:color w:val="auto"/>
          <w:w w:val="110"/>
          <w:szCs w:val="22"/>
        </w:rPr>
        <w:t>unlawful</w:t>
      </w:r>
      <w:r w:rsidRPr="00DD7BD1">
        <w:rPr>
          <w:rFonts w:cs="Calibri"/>
          <w:color w:val="auto"/>
          <w:spacing w:val="-12"/>
          <w:w w:val="110"/>
          <w:szCs w:val="22"/>
        </w:rPr>
        <w:t xml:space="preserve"> </w:t>
      </w:r>
      <w:r w:rsidRPr="00DD7BD1">
        <w:rPr>
          <w:rFonts w:cs="Calibri"/>
          <w:color w:val="auto"/>
          <w:w w:val="110"/>
          <w:szCs w:val="22"/>
        </w:rPr>
        <w:t>discrimination”</w:t>
      </w:r>
      <w:r w:rsidRPr="00DD7BD1">
        <w:rPr>
          <w:rFonts w:cs="Calibri"/>
          <w:color w:val="auto"/>
          <w:spacing w:val="-10"/>
          <w:w w:val="110"/>
          <w:szCs w:val="22"/>
        </w:rPr>
        <w:t xml:space="preserve"> </w:t>
      </w:r>
      <w:r w:rsidRPr="00DD7BD1">
        <w:rPr>
          <w:rFonts w:cs="Calibri"/>
          <w:color w:val="auto"/>
          <w:w w:val="110"/>
          <w:szCs w:val="22"/>
        </w:rPr>
        <w:t>prior</w:t>
      </w:r>
      <w:r w:rsidRPr="00DD7BD1">
        <w:rPr>
          <w:rFonts w:cs="Calibri"/>
          <w:color w:val="auto"/>
          <w:spacing w:val="-12"/>
          <w:w w:val="110"/>
          <w:szCs w:val="22"/>
        </w:rPr>
        <w:t xml:space="preserve"> </w:t>
      </w:r>
      <w:r w:rsidRPr="00DD7BD1">
        <w:rPr>
          <w:rFonts w:cs="Calibri"/>
          <w:color w:val="auto"/>
          <w:w w:val="110"/>
          <w:szCs w:val="22"/>
        </w:rPr>
        <w:t xml:space="preserve">to and after adopting an ADS. </w:t>
      </w:r>
      <w:r w:rsidRPr="00DD7BD1">
        <w:rPr>
          <w:rFonts w:cs="Calibri"/>
          <w:color w:val="auto"/>
          <w:w w:val="120"/>
          <w:szCs w:val="22"/>
        </w:rPr>
        <w:t>§</w:t>
      </w:r>
      <w:r w:rsidRPr="00DD7BD1">
        <w:rPr>
          <w:rFonts w:cs="Calibri"/>
          <w:color w:val="auto"/>
          <w:spacing w:val="-1"/>
          <w:w w:val="120"/>
          <w:szCs w:val="22"/>
        </w:rPr>
        <w:t xml:space="preserve"> </w:t>
      </w:r>
      <w:r w:rsidRPr="00DD7BD1">
        <w:rPr>
          <w:rFonts w:cs="Calibri"/>
          <w:color w:val="auto"/>
          <w:w w:val="110"/>
          <w:szCs w:val="22"/>
        </w:rPr>
        <w:t>11009(f). The regulations identify six relevant aspects of such testing, including the quality,</w:t>
      </w:r>
      <w:r w:rsidRPr="00DD7BD1">
        <w:rPr>
          <w:rFonts w:cs="Calibri"/>
          <w:color w:val="auto"/>
          <w:spacing w:val="-3"/>
          <w:w w:val="110"/>
          <w:szCs w:val="22"/>
        </w:rPr>
        <w:t xml:space="preserve"> </w:t>
      </w:r>
      <w:r w:rsidRPr="00DD7BD1">
        <w:rPr>
          <w:rFonts w:cs="Calibri"/>
          <w:color w:val="auto"/>
          <w:w w:val="110"/>
          <w:szCs w:val="22"/>
        </w:rPr>
        <w:t>efficacy,</w:t>
      </w:r>
      <w:r w:rsidRPr="00DD7BD1">
        <w:rPr>
          <w:rFonts w:cs="Calibri"/>
          <w:color w:val="auto"/>
          <w:spacing w:val="-3"/>
          <w:w w:val="110"/>
          <w:szCs w:val="22"/>
        </w:rPr>
        <w:t xml:space="preserve"> </w:t>
      </w:r>
      <w:r w:rsidRPr="00DD7BD1">
        <w:rPr>
          <w:rFonts w:cs="Calibri"/>
          <w:color w:val="auto"/>
          <w:w w:val="110"/>
          <w:szCs w:val="22"/>
        </w:rPr>
        <w:t>recency,</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scope</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such</w:t>
      </w:r>
      <w:r w:rsidRPr="00DD7BD1">
        <w:rPr>
          <w:rFonts w:cs="Calibri"/>
          <w:color w:val="auto"/>
          <w:spacing w:val="-1"/>
          <w:w w:val="110"/>
          <w:szCs w:val="22"/>
        </w:rPr>
        <w:t xml:space="preserve"> </w:t>
      </w:r>
      <w:r w:rsidRPr="00DD7BD1">
        <w:rPr>
          <w:rFonts w:cs="Calibri"/>
          <w:color w:val="auto"/>
          <w:w w:val="110"/>
          <w:szCs w:val="22"/>
        </w:rPr>
        <w:t>testing,</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well</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results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testing</w:t>
      </w:r>
      <w:r w:rsidRPr="00DD7BD1">
        <w:rPr>
          <w:rFonts w:cs="Calibri"/>
          <w:color w:val="auto"/>
          <w:spacing w:val="-4"/>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due</w:t>
      </w:r>
      <w:r w:rsidRPr="00DD7BD1">
        <w:rPr>
          <w:rFonts w:cs="Calibri"/>
          <w:color w:val="auto"/>
          <w:spacing w:val="-5"/>
          <w:w w:val="110"/>
          <w:szCs w:val="22"/>
        </w:rPr>
        <w:t xml:space="preserve"> </w:t>
      </w:r>
      <w:r w:rsidRPr="00DD7BD1">
        <w:rPr>
          <w:rFonts w:cs="Calibri"/>
          <w:color w:val="auto"/>
          <w:w w:val="110"/>
          <w:szCs w:val="22"/>
        </w:rPr>
        <w:t>diligence</w:t>
      </w:r>
      <w:r w:rsidRPr="00DD7BD1">
        <w:rPr>
          <w:rFonts w:cs="Calibri"/>
          <w:color w:val="auto"/>
          <w:spacing w:val="-5"/>
          <w:w w:val="110"/>
          <w:szCs w:val="22"/>
        </w:rPr>
        <w:t xml:space="preserve"> </w:t>
      </w:r>
      <w:r w:rsidRPr="00DD7BD1">
        <w:rPr>
          <w:rFonts w:cs="Calibri"/>
          <w:color w:val="auto"/>
          <w:w w:val="110"/>
          <w:szCs w:val="22"/>
        </w:rPr>
        <w:t>and the</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response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r w:rsidRPr="00DD7BD1">
        <w:rPr>
          <w:rFonts w:cs="Calibri"/>
          <w:color w:val="auto"/>
          <w:spacing w:val="-11"/>
          <w:w w:val="110"/>
          <w:szCs w:val="22"/>
        </w:rPr>
        <w:t xml:space="preserve"> </w:t>
      </w:r>
      <w:r w:rsidRPr="00DD7BD1">
        <w:rPr>
          <w:rFonts w:cs="Calibri"/>
          <w:color w:val="auto"/>
          <w:w w:val="110"/>
          <w:szCs w:val="22"/>
        </w:rPr>
        <w:t>(e.g.,</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how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responded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p>
    <w:p w14:paraId="46F88D23" w14:textId="77777777" w:rsidR="00A85628" w:rsidRPr="00DD7BD1" w:rsidRDefault="00A85628" w:rsidP="00A85628">
      <w:pPr>
        <w:pStyle w:val="Heading4"/>
        <w:spacing w:before="201"/>
        <w:ind w:right="-90"/>
        <w:rPr>
          <w:rFonts w:ascii="Calibri" w:hAnsi="Calibri" w:cs="Calibri"/>
          <w:color w:val="auto"/>
        </w:rPr>
      </w:pPr>
      <w:r w:rsidRPr="00DD7BD1">
        <w:rPr>
          <w:rFonts w:ascii="Calibri" w:eastAsia="Times New Roman" w:hAnsi="Calibri" w:cs="Calibri"/>
          <w:b/>
          <w:bCs/>
          <w:i w:val="0"/>
          <w:iCs w:val="0"/>
          <w:color w:val="auto"/>
        </w:rPr>
        <w:t>Extended Record Retention Requirements</w:t>
      </w:r>
    </w:p>
    <w:p w14:paraId="484B4138" w14:textId="77777777" w:rsidR="00A85628" w:rsidRPr="00DD7BD1" w:rsidRDefault="00A85628" w:rsidP="00A85628">
      <w:pPr>
        <w:pStyle w:val="BodyText"/>
        <w:spacing w:before="9" w:line="247" w:lineRule="auto"/>
        <w:ind w:right="-90"/>
        <w:jc w:val="left"/>
        <w:rPr>
          <w:rFonts w:cs="Calibri"/>
          <w:color w:val="auto"/>
          <w:szCs w:val="22"/>
        </w:rPr>
      </w:pPr>
      <w:r w:rsidRPr="00DD7BD1">
        <w:rPr>
          <w:rFonts w:cs="Calibri"/>
          <w:color w:val="auto"/>
          <w:spacing w:val="-2"/>
          <w:w w:val="110"/>
          <w:szCs w:val="22"/>
        </w:rPr>
        <w:t>The</w:t>
      </w:r>
      <w:r w:rsidRPr="00DD7BD1">
        <w:rPr>
          <w:rFonts w:cs="Calibri"/>
          <w:color w:val="auto"/>
          <w:spacing w:val="-7"/>
          <w:w w:val="110"/>
          <w:szCs w:val="22"/>
        </w:rPr>
        <w:t xml:space="preserve"> </w:t>
      </w:r>
      <w:r w:rsidRPr="00DD7BD1">
        <w:rPr>
          <w:rFonts w:cs="Calibri"/>
          <w:color w:val="auto"/>
          <w:spacing w:val="-2"/>
          <w:w w:val="110"/>
          <w:szCs w:val="22"/>
        </w:rPr>
        <w:t>regulations</w:t>
      </w:r>
      <w:r w:rsidRPr="00DD7BD1">
        <w:rPr>
          <w:rFonts w:cs="Calibri"/>
          <w:color w:val="auto"/>
          <w:spacing w:val="-7"/>
          <w:w w:val="110"/>
          <w:szCs w:val="22"/>
        </w:rPr>
        <w:t xml:space="preserve"> </w:t>
      </w:r>
      <w:r w:rsidRPr="00DD7BD1">
        <w:rPr>
          <w:rFonts w:cs="Calibri"/>
          <w:color w:val="auto"/>
          <w:spacing w:val="-2"/>
          <w:w w:val="110"/>
          <w:szCs w:val="22"/>
        </w:rPr>
        <w:t>were</w:t>
      </w:r>
      <w:r w:rsidRPr="00DD7BD1">
        <w:rPr>
          <w:rFonts w:cs="Calibri"/>
          <w:color w:val="auto"/>
          <w:spacing w:val="-9"/>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amended</w:t>
      </w:r>
      <w:r w:rsidRPr="00DD7BD1">
        <w:rPr>
          <w:rFonts w:cs="Calibri"/>
          <w:color w:val="auto"/>
          <w:spacing w:val="-10"/>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require</w:t>
      </w:r>
      <w:r w:rsidRPr="00DD7BD1">
        <w:rPr>
          <w:rFonts w:cs="Calibri"/>
          <w:color w:val="auto"/>
          <w:spacing w:val="-10"/>
          <w:w w:val="110"/>
          <w:szCs w:val="22"/>
        </w:rPr>
        <w:t xml:space="preserve"> </w:t>
      </w:r>
      <w:r w:rsidRPr="00DD7BD1">
        <w:rPr>
          <w:rFonts w:cs="Calibri"/>
          <w:color w:val="auto"/>
          <w:spacing w:val="-2"/>
          <w:w w:val="110"/>
          <w:szCs w:val="22"/>
        </w:rPr>
        <w:t>employers</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7"/>
          <w:w w:val="110"/>
          <w:szCs w:val="22"/>
        </w:rPr>
        <w:t xml:space="preserve"> </w:t>
      </w:r>
      <w:r w:rsidRPr="00DD7BD1">
        <w:rPr>
          <w:rFonts w:cs="Calibri"/>
          <w:color w:val="auto"/>
          <w:spacing w:val="-2"/>
          <w:w w:val="110"/>
          <w:szCs w:val="22"/>
        </w:rPr>
        <w:t>covered</w:t>
      </w:r>
      <w:r w:rsidRPr="00DD7BD1">
        <w:rPr>
          <w:rFonts w:cs="Calibri"/>
          <w:color w:val="auto"/>
          <w:spacing w:val="-10"/>
          <w:w w:val="110"/>
          <w:szCs w:val="22"/>
        </w:rPr>
        <w:t xml:space="preserve"> </w:t>
      </w:r>
      <w:r w:rsidRPr="00DD7BD1">
        <w:rPr>
          <w:rFonts w:cs="Calibri"/>
          <w:color w:val="auto"/>
          <w:spacing w:val="-2"/>
          <w:w w:val="110"/>
          <w:szCs w:val="22"/>
        </w:rPr>
        <w:t>entities</w:t>
      </w:r>
      <w:r w:rsidRPr="00DD7BD1">
        <w:rPr>
          <w:rFonts w:cs="Calibri"/>
          <w:color w:val="auto"/>
          <w:spacing w:val="-6"/>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preserve</w:t>
      </w:r>
      <w:r w:rsidRPr="00DD7BD1">
        <w:rPr>
          <w:rFonts w:cs="Calibri"/>
          <w:color w:val="auto"/>
          <w:spacing w:val="-9"/>
          <w:w w:val="110"/>
          <w:szCs w:val="22"/>
        </w:rPr>
        <w:t xml:space="preserve"> </w:t>
      </w:r>
      <w:r w:rsidRPr="00DD7BD1">
        <w:rPr>
          <w:rFonts w:cs="Calibri"/>
          <w:color w:val="auto"/>
          <w:spacing w:val="-2"/>
          <w:w w:val="110"/>
          <w:szCs w:val="22"/>
        </w:rPr>
        <w:t>personnel</w:t>
      </w:r>
      <w:r w:rsidRPr="00DD7BD1">
        <w:rPr>
          <w:rFonts w:cs="Calibri"/>
          <w:color w:val="auto"/>
          <w:spacing w:val="-8"/>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 xml:space="preserve">other </w:t>
      </w:r>
      <w:r w:rsidRPr="00DD7BD1">
        <w:rPr>
          <w:rFonts w:cs="Calibri"/>
          <w:color w:val="auto"/>
          <w:w w:val="110"/>
          <w:szCs w:val="22"/>
        </w:rPr>
        <w:t>employment records subject to the following requirements:</w:t>
      </w:r>
    </w:p>
    <w:p w14:paraId="0A11E274"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5"/>
          <w:w w:val="110"/>
        </w:rPr>
        <w:t xml:space="preserve"> </w:t>
      </w:r>
      <w:r w:rsidRPr="00DD7BD1">
        <w:rPr>
          <w:rFonts w:ascii="Calibri" w:hAnsi="Calibri" w:cs="Calibri"/>
          <w:w w:val="110"/>
        </w:rPr>
        <w:t>be</w:t>
      </w:r>
      <w:r w:rsidRPr="00DD7BD1">
        <w:rPr>
          <w:rFonts w:ascii="Calibri" w:hAnsi="Calibri" w:cs="Calibri"/>
          <w:spacing w:val="-14"/>
          <w:w w:val="110"/>
        </w:rPr>
        <w:t xml:space="preserve"> </w:t>
      </w:r>
      <w:r w:rsidRPr="00DD7BD1">
        <w:rPr>
          <w:rFonts w:ascii="Calibri" w:hAnsi="Calibri" w:cs="Calibri"/>
          <w:w w:val="110"/>
        </w:rPr>
        <w:t>retained</w:t>
      </w:r>
      <w:r w:rsidRPr="00DD7BD1">
        <w:rPr>
          <w:rFonts w:ascii="Calibri" w:hAnsi="Calibri" w:cs="Calibri"/>
          <w:spacing w:val="-14"/>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at</w:t>
      </w:r>
      <w:r w:rsidRPr="00DD7BD1">
        <w:rPr>
          <w:rFonts w:ascii="Calibri" w:hAnsi="Calibri" w:cs="Calibri"/>
          <w:spacing w:val="-15"/>
          <w:w w:val="110"/>
        </w:rPr>
        <w:t xml:space="preserve"> </w:t>
      </w:r>
      <w:r w:rsidRPr="00DD7BD1">
        <w:rPr>
          <w:rFonts w:ascii="Calibri" w:hAnsi="Calibri" w:cs="Calibri"/>
          <w:w w:val="110"/>
        </w:rPr>
        <w:t>least</w:t>
      </w:r>
      <w:r w:rsidRPr="00DD7BD1">
        <w:rPr>
          <w:rFonts w:ascii="Calibri" w:hAnsi="Calibri" w:cs="Calibri"/>
          <w:spacing w:val="-15"/>
          <w:w w:val="110"/>
        </w:rPr>
        <w:t xml:space="preserve"> </w:t>
      </w:r>
      <w:r w:rsidRPr="00DD7BD1">
        <w:rPr>
          <w:rFonts w:ascii="Calibri" w:hAnsi="Calibri" w:cs="Calibri"/>
          <w:w w:val="110"/>
        </w:rPr>
        <w:t>four</w:t>
      </w:r>
      <w:r w:rsidRPr="00DD7BD1">
        <w:rPr>
          <w:rFonts w:ascii="Calibri" w:hAnsi="Calibri" w:cs="Calibri"/>
          <w:spacing w:val="-15"/>
          <w:w w:val="110"/>
        </w:rPr>
        <w:t xml:space="preserve"> </w:t>
      </w:r>
      <w:r w:rsidRPr="00DD7BD1">
        <w:rPr>
          <w:rFonts w:ascii="Calibri" w:hAnsi="Calibri" w:cs="Calibri"/>
          <w:w w:val="110"/>
        </w:rPr>
        <w:t>years</w:t>
      </w:r>
      <w:r w:rsidRPr="00DD7BD1">
        <w:rPr>
          <w:rFonts w:ascii="Calibri" w:hAnsi="Calibri" w:cs="Calibri"/>
          <w:spacing w:val="-16"/>
          <w:w w:val="110"/>
        </w:rPr>
        <w:t xml:space="preserve"> </w:t>
      </w:r>
      <w:r w:rsidRPr="00DD7BD1">
        <w:rPr>
          <w:rFonts w:ascii="Calibri" w:hAnsi="Calibri" w:cs="Calibri"/>
          <w:w w:val="110"/>
        </w:rPr>
        <w:t>from</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later</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(a)</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date</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record</w:t>
      </w:r>
      <w:r w:rsidRPr="00DD7BD1">
        <w:rPr>
          <w:rFonts w:ascii="Calibri" w:hAnsi="Calibri" w:cs="Calibri"/>
          <w:spacing w:val="-17"/>
          <w:w w:val="110"/>
        </w:rPr>
        <w:t xml:space="preserve"> </w:t>
      </w:r>
      <w:r w:rsidRPr="00DD7BD1">
        <w:rPr>
          <w:rFonts w:ascii="Calibri" w:hAnsi="Calibri" w:cs="Calibri"/>
          <w:w w:val="110"/>
        </w:rPr>
        <w:t>was</w:t>
      </w:r>
      <w:r w:rsidRPr="00DD7BD1">
        <w:rPr>
          <w:rFonts w:ascii="Calibri" w:hAnsi="Calibri" w:cs="Calibri"/>
          <w:spacing w:val="-16"/>
          <w:w w:val="110"/>
        </w:rPr>
        <w:t xml:space="preserve"> </w:t>
      </w:r>
      <w:r w:rsidRPr="00DD7BD1">
        <w:rPr>
          <w:rFonts w:ascii="Calibri" w:hAnsi="Calibri" w:cs="Calibri"/>
          <w:w w:val="110"/>
        </w:rPr>
        <w:t>made,</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 xml:space="preserve">(b)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date</w:t>
      </w:r>
      <w:r w:rsidRPr="00DD7BD1">
        <w:rPr>
          <w:rFonts w:ascii="Calibri" w:hAnsi="Calibri" w:cs="Calibri"/>
          <w:spacing w:val="-11"/>
          <w:w w:val="110"/>
        </w:rPr>
        <w:t xml:space="preserve"> </w:t>
      </w:r>
      <w:r w:rsidRPr="00DD7BD1">
        <w:rPr>
          <w:rFonts w:ascii="Calibri" w:hAnsi="Calibri" w:cs="Calibri"/>
          <w:spacing w:val="-2"/>
          <w:w w:val="110"/>
        </w:rPr>
        <w:t>of</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personnel</w:t>
      </w:r>
      <w:r w:rsidRPr="00DD7BD1">
        <w:rPr>
          <w:rFonts w:ascii="Calibri" w:hAnsi="Calibri" w:cs="Calibri"/>
          <w:spacing w:val="-12"/>
          <w:w w:val="110"/>
        </w:rPr>
        <w:t xml:space="preserve"> </w:t>
      </w:r>
      <w:r w:rsidRPr="00DD7BD1">
        <w:rPr>
          <w:rFonts w:ascii="Calibri" w:hAnsi="Calibri" w:cs="Calibri"/>
          <w:spacing w:val="-2"/>
          <w:w w:val="110"/>
        </w:rPr>
        <w:t>action</w:t>
      </w:r>
      <w:r w:rsidRPr="00DD7BD1">
        <w:rPr>
          <w:rFonts w:ascii="Calibri" w:hAnsi="Calibri" w:cs="Calibri"/>
          <w:spacing w:val="-5"/>
          <w:w w:val="110"/>
        </w:rPr>
        <w:t xml:space="preserve"> </w:t>
      </w:r>
      <w:r w:rsidRPr="00DD7BD1">
        <w:rPr>
          <w:rFonts w:ascii="Calibri" w:hAnsi="Calibri" w:cs="Calibri"/>
          <w:spacing w:val="-2"/>
          <w:w w:val="110"/>
        </w:rPr>
        <w:t>–</w:t>
      </w:r>
      <w:r w:rsidRPr="00DD7BD1">
        <w:rPr>
          <w:rFonts w:ascii="Calibri" w:hAnsi="Calibri" w:cs="Calibri"/>
          <w:spacing w:val="-12"/>
          <w:w w:val="110"/>
        </w:rPr>
        <w:t xml:space="preserve"> </w:t>
      </w:r>
      <w:r w:rsidRPr="00DD7BD1">
        <w:rPr>
          <w:rFonts w:ascii="Calibri" w:hAnsi="Calibri" w:cs="Calibri"/>
          <w:spacing w:val="-2"/>
          <w:w w:val="110"/>
        </w:rPr>
        <w:t>an</w:t>
      </w:r>
      <w:r w:rsidRPr="00DD7BD1">
        <w:rPr>
          <w:rFonts w:ascii="Calibri" w:hAnsi="Calibri" w:cs="Calibri"/>
          <w:spacing w:val="-8"/>
          <w:w w:val="110"/>
        </w:rPr>
        <w:t xml:space="preserve"> </w:t>
      </w:r>
      <w:r w:rsidRPr="00DD7BD1">
        <w:rPr>
          <w:rFonts w:ascii="Calibri" w:hAnsi="Calibri" w:cs="Calibri"/>
          <w:spacing w:val="-2"/>
          <w:w w:val="110"/>
        </w:rPr>
        <w:t>increase</w:t>
      </w:r>
      <w:r w:rsidRPr="00DD7BD1">
        <w:rPr>
          <w:rFonts w:ascii="Calibri" w:hAnsi="Calibri" w:cs="Calibri"/>
          <w:spacing w:val="-8"/>
          <w:w w:val="110"/>
        </w:rPr>
        <w:t xml:space="preserve"> </w:t>
      </w:r>
      <w:r w:rsidRPr="00DD7BD1">
        <w:rPr>
          <w:rFonts w:ascii="Calibri" w:hAnsi="Calibri" w:cs="Calibri"/>
          <w:spacing w:val="-2"/>
          <w:w w:val="110"/>
        </w:rPr>
        <w:t>from</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previous</w:t>
      </w:r>
      <w:r w:rsidRPr="00DD7BD1">
        <w:rPr>
          <w:rFonts w:ascii="Calibri" w:hAnsi="Calibri" w:cs="Calibri"/>
          <w:spacing w:val="-8"/>
          <w:w w:val="110"/>
        </w:rPr>
        <w:t xml:space="preserve"> </w:t>
      </w:r>
      <w:r w:rsidRPr="00DD7BD1">
        <w:rPr>
          <w:rFonts w:ascii="Calibri" w:hAnsi="Calibri" w:cs="Calibri"/>
          <w:spacing w:val="-2"/>
          <w:w w:val="110"/>
        </w:rPr>
        <w:t>requirement</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preserve</w:t>
      </w:r>
      <w:r w:rsidRPr="00DD7BD1">
        <w:rPr>
          <w:rFonts w:ascii="Calibri" w:hAnsi="Calibri" w:cs="Calibri"/>
          <w:spacing w:val="-8"/>
          <w:w w:val="110"/>
        </w:rPr>
        <w:t xml:space="preserve"> </w:t>
      </w:r>
      <w:r w:rsidRPr="00DD7BD1">
        <w:rPr>
          <w:rFonts w:ascii="Calibri" w:hAnsi="Calibri" w:cs="Calibri"/>
          <w:spacing w:val="-2"/>
          <w:w w:val="110"/>
        </w:rPr>
        <w:t>records</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two years;</w:t>
      </w:r>
    </w:p>
    <w:p w14:paraId="6B293F33"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 subject to this requirement include selection criteria, automated decision system data, applications,</w:t>
      </w:r>
      <w:r w:rsidRPr="00DD7BD1">
        <w:rPr>
          <w:rFonts w:ascii="Calibri" w:hAnsi="Calibri" w:cs="Calibri"/>
          <w:spacing w:val="-17"/>
          <w:w w:val="110"/>
        </w:rPr>
        <w:t xml:space="preserve"> </w:t>
      </w:r>
      <w:r w:rsidRPr="00DD7BD1">
        <w:rPr>
          <w:rFonts w:ascii="Calibri" w:hAnsi="Calibri" w:cs="Calibri"/>
          <w:w w:val="110"/>
        </w:rPr>
        <w:t>personnel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membership</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employment</w:t>
      </w:r>
      <w:r w:rsidRPr="00DD7BD1">
        <w:rPr>
          <w:rFonts w:ascii="Calibri" w:hAnsi="Calibri" w:cs="Calibri"/>
          <w:spacing w:val="-16"/>
          <w:w w:val="110"/>
        </w:rPr>
        <w:t xml:space="preserve"> </w:t>
      </w:r>
      <w:r w:rsidRPr="00DD7BD1">
        <w:rPr>
          <w:rFonts w:ascii="Calibri" w:hAnsi="Calibri" w:cs="Calibri"/>
          <w:w w:val="110"/>
        </w:rPr>
        <w:t>referral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other</w:t>
      </w:r>
      <w:r w:rsidRPr="00DD7BD1">
        <w:rPr>
          <w:rFonts w:ascii="Calibri" w:hAnsi="Calibri" w:cs="Calibri"/>
          <w:spacing w:val="-17"/>
          <w:w w:val="110"/>
        </w:rPr>
        <w:t xml:space="preserve"> </w:t>
      </w:r>
      <w:r w:rsidRPr="00DD7BD1">
        <w:rPr>
          <w:rFonts w:ascii="Calibri" w:hAnsi="Calibri" w:cs="Calibri"/>
          <w:w w:val="110"/>
        </w:rPr>
        <w:t xml:space="preserve">records </w:t>
      </w:r>
      <w:r w:rsidRPr="00DD7BD1">
        <w:rPr>
          <w:rFonts w:ascii="Calibri" w:hAnsi="Calibri" w:cs="Calibri"/>
        </w:rPr>
        <w:t>“created</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9"/>
        </w:rPr>
        <w:t xml:space="preserve"> </w:t>
      </w:r>
      <w:r w:rsidRPr="00DD7BD1">
        <w:rPr>
          <w:rFonts w:ascii="Calibri" w:hAnsi="Calibri" w:cs="Calibri"/>
        </w:rPr>
        <w:t>received</w:t>
      </w:r>
      <w:r w:rsidRPr="00DD7BD1">
        <w:rPr>
          <w:rFonts w:ascii="Calibri" w:hAnsi="Calibri" w:cs="Calibri"/>
          <w:spacing w:val="40"/>
        </w:rPr>
        <w:t xml:space="preserve"> </w:t>
      </w:r>
      <w:r w:rsidRPr="00DD7BD1">
        <w:rPr>
          <w:rFonts w:ascii="Calibri" w:hAnsi="Calibri" w:cs="Calibri"/>
        </w:rPr>
        <w:t>by</w:t>
      </w:r>
      <w:r w:rsidRPr="00DD7BD1">
        <w:rPr>
          <w:rFonts w:ascii="Calibri" w:hAnsi="Calibri" w:cs="Calibri"/>
          <w:spacing w:val="40"/>
        </w:rPr>
        <w:t xml:space="preserve"> </w:t>
      </w:r>
      <w:r w:rsidRPr="00DD7BD1">
        <w:rPr>
          <w:rFonts w:ascii="Calibri" w:hAnsi="Calibri" w:cs="Calibri"/>
        </w:rPr>
        <w:t>the</w:t>
      </w:r>
      <w:r w:rsidRPr="00DD7BD1">
        <w:rPr>
          <w:rFonts w:ascii="Calibri" w:hAnsi="Calibri" w:cs="Calibri"/>
          <w:spacing w:val="37"/>
        </w:rPr>
        <w:t xml:space="preserve"> </w:t>
      </w:r>
      <w:r w:rsidRPr="00DD7BD1">
        <w:rPr>
          <w:rFonts w:ascii="Calibri" w:hAnsi="Calibri" w:cs="Calibri"/>
        </w:rPr>
        <w:t>employer</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6"/>
        </w:rPr>
        <w:t xml:space="preserve"> </w:t>
      </w:r>
      <w:r w:rsidRPr="00DD7BD1">
        <w:rPr>
          <w:rFonts w:ascii="Calibri" w:hAnsi="Calibri" w:cs="Calibri"/>
        </w:rPr>
        <w:t>other</w:t>
      </w:r>
      <w:r w:rsidRPr="00DD7BD1">
        <w:rPr>
          <w:rFonts w:ascii="Calibri" w:hAnsi="Calibri" w:cs="Calibri"/>
          <w:spacing w:val="39"/>
        </w:rPr>
        <w:t xml:space="preserve"> </w:t>
      </w:r>
      <w:r w:rsidRPr="00DD7BD1">
        <w:rPr>
          <w:rFonts w:ascii="Calibri" w:hAnsi="Calibri" w:cs="Calibri"/>
        </w:rPr>
        <w:t>covered</w:t>
      </w:r>
      <w:r w:rsidRPr="00DD7BD1">
        <w:rPr>
          <w:rFonts w:ascii="Calibri" w:hAnsi="Calibri" w:cs="Calibri"/>
          <w:spacing w:val="36"/>
        </w:rPr>
        <w:t xml:space="preserve"> </w:t>
      </w:r>
      <w:r w:rsidRPr="00DD7BD1">
        <w:rPr>
          <w:rFonts w:ascii="Calibri" w:hAnsi="Calibri" w:cs="Calibri"/>
        </w:rPr>
        <w:t>entity</w:t>
      </w:r>
      <w:r w:rsidRPr="00DD7BD1">
        <w:rPr>
          <w:rFonts w:ascii="Calibri" w:hAnsi="Calibri" w:cs="Calibri"/>
          <w:spacing w:val="40"/>
        </w:rPr>
        <w:t xml:space="preserve"> </w:t>
      </w:r>
      <w:r w:rsidRPr="00DD7BD1">
        <w:rPr>
          <w:rFonts w:ascii="Calibri" w:hAnsi="Calibri" w:cs="Calibri"/>
        </w:rPr>
        <w:t>dealing</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any</w:t>
      </w:r>
      <w:r w:rsidRPr="00DD7BD1">
        <w:rPr>
          <w:rFonts w:ascii="Calibri" w:hAnsi="Calibri" w:cs="Calibri"/>
          <w:spacing w:val="39"/>
        </w:rPr>
        <w:t xml:space="preserve"> </w:t>
      </w:r>
      <w:r w:rsidRPr="00DD7BD1">
        <w:rPr>
          <w:rFonts w:ascii="Calibri" w:hAnsi="Calibri" w:cs="Calibri"/>
        </w:rPr>
        <w:t>employment</w:t>
      </w:r>
      <w:r w:rsidRPr="00DD7BD1">
        <w:rPr>
          <w:rFonts w:ascii="Calibri" w:hAnsi="Calibri" w:cs="Calibri"/>
          <w:spacing w:val="36"/>
        </w:rPr>
        <w:t xml:space="preserve"> </w:t>
      </w:r>
      <w:r w:rsidRPr="00DD7BD1">
        <w:rPr>
          <w:rFonts w:ascii="Calibri" w:hAnsi="Calibri" w:cs="Calibri"/>
        </w:rPr>
        <w:t>practice</w:t>
      </w:r>
      <w:r w:rsidRPr="00DD7BD1">
        <w:rPr>
          <w:rFonts w:ascii="Calibri" w:hAnsi="Calibri" w:cs="Calibri"/>
          <w:spacing w:val="36"/>
        </w:rPr>
        <w:t xml:space="preserve"> </w:t>
      </w:r>
      <w:r w:rsidRPr="00DD7BD1">
        <w:rPr>
          <w:rFonts w:ascii="Calibri" w:hAnsi="Calibri" w:cs="Calibri"/>
        </w:rPr>
        <w:t xml:space="preserve">and </w:t>
      </w:r>
      <w:r w:rsidRPr="00DD7BD1">
        <w:rPr>
          <w:rFonts w:ascii="Calibri" w:hAnsi="Calibri" w:cs="Calibri"/>
          <w:w w:val="110"/>
        </w:rPr>
        <w:t>affecting any employment benefit of any applicant or employee;” and</w:t>
      </w:r>
    </w:p>
    <w:p w14:paraId="286A772C" w14:textId="77777777" w:rsidR="00A85628" w:rsidRPr="00DD7BD1"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Calibri" w:hAnsi="Calibri" w:cs="Calibri"/>
        </w:rPr>
      </w:pPr>
      <w:r w:rsidRPr="00DD7BD1">
        <w:rPr>
          <w:rFonts w:ascii="Calibri" w:hAnsi="Calibri" w:cs="Calibri"/>
          <w:w w:val="110"/>
        </w:rPr>
        <w:t>“Automated-decision system data” includes (a) any data used in or resulting from the application of an ADS,</w:t>
      </w:r>
      <w:r w:rsidRPr="00DD7BD1">
        <w:rPr>
          <w:rFonts w:ascii="Calibri" w:hAnsi="Calibri" w:cs="Calibri"/>
          <w:spacing w:val="-12"/>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as</w:t>
      </w:r>
      <w:r w:rsidRPr="00DD7BD1">
        <w:rPr>
          <w:rFonts w:ascii="Calibri" w:hAnsi="Calibri" w:cs="Calibri"/>
          <w:spacing w:val="-9"/>
          <w:w w:val="110"/>
        </w:rPr>
        <w:t xml:space="preserve"> </w:t>
      </w:r>
      <w:r w:rsidRPr="00DD7BD1">
        <w:rPr>
          <w:rFonts w:ascii="Calibri" w:hAnsi="Calibri" w:cs="Calibri"/>
          <w:w w:val="110"/>
        </w:rPr>
        <w:t>data</w:t>
      </w:r>
      <w:r w:rsidRPr="00DD7BD1">
        <w:rPr>
          <w:rFonts w:ascii="Calibri" w:hAnsi="Calibri" w:cs="Calibri"/>
          <w:spacing w:val="-13"/>
          <w:w w:val="110"/>
        </w:rPr>
        <w:t xml:space="preserve"> </w:t>
      </w:r>
      <w:r w:rsidRPr="00DD7BD1">
        <w:rPr>
          <w:rFonts w:ascii="Calibri" w:hAnsi="Calibri" w:cs="Calibri"/>
          <w:w w:val="110"/>
        </w:rPr>
        <w:t>provided</w:t>
      </w:r>
      <w:r w:rsidRPr="00DD7BD1">
        <w:rPr>
          <w:rFonts w:ascii="Calibri" w:hAnsi="Calibri" w:cs="Calibri"/>
          <w:spacing w:val="-9"/>
          <w:w w:val="110"/>
        </w:rPr>
        <w:t xml:space="preserve"> </w:t>
      </w:r>
      <w:r w:rsidRPr="00DD7BD1">
        <w:rPr>
          <w:rFonts w:ascii="Calibri" w:hAnsi="Calibri" w:cs="Calibri"/>
          <w:w w:val="110"/>
        </w:rPr>
        <w:t>by</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about</w:t>
      </w:r>
      <w:r w:rsidRPr="00DD7BD1">
        <w:rPr>
          <w:rFonts w:ascii="Calibri" w:hAnsi="Calibri" w:cs="Calibri"/>
          <w:spacing w:val="-10"/>
          <w:w w:val="110"/>
        </w:rPr>
        <w:t xml:space="preserve"> </w:t>
      </w:r>
      <w:r w:rsidRPr="00DD7BD1">
        <w:rPr>
          <w:rFonts w:ascii="Calibri" w:hAnsi="Calibri" w:cs="Calibri"/>
          <w:w w:val="110"/>
        </w:rPr>
        <w:t>individual</w:t>
      </w:r>
      <w:r w:rsidRPr="00DD7BD1">
        <w:rPr>
          <w:rFonts w:ascii="Calibri" w:hAnsi="Calibri" w:cs="Calibri"/>
          <w:spacing w:val="-13"/>
          <w:w w:val="110"/>
        </w:rPr>
        <w:t xml:space="preserve"> </w:t>
      </w:r>
      <w:r w:rsidRPr="00DD7BD1">
        <w:rPr>
          <w:rFonts w:ascii="Calibri" w:hAnsi="Calibri" w:cs="Calibri"/>
          <w:w w:val="110"/>
        </w:rPr>
        <w:t>applicants</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employees,</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data</w:t>
      </w:r>
      <w:r w:rsidRPr="00DD7BD1">
        <w:rPr>
          <w:rFonts w:ascii="Calibri" w:hAnsi="Calibri" w:cs="Calibri"/>
          <w:spacing w:val="-10"/>
          <w:w w:val="110"/>
        </w:rPr>
        <w:t xml:space="preserve"> </w:t>
      </w:r>
      <w:r w:rsidRPr="00DD7BD1">
        <w:rPr>
          <w:rFonts w:ascii="Calibri" w:hAnsi="Calibri" w:cs="Calibri"/>
          <w:w w:val="110"/>
        </w:rPr>
        <w:t>reflecting</w:t>
      </w:r>
      <w:r w:rsidRPr="00DD7BD1">
        <w:rPr>
          <w:rFonts w:ascii="Calibri" w:hAnsi="Calibri" w:cs="Calibri"/>
          <w:spacing w:val="-11"/>
          <w:w w:val="110"/>
        </w:rPr>
        <w:t xml:space="preserve"> </w:t>
      </w:r>
      <w:r w:rsidRPr="00DD7BD1">
        <w:rPr>
          <w:rFonts w:ascii="Calibri" w:hAnsi="Calibri" w:cs="Calibri"/>
          <w:w w:val="110"/>
        </w:rPr>
        <w:t>employment decision</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5"/>
          <w:w w:val="110"/>
        </w:rPr>
        <w:t xml:space="preserve"> </w:t>
      </w:r>
      <w:r w:rsidRPr="00DD7BD1">
        <w:rPr>
          <w:rFonts w:ascii="Calibri" w:hAnsi="Calibri" w:cs="Calibri"/>
          <w:w w:val="110"/>
        </w:rPr>
        <w:t>outcomes,</w:t>
      </w:r>
      <w:r w:rsidRPr="00DD7BD1">
        <w:rPr>
          <w:rFonts w:ascii="Calibri" w:hAnsi="Calibri" w:cs="Calibri"/>
          <w:spacing w:val="-3"/>
          <w:w w:val="110"/>
        </w:rPr>
        <w:t xml:space="preserve"> </w:t>
      </w:r>
      <w:r w:rsidRPr="00DD7BD1">
        <w:rPr>
          <w:rFonts w:ascii="Calibri" w:hAnsi="Calibri" w:cs="Calibri"/>
          <w:w w:val="110"/>
        </w:rPr>
        <w:t>and/or</w:t>
      </w:r>
      <w:r w:rsidRPr="00DD7BD1">
        <w:rPr>
          <w:rFonts w:ascii="Calibri" w:hAnsi="Calibri" w:cs="Calibri"/>
          <w:spacing w:val="-5"/>
          <w:w w:val="110"/>
        </w:rPr>
        <w:t xml:space="preserve"> </w:t>
      </w:r>
      <w:r w:rsidRPr="00DD7BD1">
        <w:rPr>
          <w:rFonts w:ascii="Calibri" w:hAnsi="Calibri" w:cs="Calibri"/>
          <w:w w:val="110"/>
        </w:rPr>
        <w:t>(b)</w:t>
      </w:r>
      <w:r w:rsidRPr="00DD7BD1">
        <w:rPr>
          <w:rFonts w:ascii="Calibri" w:hAnsi="Calibri" w:cs="Calibri"/>
          <w:spacing w:val="-3"/>
          <w:w w:val="110"/>
        </w:rPr>
        <w:t xml:space="preserve"> </w:t>
      </w:r>
      <w:r w:rsidRPr="00DD7BD1">
        <w:rPr>
          <w:rFonts w:ascii="Calibri" w:hAnsi="Calibri" w:cs="Calibri"/>
          <w:w w:val="110"/>
        </w:rPr>
        <w:t>any</w:t>
      </w:r>
      <w:r w:rsidRPr="00DD7BD1">
        <w:rPr>
          <w:rFonts w:ascii="Calibri" w:hAnsi="Calibri" w:cs="Calibri"/>
          <w:spacing w:val="-4"/>
          <w:w w:val="110"/>
        </w:rPr>
        <w:t xml:space="preserve"> </w:t>
      </w:r>
      <w:r w:rsidRPr="00DD7BD1">
        <w:rPr>
          <w:rFonts w:ascii="Calibri" w:hAnsi="Calibri" w:cs="Calibri"/>
          <w:w w:val="110"/>
        </w:rPr>
        <w:t>data</w:t>
      </w:r>
      <w:r w:rsidRPr="00DD7BD1">
        <w:rPr>
          <w:rFonts w:ascii="Calibri" w:hAnsi="Calibri" w:cs="Calibri"/>
          <w:spacing w:val="-5"/>
          <w:w w:val="110"/>
        </w:rPr>
        <w:t xml:space="preserve"> </w:t>
      </w:r>
      <w:r w:rsidRPr="00DD7BD1">
        <w:rPr>
          <w:rFonts w:ascii="Calibri" w:hAnsi="Calibri" w:cs="Calibri"/>
          <w:w w:val="110"/>
        </w:rPr>
        <w:t>used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4"/>
          <w:w w:val="110"/>
        </w:rPr>
        <w:t xml:space="preserve"> </w:t>
      </w:r>
      <w:r w:rsidRPr="00DD7BD1">
        <w:rPr>
          <w:rFonts w:ascii="Calibri" w:hAnsi="Calibri" w:cs="Calibri"/>
          <w:w w:val="110"/>
        </w:rPr>
        <w:t>develop</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3"/>
          <w:w w:val="110"/>
        </w:rPr>
        <w:t xml:space="preserve"> </w:t>
      </w:r>
      <w:r w:rsidRPr="00DD7BD1">
        <w:rPr>
          <w:rFonts w:ascii="Calibri" w:hAnsi="Calibri" w:cs="Calibri"/>
          <w:w w:val="110"/>
        </w:rPr>
        <w:t>customize</w:t>
      </w:r>
      <w:r w:rsidRPr="00DD7BD1">
        <w:rPr>
          <w:rFonts w:ascii="Calibri" w:hAnsi="Calibri" w:cs="Calibri"/>
          <w:spacing w:val="-4"/>
          <w:w w:val="110"/>
        </w:rPr>
        <w:t xml:space="preserve"> </w:t>
      </w:r>
      <w:r w:rsidRPr="00DD7BD1">
        <w:rPr>
          <w:rFonts w:ascii="Calibri" w:hAnsi="Calibri" w:cs="Calibri"/>
          <w:w w:val="110"/>
        </w:rPr>
        <w:t>an</w:t>
      </w:r>
      <w:r w:rsidRPr="00DD7BD1">
        <w:rPr>
          <w:rFonts w:ascii="Calibri" w:hAnsi="Calibri" w:cs="Calibri"/>
          <w:spacing w:val="-5"/>
          <w:w w:val="110"/>
        </w:rPr>
        <w:t xml:space="preserve"> </w:t>
      </w:r>
      <w:r w:rsidRPr="00DD7BD1">
        <w:rPr>
          <w:rFonts w:ascii="Calibri" w:hAnsi="Calibri" w:cs="Calibri"/>
          <w:w w:val="110"/>
        </w:rPr>
        <w:t>ADS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use</w:t>
      </w:r>
      <w:r w:rsidRPr="00DD7BD1">
        <w:rPr>
          <w:rFonts w:ascii="Calibri" w:hAnsi="Calibri" w:cs="Calibri"/>
          <w:spacing w:val="-1"/>
          <w:w w:val="110"/>
        </w:rPr>
        <w:t xml:space="preserve"> </w:t>
      </w:r>
      <w:r w:rsidRPr="00DD7BD1">
        <w:rPr>
          <w:rFonts w:ascii="Calibri" w:hAnsi="Calibri" w:cs="Calibri"/>
          <w:w w:val="110"/>
        </w:rPr>
        <w:t>by</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particular employer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other</w:t>
      </w:r>
      <w:r w:rsidRPr="00DD7BD1">
        <w:rPr>
          <w:rFonts w:ascii="Calibri" w:hAnsi="Calibri" w:cs="Calibri"/>
          <w:spacing w:val="-5"/>
          <w:w w:val="110"/>
        </w:rPr>
        <w:t xml:space="preserve"> </w:t>
      </w:r>
      <w:r w:rsidRPr="00DD7BD1">
        <w:rPr>
          <w:rFonts w:ascii="Calibri" w:hAnsi="Calibri" w:cs="Calibri"/>
          <w:w w:val="110"/>
        </w:rPr>
        <w:t>covered</w:t>
      </w:r>
      <w:r w:rsidRPr="00DD7BD1">
        <w:rPr>
          <w:rFonts w:ascii="Calibri" w:hAnsi="Calibri" w:cs="Calibri"/>
          <w:spacing w:val="-4"/>
          <w:w w:val="110"/>
        </w:rPr>
        <w:t xml:space="preserve"> </w:t>
      </w:r>
      <w:r w:rsidRPr="00DD7BD1">
        <w:rPr>
          <w:rFonts w:ascii="Calibri" w:hAnsi="Calibri" w:cs="Calibri"/>
          <w:w w:val="110"/>
        </w:rPr>
        <w:t>entity.</w:t>
      </w:r>
    </w:p>
    <w:p w14:paraId="176A9F57" w14:textId="77777777" w:rsidR="00A85628" w:rsidRPr="00DD7BD1" w:rsidRDefault="00A85628" w:rsidP="00A85628">
      <w:pPr>
        <w:spacing w:after="0" w:line="240" w:lineRule="auto"/>
        <w:ind w:right="-90"/>
        <w:rPr>
          <w:rFonts w:ascii="Calibri" w:hAnsi="Calibri" w:cs="Calibri"/>
          <w:b/>
          <w:bCs/>
          <w:color w:val="C00000"/>
          <w:shd w:val="clear" w:color="auto" w:fill="FFFFFF"/>
          <w:lang w:val="en"/>
        </w:rPr>
      </w:pPr>
    </w:p>
    <w:p w14:paraId="706F839A" w14:textId="1DD3659D" w:rsidR="00A85628" w:rsidRPr="00DD7BD1" w:rsidRDefault="00A85628" w:rsidP="00A85628">
      <w:pPr>
        <w:pStyle w:val="Heading1"/>
        <w:spacing w:before="0" w:beforeAutospacing="0" w:after="0" w:afterAutospacing="0"/>
        <w:ind w:right="-180"/>
        <w:jc w:val="center"/>
        <w:rPr>
          <w:rFonts w:ascii="Calibri" w:hAnsi="Calibri" w:cs="Calibri"/>
          <w:kern w:val="0"/>
          <w:sz w:val="28"/>
          <w:szCs w:val="28"/>
          <w:shd w:val="clear" w:color="auto" w:fill="FFFFFF"/>
          <w:lang w:val="en"/>
        </w:rPr>
      </w:pPr>
      <w:r w:rsidRPr="00DD7BD1">
        <w:rPr>
          <w:rFonts w:ascii="Calibri" w:hAnsi="Calibri" w:cs="Calibri"/>
          <w:kern w:val="0"/>
          <w:sz w:val="28"/>
          <w:szCs w:val="28"/>
          <w:shd w:val="clear" w:color="auto" w:fill="FFFFFF"/>
          <w:lang w:val="en"/>
        </w:rPr>
        <w:t>Upcoming Minimum Wage Increases – Eff Jan 1, 2026</w:t>
      </w:r>
    </w:p>
    <w:p w14:paraId="0118913A"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Department</w:t>
      </w:r>
      <w:r w:rsidRPr="00DD7BD1">
        <w:rPr>
          <w:rFonts w:cs="Calibri"/>
          <w:color w:val="auto"/>
          <w:spacing w:val="-15"/>
          <w:w w:val="110"/>
        </w:rPr>
        <w:t xml:space="preserve"> </w:t>
      </w:r>
      <w:r w:rsidRPr="00DD7BD1">
        <w:rPr>
          <w:rFonts w:cs="Calibri"/>
          <w:color w:val="auto"/>
          <w:w w:val="110"/>
        </w:rPr>
        <w:t>of</w:t>
      </w:r>
      <w:r w:rsidRPr="00DD7BD1">
        <w:rPr>
          <w:rFonts w:cs="Calibri"/>
          <w:color w:val="auto"/>
          <w:spacing w:val="-14"/>
          <w:w w:val="110"/>
        </w:rPr>
        <w:t xml:space="preserve"> </w:t>
      </w:r>
      <w:r w:rsidRPr="00DD7BD1">
        <w:rPr>
          <w:rFonts w:cs="Calibri"/>
          <w:color w:val="auto"/>
          <w:w w:val="110"/>
        </w:rPr>
        <w:t>Finance</w:t>
      </w:r>
      <w:r w:rsidRPr="00DD7BD1">
        <w:rPr>
          <w:rFonts w:cs="Calibri"/>
          <w:color w:val="auto"/>
          <w:spacing w:val="-11"/>
          <w:w w:val="110"/>
        </w:rPr>
        <w:t xml:space="preserve"> </w:t>
      </w:r>
      <w:hyperlink r:id="rId534">
        <w:r w:rsidRPr="00DD7BD1">
          <w:rPr>
            <w:rFonts w:cs="Calibri"/>
            <w:color w:val="0000FF"/>
            <w:w w:val="110"/>
            <w:u w:val="single" w:color="0000FF"/>
          </w:rPr>
          <w:t>announced</w:t>
        </w:r>
      </w:hyperlink>
      <w:r w:rsidRPr="00DD7BD1">
        <w:rPr>
          <w:rFonts w:cs="Calibri"/>
          <w:color w:val="0000FF"/>
          <w:spacing w:val="-11"/>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3"/>
          <w:w w:val="110"/>
        </w:rPr>
        <w:t xml:space="preserve"> </w:t>
      </w:r>
      <w:r w:rsidRPr="00DD7BD1">
        <w:rPr>
          <w:rFonts w:cs="Calibri"/>
          <w:color w:val="auto"/>
          <w:w w:val="110"/>
        </w:rPr>
        <w:t>wage</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3"/>
          <w:w w:val="110"/>
        </w:rPr>
        <w:t xml:space="preserve"> </w:t>
      </w:r>
      <w:r w:rsidRPr="00DD7BD1">
        <w:rPr>
          <w:rFonts w:cs="Calibri"/>
          <w:color w:val="auto"/>
          <w:w w:val="110"/>
        </w:rPr>
        <w:t>August</w:t>
      </w:r>
      <w:r w:rsidRPr="00DD7BD1">
        <w:rPr>
          <w:rFonts w:cs="Calibri"/>
          <w:color w:val="auto"/>
          <w:spacing w:val="-17"/>
          <w:w w:val="110"/>
        </w:rPr>
        <w:t xml:space="preserve"> </w:t>
      </w:r>
      <w:r w:rsidRPr="00DD7BD1">
        <w:rPr>
          <w:rFonts w:cs="Calibri"/>
          <w:color w:val="auto"/>
          <w:w w:val="110"/>
        </w:rPr>
        <w:t>1,</w:t>
      </w:r>
      <w:r w:rsidRPr="00DD7BD1">
        <w:rPr>
          <w:rFonts w:cs="Calibri"/>
          <w:color w:val="auto"/>
          <w:spacing w:val="-16"/>
          <w:w w:val="110"/>
        </w:rPr>
        <w:t xml:space="preserve"> </w:t>
      </w:r>
      <w:r w:rsidRPr="00DD7BD1">
        <w:rPr>
          <w:rFonts w:cs="Calibri"/>
          <w:color w:val="auto"/>
          <w:spacing w:val="-2"/>
          <w:w w:val="110"/>
        </w:rPr>
        <w:t>2025.</w:t>
      </w:r>
    </w:p>
    <w:p w14:paraId="26880F4D"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standard</w:t>
      </w:r>
      <w:r w:rsidRPr="00DD7BD1">
        <w:rPr>
          <w:rFonts w:cs="Calibri"/>
          <w:color w:val="auto"/>
          <w:spacing w:val="-14"/>
          <w:w w:val="110"/>
        </w:rPr>
        <w:t xml:space="preserve"> </w:t>
      </w:r>
      <w:r w:rsidRPr="00DD7BD1">
        <w:rPr>
          <w:rFonts w:cs="Calibri"/>
          <w:color w:val="auto"/>
          <w:w w:val="110"/>
        </w:rPr>
        <w:t>state</w:t>
      </w:r>
      <w:r w:rsidRPr="00DD7BD1">
        <w:rPr>
          <w:rFonts w:cs="Calibri"/>
          <w:color w:val="auto"/>
          <w:spacing w:val="-13"/>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w:t>
      </w:r>
      <w:r w:rsidRPr="00DD7BD1">
        <w:rPr>
          <w:rFonts w:cs="Calibri"/>
          <w:color w:val="auto"/>
          <w:spacing w:val="-11"/>
          <w:w w:val="110"/>
        </w:rPr>
        <w:t xml:space="preserve"> </w:t>
      </w:r>
      <w:r w:rsidRPr="00DD7BD1">
        <w:rPr>
          <w:rFonts w:cs="Calibri"/>
          <w:color w:val="auto"/>
          <w:w w:val="110"/>
        </w:rPr>
        <w:t>will</w:t>
      </w:r>
      <w:r w:rsidRPr="00DD7BD1">
        <w:rPr>
          <w:rFonts w:cs="Calibri"/>
          <w:color w:val="auto"/>
          <w:spacing w:val="-13"/>
          <w:w w:val="110"/>
        </w:rPr>
        <w:t xml:space="preserve"> </w:t>
      </w:r>
      <w:r w:rsidRPr="00DD7BD1">
        <w:rPr>
          <w:rFonts w:cs="Calibri"/>
          <w:color w:val="auto"/>
          <w:w w:val="110"/>
        </w:rPr>
        <w:t>increase</w:t>
      </w:r>
      <w:r w:rsidRPr="00DD7BD1">
        <w:rPr>
          <w:rFonts w:cs="Calibri"/>
          <w:color w:val="auto"/>
          <w:spacing w:val="-16"/>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b/>
          <w:color w:val="auto"/>
          <w:w w:val="110"/>
        </w:rPr>
        <w:t>$16.90</w:t>
      </w:r>
      <w:r w:rsidRPr="00DD7BD1">
        <w:rPr>
          <w:rFonts w:cs="Calibri"/>
          <w:b/>
          <w:color w:val="auto"/>
          <w:spacing w:val="-12"/>
          <w:w w:val="110"/>
        </w:rPr>
        <w:t xml:space="preserve"> </w:t>
      </w:r>
      <w:r w:rsidRPr="00DD7BD1">
        <w:rPr>
          <w:rFonts w:cs="Calibri"/>
          <w:color w:val="auto"/>
          <w:w w:val="110"/>
        </w:rPr>
        <w:t>per</w:t>
      </w:r>
      <w:r w:rsidRPr="00DD7BD1">
        <w:rPr>
          <w:rFonts w:cs="Calibri"/>
          <w:color w:val="auto"/>
          <w:spacing w:val="-11"/>
          <w:w w:val="110"/>
        </w:rPr>
        <w:t xml:space="preserve"> </w:t>
      </w:r>
      <w:r w:rsidRPr="00DD7BD1">
        <w:rPr>
          <w:rFonts w:cs="Calibri"/>
          <w:color w:val="auto"/>
          <w:w w:val="110"/>
        </w:rPr>
        <w:t>hour</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January</w:t>
      </w:r>
      <w:r w:rsidRPr="00DD7BD1">
        <w:rPr>
          <w:rFonts w:cs="Calibri"/>
          <w:color w:val="auto"/>
          <w:spacing w:val="-11"/>
          <w:w w:val="110"/>
        </w:rPr>
        <w:t xml:space="preserve"> </w:t>
      </w:r>
      <w:r w:rsidRPr="00DD7BD1">
        <w:rPr>
          <w:rFonts w:cs="Calibri"/>
          <w:color w:val="auto"/>
          <w:w w:val="110"/>
        </w:rPr>
        <w:t>1,</w:t>
      </w:r>
      <w:r w:rsidRPr="00DD7BD1">
        <w:rPr>
          <w:rFonts w:cs="Calibri"/>
          <w:color w:val="auto"/>
          <w:spacing w:val="-14"/>
          <w:w w:val="110"/>
        </w:rPr>
        <w:t xml:space="preserve"> </w:t>
      </w:r>
      <w:r w:rsidRPr="00DD7BD1">
        <w:rPr>
          <w:rFonts w:cs="Calibri"/>
          <w:color w:val="auto"/>
          <w:spacing w:val="-2"/>
          <w:w w:val="110"/>
        </w:rPr>
        <w:t>2026.</w:t>
      </w:r>
    </w:p>
    <w:p w14:paraId="4CBFBD69" w14:textId="77777777" w:rsidR="00A85628" w:rsidRPr="00DD7BD1" w:rsidRDefault="00A85628" w:rsidP="00A85628">
      <w:pPr>
        <w:pStyle w:val="BodyText"/>
        <w:spacing w:after="0" w:line="240" w:lineRule="auto"/>
        <w:ind w:right="-180"/>
        <w:jc w:val="left"/>
        <w:rPr>
          <w:rFonts w:cs="Calibri"/>
          <w:b/>
          <w:color w:val="auto"/>
        </w:rPr>
      </w:pPr>
      <w:r w:rsidRPr="00DD7BD1">
        <w:rPr>
          <w:rFonts w:cs="Calibri"/>
          <w:color w:val="auto"/>
        </w:rPr>
        <w:t>This</w:t>
      </w:r>
      <w:r w:rsidRPr="00DD7BD1">
        <w:rPr>
          <w:rFonts w:cs="Calibri"/>
          <w:color w:val="auto"/>
          <w:spacing w:val="35"/>
        </w:rPr>
        <w:t xml:space="preserve"> </w:t>
      </w:r>
      <w:r w:rsidRPr="00DD7BD1">
        <w:rPr>
          <w:rFonts w:cs="Calibri"/>
          <w:color w:val="auto"/>
        </w:rPr>
        <w:t>will</w:t>
      </w:r>
      <w:r w:rsidRPr="00DD7BD1">
        <w:rPr>
          <w:rFonts w:cs="Calibri"/>
          <w:color w:val="auto"/>
          <w:spacing w:val="36"/>
        </w:rPr>
        <w:t xml:space="preserve"> </w:t>
      </w:r>
      <w:r w:rsidRPr="00DD7BD1">
        <w:rPr>
          <w:rFonts w:cs="Calibri"/>
          <w:color w:val="auto"/>
        </w:rPr>
        <w:t>also</w:t>
      </w:r>
      <w:r w:rsidRPr="00DD7BD1">
        <w:rPr>
          <w:rFonts w:cs="Calibri"/>
          <w:color w:val="auto"/>
          <w:spacing w:val="39"/>
        </w:rPr>
        <w:t xml:space="preserve"> </w:t>
      </w:r>
      <w:r w:rsidRPr="00DD7BD1">
        <w:rPr>
          <w:rFonts w:cs="Calibri"/>
          <w:color w:val="auto"/>
        </w:rPr>
        <w:t>increase</w:t>
      </w:r>
      <w:r w:rsidRPr="00DD7BD1">
        <w:rPr>
          <w:rFonts w:cs="Calibri"/>
          <w:color w:val="auto"/>
          <w:spacing w:val="39"/>
        </w:rPr>
        <w:t xml:space="preserve"> </w:t>
      </w:r>
      <w:r w:rsidRPr="00DD7BD1">
        <w:rPr>
          <w:rFonts w:cs="Calibri"/>
          <w:color w:val="auto"/>
        </w:rPr>
        <w:t>the</w:t>
      </w:r>
      <w:r w:rsidRPr="00DD7BD1">
        <w:rPr>
          <w:rFonts w:cs="Calibri"/>
          <w:color w:val="auto"/>
          <w:spacing w:val="43"/>
        </w:rPr>
        <w:t xml:space="preserve"> </w:t>
      </w:r>
      <w:r w:rsidRPr="00DD7BD1">
        <w:rPr>
          <w:rFonts w:cs="Calibri"/>
          <w:color w:val="auto"/>
          <w:u w:val="single"/>
        </w:rPr>
        <w:t>minimum</w:t>
      </w:r>
      <w:r w:rsidRPr="00DD7BD1">
        <w:rPr>
          <w:rFonts w:cs="Calibri"/>
          <w:color w:val="auto"/>
          <w:spacing w:val="35"/>
          <w:u w:val="single"/>
        </w:rPr>
        <w:t xml:space="preserve"> </w:t>
      </w:r>
      <w:r w:rsidRPr="00DD7BD1">
        <w:rPr>
          <w:rFonts w:cs="Calibri"/>
          <w:color w:val="auto"/>
          <w:u w:val="single"/>
        </w:rPr>
        <w:t>salary</w:t>
      </w:r>
      <w:r w:rsidRPr="00DD7BD1">
        <w:rPr>
          <w:rFonts w:cs="Calibri"/>
          <w:color w:val="auto"/>
          <w:spacing w:val="40"/>
          <w:u w:val="single"/>
        </w:rPr>
        <w:t xml:space="preserve"> </w:t>
      </w:r>
      <w:r w:rsidRPr="00DD7BD1">
        <w:rPr>
          <w:rFonts w:cs="Calibri"/>
          <w:color w:val="auto"/>
          <w:u w:val="single"/>
        </w:rPr>
        <w:t>threshold</w:t>
      </w:r>
      <w:r w:rsidRPr="00DD7BD1">
        <w:rPr>
          <w:rFonts w:cs="Calibri"/>
          <w:color w:val="auto"/>
          <w:spacing w:val="39"/>
          <w:u w:val="single"/>
        </w:rPr>
        <w:t xml:space="preserve"> </w:t>
      </w:r>
      <w:r w:rsidRPr="00DD7BD1">
        <w:rPr>
          <w:rFonts w:cs="Calibri"/>
          <w:color w:val="auto"/>
          <w:u w:val="single"/>
        </w:rPr>
        <w:t>for</w:t>
      </w:r>
      <w:r w:rsidRPr="00DD7BD1">
        <w:rPr>
          <w:rFonts w:cs="Calibri"/>
          <w:color w:val="auto"/>
          <w:spacing w:val="37"/>
          <w:u w:val="single"/>
        </w:rPr>
        <w:t xml:space="preserve"> </w:t>
      </w:r>
      <w:r w:rsidRPr="00DD7BD1">
        <w:rPr>
          <w:rFonts w:cs="Calibri"/>
          <w:color w:val="auto"/>
          <w:u w:val="single"/>
        </w:rPr>
        <w:t>exempt</w:t>
      </w:r>
      <w:r w:rsidRPr="00DD7BD1">
        <w:rPr>
          <w:rFonts w:cs="Calibri"/>
          <w:color w:val="auto"/>
          <w:spacing w:val="32"/>
          <w:u w:val="single"/>
        </w:rPr>
        <w:t xml:space="preserve"> </w:t>
      </w:r>
      <w:r w:rsidRPr="00DD7BD1">
        <w:rPr>
          <w:rFonts w:cs="Calibri"/>
          <w:color w:val="auto"/>
          <w:u w:val="single"/>
        </w:rPr>
        <w:t>employees</w:t>
      </w:r>
      <w:r w:rsidRPr="00DD7BD1">
        <w:rPr>
          <w:rFonts w:cs="Calibri"/>
          <w:color w:val="auto"/>
          <w:spacing w:val="50"/>
        </w:rPr>
        <w:t xml:space="preserve"> </w:t>
      </w:r>
      <w:r w:rsidRPr="00DD7BD1">
        <w:rPr>
          <w:rFonts w:cs="Calibri"/>
          <w:color w:val="auto"/>
        </w:rPr>
        <w:t>to</w:t>
      </w:r>
      <w:r w:rsidRPr="00DD7BD1">
        <w:rPr>
          <w:rFonts w:cs="Calibri"/>
          <w:color w:val="auto"/>
          <w:spacing w:val="41"/>
        </w:rPr>
        <w:t xml:space="preserve"> </w:t>
      </w:r>
      <w:r w:rsidRPr="00DD7BD1">
        <w:rPr>
          <w:rFonts w:cs="Calibri"/>
          <w:b/>
          <w:color w:val="auto"/>
        </w:rPr>
        <w:t>$70,304</w:t>
      </w:r>
      <w:r w:rsidRPr="00DD7BD1">
        <w:rPr>
          <w:rFonts w:cs="Calibri"/>
          <w:b/>
          <w:color w:val="auto"/>
          <w:spacing w:val="40"/>
        </w:rPr>
        <w:t xml:space="preserve"> </w:t>
      </w:r>
      <w:r w:rsidRPr="00DD7BD1">
        <w:rPr>
          <w:rFonts w:cs="Calibri"/>
          <w:b/>
          <w:color w:val="auto"/>
        </w:rPr>
        <w:t>per</w:t>
      </w:r>
      <w:r w:rsidRPr="00DD7BD1">
        <w:rPr>
          <w:rFonts w:cs="Calibri"/>
          <w:b/>
          <w:color w:val="auto"/>
          <w:spacing w:val="35"/>
        </w:rPr>
        <w:t xml:space="preserve"> </w:t>
      </w:r>
      <w:r w:rsidRPr="00DD7BD1">
        <w:rPr>
          <w:rFonts w:cs="Calibri"/>
          <w:b/>
          <w:color w:val="auto"/>
          <w:spacing w:val="-2"/>
        </w:rPr>
        <w:t>year.</w:t>
      </w:r>
    </w:p>
    <w:p w14:paraId="72D25293"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Employers</w:t>
      </w:r>
      <w:r w:rsidRPr="00DD7BD1">
        <w:rPr>
          <w:rFonts w:cs="Calibri"/>
          <w:color w:val="auto"/>
          <w:spacing w:val="-12"/>
          <w:w w:val="110"/>
        </w:rPr>
        <w:t xml:space="preserve"> </w:t>
      </w:r>
      <w:r w:rsidRPr="00DD7BD1">
        <w:rPr>
          <w:rFonts w:cs="Calibri"/>
          <w:color w:val="auto"/>
          <w:w w:val="110"/>
        </w:rPr>
        <w:t>covered</w:t>
      </w:r>
      <w:r w:rsidRPr="00DD7BD1">
        <w:rPr>
          <w:rFonts w:cs="Calibri"/>
          <w:color w:val="auto"/>
          <w:spacing w:val="-12"/>
          <w:w w:val="110"/>
        </w:rPr>
        <w:t xml:space="preserve"> </w:t>
      </w:r>
      <w:r w:rsidRPr="00DD7BD1">
        <w:rPr>
          <w:rFonts w:cs="Calibri"/>
          <w:color w:val="auto"/>
          <w:w w:val="110"/>
        </w:rPr>
        <w:t>by</w:t>
      </w:r>
      <w:r w:rsidRPr="00DD7BD1">
        <w:rPr>
          <w:rFonts w:cs="Calibri"/>
          <w:color w:val="auto"/>
          <w:spacing w:val="-12"/>
          <w:w w:val="110"/>
        </w:rPr>
        <w:t xml:space="preserve"> </w:t>
      </w:r>
      <w:r w:rsidRPr="00DD7BD1">
        <w:rPr>
          <w:rFonts w:cs="Calibri"/>
          <w:color w:val="auto"/>
          <w:w w:val="110"/>
        </w:rPr>
        <w:t>local</w:t>
      </w:r>
      <w:r w:rsidRPr="00DD7BD1">
        <w:rPr>
          <w:rFonts w:cs="Calibri"/>
          <w:color w:val="auto"/>
          <w:spacing w:val="-13"/>
          <w:w w:val="110"/>
        </w:rPr>
        <w:t xml:space="preserve"> </w:t>
      </w:r>
      <w:r w:rsidRPr="00DD7BD1">
        <w:rPr>
          <w:rFonts w:cs="Calibri"/>
          <w:color w:val="auto"/>
          <w:w w:val="110"/>
        </w:rPr>
        <w:t>or</w:t>
      </w:r>
      <w:r w:rsidRPr="00DD7BD1">
        <w:rPr>
          <w:rFonts w:cs="Calibri"/>
          <w:color w:val="auto"/>
          <w:spacing w:val="-13"/>
          <w:w w:val="110"/>
        </w:rPr>
        <w:t xml:space="preserve"> </w:t>
      </w:r>
      <w:r w:rsidRPr="00DD7BD1">
        <w:rPr>
          <w:rFonts w:cs="Calibri"/>
          <w:color w:val="auto"/>
          <w:w w:val="110"/>
        </w:rPr>
        <w:t>industry-specific</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wages</w:t>
      </w:r>
      <w:r w:rsidRPr="00DD7BD1">
        <w:rPr>
          <w:rFonts w:cs="Calibri"/>
          <w:color w:val="auto"/>
          <w:spacing w:val="-12"/>
          <w:w w:val="110"/>
        </w:rPr>
        <w:t xml:space="preserve"> </w:t>
      </w:r>
      <w:r w:rsidRPr="00DD7BD1">
        <w:rPr>
          <w:rFonts w:cs="Calibri"/>
          <w:color w:val="auto"/>
          <w:w w:val="110"/>
        </w:rPr>
        <w:t>that</w:t>
      </w:r>
      <w:r w:rsidRPr="00DD7BD1">
        <w:rPr>
          <w:rFonts w:cs="Calibri"/>
          <w:color w:val="auto"/>
          <w:spacing w:val="-13"/>
          <w:w w:val="110"/>
        </w:rPr>
        <w:t xml:space="preserve"> </w:t>
      </w:r>
      <w:r w:rsidRPr="00DD7BD1">
        <w:rPr>
          <w:rFonts w:cs="Calibri"/>
          <w:color w:val="auto"/>
          <w:w w:val="110"/>
        </w:rPr>
        <w:t>are</w:t>
      </w:r>
      <w:r w:rsidRPr="00DD7BD1">
        <w:rPr>
          <w:rFonts w:cs="Calibri"/>
          <w:color w:val="auto"/>
          <w:spacing w:val="-14"/>
          <w:w w:val="110"/>
        </w:rPr>
        <w:t xml:space="preserve"> </w:t>
      </w:r>
      <w:r w:rsidRPr="00DD7BD1">
        <w:rPr>
          <w:rFonts w:cs="Calibri"/>
          <w:color w:val="auto"/>
          <w:w w:val="110"/>
        </w:rPr>
        <w:t>higher</w:t>
      </w:r>
      <w:r w:rsidRPr="00DD7BD1">
        <w:rPr>
          <w:rFonts w:cs="Calibri"/>
          <w:color w:val="auto"/>
          <w:spacing w:val="-15"/>
          <w:w w:val="110"/>
        </w:rPr>
        <w:t xml:space="preserve"> </w:t>
      </w:r>
      <w:r w:rsidRPr="00DD7BD1">
        <w:rPr>
          <w:rFonts w:cs="Calibri"/>
          <w:color w:val="auto"/>
          <w:w w:val="110"/>
        </w:rPr>
        <w:t>must</w:t>
      </w:r>
      <w:r w:rsidRPr="00DD7BD1">
        <w:rPr>
          <w:rFonts w:cs="Calibri"/>
          <w:color w:val="auto"/>
          <w:spacing w:val="-13"/>
          <w:w w:val="110"/>
        </w:rPr>
        <w:t xml:space="preserve"> </w:t>
      </w:r>
      <w:r w:rsidRPr="00DD7BD1">
        <w:rPr>
          <w:rFonts w:cs="Calibri"/>
          <w:color w:val="auto"/>
          <w:w w:val="110"/>
        </w:rPr>
        <w:t>comply</w:t>
      </w:r>
      <w:r w:rsidRPr="00DD7BD1">
        <w:rPr>
          <w:rFonts w:cs="Calibri"/>
          <w:color w:val="auto"/>
          <w:spacing w:val="-13"/>
          <w:w w:val="110"/>
        </w:rPr>
        <w:t xml:space="preserve"> </w:t>
      </w:r>
      <w:r w:rsidRPr="00DD7BD1">
        <w:rPr>
          <w:rFonts w:cs="Calibri"/>
          <w:color w:val="auto"/>
          <w:w w:val="110"/>
        </w:rPr>
        <w:t>with</w:t>
      </w:r>
      <w:r w:rsidRPr="00DD7BD1">
        <w:rPr>
          <w:rFonts w:cs="Calibri"/>
          <w:color w:val="auto"/>
          <w:spacing w:val="-15"/>
          <w:w w:val="110"/>
        </w:rPr>
        <w:t xml:space="preserve"> </w:t>
      </w:r>
      <w:r w:rsidRPr="00DD7BD1">
        <w:rPr>
          <w:rFonts w:cs="Calibri"/>
          <w:color w:val="auto"/>
          <w:w w:val="110"/>
        </w:rPr>
        <w:t>those</w:t>
      </w:r>
      <w:r w:rsidRPr="00DD7BD1">
        <w:rPr>
          <w:rFonts w:cs="Calibri"/>
          <w:color w:val="auto"/>
          <w:spacing w:val="-12"/>
          <w:w w:val="110"/>
        </w:rPr>
        <w:t xml:space="preserve"> </w:t>
      </w:r>
      <w:r w:rsidRPr="00DD7BD1">
        <w:rPr>
          <w:rFonts w:cs="Calibri"/>
          <w:color w:val="auto"/>
          <w:spacing w:val="-2"/>
          <w:w w:val="110"/>
        </w:rPr>
        <w:t>rates.</w:t>
      </w:r>
    </w:p>
    <w:p w14:paraId="1A8B4998" w14:textId="77777777" w:rsidR="00A85628" w:rsidRPr="00DD7BD1" w:rsidRDefault="00A85628" w:rsidP="00434AFC">
      <w:pPr>
        <w:spacing w:after="0" w:line="240" w:lineRule="auto"/>
        <w:jc w:val="center"/>
        <w:rPr>
          <w:rFonts w:ascii="Calibri" w:hAnsi="Calibri" w:cs="Calibri"/>
          <w:b/>
          <w:bCs/>
          <w:sz w:val="28"/>
          <w:szCs w:val="28"/>
          <w:shd w:val="clear" w:color="auto" w:fill="FFFFFF"/>
          <w:lang w:val="en"/>
        </w:rPr>
      </w:pPr>
    </w:p>
    <w:p w14:paraId="0B1EAE17" w14:textId="16782760" w:rsidR="00434AFC" w:rsidRPr="00DD7BD1" w:rsidRDefault="00434AFC" w:rsidP="00434AF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Publishes Required Victim Leave Notice – </w:t>
      </w:r>
      <w:r w:rsidRPr="00DD7BD1">
        <w:rPr>
          <w:rFonts w:ascii="Calibri" w:hAnsi="Calibri" w:cs="Calibri"/>
          <w:b/>
          <w:bCs/>
          <w:color w:val="C00000"/>
          <w:sz w:val="28"/>
          <w:szCs w:val="28"/>
          <w:shd w:val="clear" w:color="auto" w:fill="FFFFFF"/>
        </w:rPr>
        <w:t>Eff July 1, 2025</w:t>
      </w:r>
      <w:bookmarkEnd w:id="51"/>
    </w:p>
    <w:p w14:paraId="3309544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Last year, California expanded its victim protection leave law and added a new notice requirement for employers of all sizes. </w:t>
      </w:r>
    </w:p>
    <w:p w14:paraId="07F2791E"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C1D212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notice requirement took effect July 1, 2025, employers weren’t required to comply until the California Civil Rights Department (CRD) released a model notice. That time has come—the </w:t>
      </w:r>
      <w:hyperlink r:id="rId535" w:tgtFrame="_blank" w:history="1">
        <w:r w:rsidRPr="00DD7BD1">
          <w:rPr>
            <w:rStyle w:val="Hyperlink"/>
            <w:rFonts w:ascii="Calibri" w:hAnsi="Calibri" w:cs="Calibri"/>
            <w:shd w:val="clear" w:color="auto" w:fill="FFFFFF"/>
          </w:rPr>
          <w:t>model notice</w:t>
        </w:r>
      </w:hyperlink>
      <w:r w:rsidRPr="00DD7BD1">
        <w:rPr>
          <w:rFonts w:ascii="Calibri" w:hAnsi="Calibri" w:cs="Calibri"/>
          <w:shd w:val="clear" w:color="auto" w:fill="FFFFFF"/>
        </w:rPr>
        <w:t xml:space="preserve"> is now available. </w:t>
      </w:r>
    </w:p>
    <w:p w14:paraId="048DCA4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E960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need to provide this notice:</w:t>
      </w:r>
    </w:p>
    <w:p w14:paraId="6BE6DF84"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new employees upon hire</w:t>
      </w:r>
    </w:p>
    <w:p w14:paraId="1319AA57"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all employees annually</w:t>
      </w:r>
    </w:p>
    <w:p w14:paraId="5AA887EC"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At any time upon request</w:t>
      </w:r>
    </w:p>
    <w:p w14:paraId="0E734B0B"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Any time an employee informs the employer that they or their family member is a victim</w:t>
      </w:r>
    </w:p>
    <w:p w14:paraId="7812A47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that choose to create their own notice should ensure it meets the requirements of the law. The CRD also recently released general </w:t>
      </w:r>
      <w:hyperlink r:id="rId536"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on the state’s victim protection leave law.</w:t>
      </w:r>
    </w:p>
    <w:p w14:paraId="7E3C16E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6248C788" w14:textId="77777777" w:rsidR="00434AFC" w:rsidRPr="00DD7BD1" w:rsidRDefault="00434AFC" w:rsidP="00434AF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NOTES: </w:t>
      </w:r>
    </w:p>
    <w:p w14:paraId="1D1B9E3A"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r w:rsidRPr="00DD7BD1">
        <w:rPr>
          <w:rFonts w:ascii="Calibri" w:hAnsi="Calibri" w:cs="Calibri"/>
          <w:shd w:val="clear" w:color="auto" w:fill="FFFFFF"/>
        </w:rPr>
        <w:t>If you have </w:t>
      </w:r>
      <w:r w:rsidRPr="00DD7BD1">
        <w:rPr>
          <w:rFonts w:ascii="Calibri" w:hAnsi="Calibri" w:cs="Calibri"/>
          <w:b/>
          <w:bCs/>
          <w:shd w:val="clear" w:color="auto" w:fill="FFFFFF"/>
        </w:rPr>
        <w:t>25 or more employees</w:t>
      </w:r>
      <w:r w:rsidRPr="00DD7BD1">
        <w:rPr>
          <w:rFonts w:ascii="Calibri" w:hAnsi="Calibri" w:cs="Calibri"/>
          <w:shd w:val="clear" w:color="auto" w:fill="FFFFFF"/>
        </w:rPr>
        <w:t>, additional protections apply to employees whose </w:t>
      </w:r>
      <w:r w:rsidRPr="00DD7BD1">
        <w:rPr>
          <w:rFonts w:ascii="Calibri" w:hAnsi="Calibri" w:cs="Calibri"/>
          <w:b/>
          <w:bCs/>
          <w:shd w:val="clear" w:color="auto" w:fill="FFFFFF"/>
        </w:rPr>
        <w:t>family members</w:t>
      </w:r>
      <w:r w:rsidRPr="00DD7BD1">
        <w:rPr>
          <w:rFonts w:ascii="Calibri" w:hAnsi="Calibri" w:cs="Calibri"/>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Employees they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DD7BD1" w:rsidRDefault="00434AFC" w:rsidP="00434AFC">
      <w:pPr>
        <w:spacing w:after="0" w:line="240" w:lineRule="auto"/>
        <w:jc w:val="both"/>
        <w:rPr>
          <w:rFonts w:ascii="Calibri" w:hAnsi="Calibri" w:cs="Calibri"/>
          <w:shd w:val="clear" w:color="auto" w:fill="FFFFFF"/>
        </w:rPr>
      </w:pPr>
    </w:p>
    <w:p w14:paraId="21E953B8" w14:textId="5C26B318"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1" w:name="_Hlk205277445"/>
      <w:r w:rsidRPr="00DD7BD1">
        <w:rPr>
          <w:rFonts w:ascii="Calibri" w:hAnsi="Calibri" w:cs="Calibri"/>
          <w:b/>
          <w:bCs/>
          <w:sz w:val="28"/>
          <w:szCs w:val="28"/>
          <w:shd w:val="clear" w:color="auto" w:fill="FFFFFF"/>
        </w:rPr>
        <w:t>State Regulation IVF Coverage Mandate</w:t>
      </w:r>
    </w:p>
    <w:bookmarkEnd w:id="71"/>
    <w:p w14:paraId="0F3D773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Pr="00DD7BD1" w:rsidRDefault="00434AFC" w:rsidP="00434AFC">
      <w:pPr>
        <w:spacing w:after="0" w:line="240" w:lineRule="auto"/>
        <w:jc w:val="both"/>
        <w:rPr>
          <w:rFonts w:ascii="Calibri" w:hAnsi="Calibri" w:cs="Calibri"/>
          <w:shd w:val="clear" w:color="auto" w:fill="FFFFFF"/>
        </w:rPr>
      </w:pPr>
    </w:p>
    <w:p w14:paraId="2D4185D3"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45B7C8F8" w14:textId="77777777" w:rsidR="00434AFC" w:rsidRPr="00DD7BD1" w:rsidRDefault="00434AFC" w:rsidP="00434AFC">
      <w:pPr>
        <w:spacing w:after="0" w:line="240" w:lineRule="auto"/>
        <w:jc w:val="both"/>
        <w:rPr>
          <w:rFonts w:ascii="Calibri" w:hAnsi="Calibri" w:cs="Calibri"/>
          <w:shd w:val="clear" w:color="auto" w:fill="FFFFFF"/>
        </w:rPr>
      </w:pPr>
    </w:p>
    <w:p w14:paraId="36A5995A"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09F8E193" w14:textId="77777777" w:rsidR="00434AFC" w:rsidRPr="00DD7BD1" w:rsidRDefault="00434AFC" w:rsidP="00434AFC">
      <w:pPr>
        <w:spacing w:after="0" w:line="240" w:lineRule="auto"/>
        <w:jc w:val="both"/>
        <w:rPr>
          <w:rFonts w:ascii="Calibri" w:hAnsi="Calibri" w:cs="Calibri"/>
          <w:shd w:val="clear" w:color="auto" w:fill="FFFFFF"/>
        </w:rPr>
      </w:pPr>
    </w:p>
    <w:p w14:paraId="2BF269A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Pr="00DD7BD1" w:rsidRDefault="00434AFC" w:rsidP="00434AFC">
      <w:pPr>
        <w:spacing w:after="0" w:line="240" w:lineRule="auto"/>
        <w:jc w:val="both"/>
        <w:rPr>
          <w:rFonts w:ascii="Calibri" w:hAnsi="Calibri" w:cs="Calibri"/>
          <w:shd w:val="clear" w:color="auto" w:fill="FFFFFF"/>
        </w:rPr>
      </w:pPr>
    </w:p>
    <w:p w14:paraId="5752324F"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760D479" w14:textId="77777777" w:rsidR="00434AFC" w:rsidRPr="00DD7BD1" w:rsidRDefault="00434AFC" w:rsidP="00434AFC">
      <w:pPr>
        <w:spacing w:after="0" w:line="240" w:lineRule="auto"/>
        <w:jc w:val="both"/>
        <w:rPr>
          <w:rFonts w:ascii="Calibri" w:hAnsi="Calibri" w:cs="Calibri"/>
          <w:sz w:val="23"/>
          <w:szCs w:val="23"/>
          <w:shd w:val="clear" w:color="auto" w:fill="FFFFFF"/>
        </w:rPr>
      </w:pPr>
    </w:p>
    <w:p w14:paraId="28C3DC48" w14:textId="702A54FA"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2" w:name="_Hlk205277466"/>
      <w:r w:rsidRPr="00DD7BD1">
        <w:rPr>
          <w:rFonts w:ascii="Calibri" w:hAnsi="Calibri" w:cs="Calibri"/>
          <w:b/>
          <w:bCs/>
          <w:sz w:val="28"/>
          <w:szCs w:val="28"/>
          <w:shd w:val="clear" w:color="auto" w:fill="FFFFFF"/>
        </w:rPr>
        <w:t xml:space="preserve">Regulations Addressing AI &amp; Employment Discrimination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October 1, 2025</w:t>
      </w:r>
      <w:bookmarkEnd w:id="72"/>
    </w:p>
    <w:p w14:paraId="7CE6841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0BB01A8D"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537" w:tgtFrame="_blank" w:history="1">
        <w:r w:rsidRPr="00DD7BD1">
          <w:rPr>
            <w:rStyle w:val="Hyperlink"/>
            <w:rFonts w:ascii="Calibri" w:hAnsi="Calibri" w:cs="Calibri"/>
            <w:shd w:val="clear" w:color="auto" w:fill="FFFFFF"/>
          </w:rPr>
          <w:t>Civil Rights Council sought</w:t>
        </w:r>
      </w:hyperlink>
      <w:r w:rsidRPr="00DD7BD1">
        <w:rPr>
          <w:rFonts w:ascii="Calibri" w:hAnsi="Calibri" w:cs="Calibri"/>
          <w:shd w:val="clear" w:color="auto" w:fill="FFFFFF"/>
        </w:rPr>
        <w:t> to “increase[] clarity on how existing antidiscrimination laws apply to the use of artificial intelligence in employment decisions.”</w:t>
      </w:r>
    </w:p>
    <w:p w14:paraId="7DF7533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AA94A3B"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Practical Considerations for California Employers</w:t>
      </w:r>
    </w:p>
    <w:p w14:paraId="4B91A6D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the true impact of the new FEHA regulations remains to be seen, employers would be well-advised to </w:t>
      </w:r>
      <w:r w:rsidRPr="00DD7BD1">
        <w:rPr>
          <w:rFonts w:ascii="Calibri" w:hAnsi="Calibri" w:cs="Calibri"/>
          <w:u w:val="single"/>
          <w:shd w:val="clear" w:color="auto" w:fill="FFFFFF"/>
        </w:rPr>
        <w:t>catalog where and how any ADS and other AI tools are used in hiring, screening, and employment decisions to help ensure that the practices conform with the new FEHA regulations</w:t>
      </w:r>
      <w:r w:rsidRPr="00DD7BD1">
        <w:rPr>
          <w:rFonts w:ascii="Calibri" w:hAnsi="Calibri" w:cs="Calibri"/>
          <w:shd w:val="clear" w:color="auto" w:fill="FFFFFF"/>
        </w:rPr>
        <w:t xml:space="preserve">. </w:t>
      </w:r>
    </w:p>
    <w:p w14:paraId="2DB9F45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1DFD24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DD7BD1">
        <w:rPr>
          <w:rFonts w:ascii="Calibri" w:hAnsi="Calibri" w:cs="Calibri"/>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DD7BD1">
        <w:rPr>
          <w:rFonts w:ascii="Calibri" w:hAnsi="Calibri" w:cs="Calibri"/>
          <w:shd w:val="clear" w:color="auto" w:fill="FFFFFF"/>
        </w:rPr>
        <w:t>.</w:t>
      </w:r>
    </w:p>
    <w:p w14:paraId="129390E4"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22A4828"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should also consider </w:t>
      </w:r>
      <w:r w:rsidRPr="00DD7BD1">
        <w:rPr>
          <w:rFonts w:ascii="Calibri" w:hAnsi="Calibri" w:cs="Calibri"/>
          <w:u w:val="single"/>
          <w:shd w:val="clear" w:color="auto" w:fill="FFFFFF"/>
        </w:rPr>
        <w:t>requiring transparency and disclosure from vendors regarding their AI use</w:t>
      </w:r>
      <w:r w:rsidRPr="00DD7BD1">
        <w:rPr>
          <w:rFonts w:ascii="Calibri" w:hAnsi="Calibri" w:cs="Calibri"/>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1C393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CED7C6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5B54D1C" w14:textId="29D17392"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Recommendations extracted from the July 15, 2025 Greenberg Traurig article which can be found </w:t>
      </w:r>
      <w:hyperlink r:id="rId538" w:history="1">
        <w:r w:rsidRPr="00DD7BD1">
          <w:rPr>
            <w:rStyle w:val="Hyperlink"/>
            <w:rFonts w:ascii="Calibri" w:hAnsi="Calibri" w:cs="Calibri"/>
            <w:shd w:val="clear" w:color="auto" w:fill="FFFFFF"/>
          </w:rPr>
          <w:t>HERE</w:t>
        </w:r>
      </w:hyperlink>
    </w:p>
    <w:p w14:paraId="20AEEBBA" w14:textId="77777777" w:rsidR="00434AFC" w:rsidRPr="00DD7BD1" w:rsidRDefault="00434AFC" w:rsidP="00402F96">
      <w:pPr>
        <w:jc w:val="center"/>
        <w:rPr>
          <w:rFonts w:ascii="Calibri" w:hAnsi="Calibri" w:cs="Calibri"/>
          <w:b/>
          <w:bCs/>
          <w:sz w:val="16"/>
          <w:szCs w:val="16"/>
          <w:shd w:val="clear" w:color="auto" w:fill="FFFFFF"/>
          <w:lang w:val="en"/>
        </w:rPr>
      </w:pPr>
    </w:p>
    <w:p w14:paraId="127EA9FC" w14:textId="2D2933A4"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Minimum Wage Increases </w:t>
      </w:r>
      <w:r w:rsidRPr="00DD7BD1">
        <w:rPr>
          <w:rFonts w:ascii="Calibri" w:hAnsi="Calibri" w:cs="Calibri"/>
          <w:b/>
          <w:bCs/>
          <w:color w:val="C00000"/>
          <w:sz w:val="28"/>
          <w:szCs w:val="28"/>
          <w:shd w:val="clear" w:color="auto" w:fill="FFFFFF"/>
          <w:lang w:val="en"/>
        </w:rPr>
        <w:t>– July 1,2025</w:t>
      </w:r>
    </w:p>
    <w:p w14:paraId="204BE95D"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DD7BD1" w:rsidRDefault="00784E6F" w:rsidP="00402F96">
      <w:pPr>
        <w:jc w:val="center"/>
        <w:rPr>
          <w:rFonts w:ascii="Calibri" w:hAnsi="Calibri" w:cs="Calibri"/>
          <w:b/>
          <w:bCs/>
          <w:color w:val="C00000"/>
          <w:sz w:val="20"/>
          <w:szCs w:val="20"/>
          <w:shd w:val="clear" w:color="auto" w:fill="FFFFFF"/>
        </w:rPr>
      </w:pPr>
      <w:r w:rsidRPr="00DD7BD1">
        <w:rPr>
          <w:rFonts w:ascii="Calibri" w:hAnsi="Calibri" w:cs="Calibri"/>
          <w:b/>
          <w:bCs/>
          <w:noProof/>
          <w:color w:val="C00000"/>
          <w:sz w:val="20"/>
          <w:szCs w:val="20"/>
          <w:shd w:val="clear" w:color="auto" w:fill="FFFFFF"/>
        </w:rPr>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539"/>
                    <a:stretch>
                      <a:fillRect/>
                    </a:stretch>
                  </pic:blipFill>
                  <pic:spPr>
                    <a:xfrm>
                      <a:off x="0" y="0"/>
                      <a:ext cx="4234626" cy="3363955"/>
                    </a:xfrm>
                    <a:prstGeom prst="rect">
                      <a:avLst/>
                    </a:prstGeom>
                  </pic:spPr>
                </pic:pic>
              </a:graphicData>
            </a:graphic>
          </wp:inline>
        </w:drawing>
      </w:r>
    </w:p>
    <w:p w14:paraId="751A716F" w14:textId="26445C20" w:rsidR="00402F96" w:rsidRPr="00DD7BD1" w:rsidRDefault="00402F96" w:rsidP="00402F96">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sz w:val="20"/>
          <w:szCs w:val="20"/>
          <w:shd w:val="clear" w:color="auto" w:fill="FFFFFF"/>
        </w:rPr>
        <w:t>The minimum wage in other California localities, such as Alameda County, is also set to increase on July 1, 2025</w:t>
      </w:r>
    </w:p>
    <w:p w14:paraId="63160BE0" w14:textId="77777777" w:rsidR="00402F96" w:rsidRPr="00DD7BD1" w:rsidRDefault="00402F96" w:rsidP="0040292C">
      <w:pPr>
        <w:spacing w:after="0" w:line="240" w:lineRule="auto"/>
        <w:jc w:val="center"/>
        <w:rPr>
          <w:rFonts w:ascii="Calibri" w:hAnsi="Calibri" w:cs="Calibri"/>
          <w:b/>
          <w:bCs/>
          <w:color w:val="000000" w:themeColor="text1"/>
          <w:sz w:val="28"/>
          <w:szCs w:val="28"/>
          <w:shd w:val="clear" w:color="auto" w:fill="FFFFFF"/>
        </w:rPr>
      </w:pPr>
    </w:p>
    <w:p w14:paraId="6DF27DE5" w14:textId="64A32D84" w:rsidR="0040292C" w:rsidRPr="00DD7BD1" w:rsidRDefault="0040292C" w:rsidP="0040292C">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color w:val="000000" w:themeColor="text1"/>
          <w:sz w:val="28"/>
          <w:szCs w:val="28"/>
          <w:shd w:val="clear" w:color="auto" w:fill="FFFFFF"/>
        </w:rPr>
        <w:t xml:space="preserve">San Francisco Health Care Security Ordinance and Fair Chance Act Ordinances Require Annual Reporting Form – </w:t>
      </w:r>
      <w:r w:rsidRPr="00DD7BD1">
        <w:rPr>
          <w:rFonts w:ascii="Calibri" w:hAnsi="Calibri" w:cs="Calibri"/>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DD7BD1"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Pr="00DD7BD1" w:rsidRDefault="0040292C" w:rsidP="009E106B">
                  <w:pPr>
                    <w:spacing w:after="0" w:line="240" w:lineRule="auto"/>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covered by San Francisco’s Health Care Security Ordinance (HCSO) and/or Fair Chance Ordinance (FCO) must submit their 2024 Annual Reporting Form to the </w:t>
                  </w:r>
                  <w:hyperlink r:id="rId540" w:tgtFrame="_blank" w:history="1">
                    <w:r w:rsidRPr="00DD7BD1">
                      <w:rPr>
                        <w:rStyle w:val="Hyperlink"/>
                        <w:rFonts w:ascii="Calibri" w:hAnsi="Calibri" w:cs="Calibri"/>
                        <w:shd w:val="clear" w:color="auto" w:fill="FFFFFF"/>
                      </w:rPr>
                      <w:t>San Francisco Office of Labor Standards Enforcement (OLSE)</w:t>
                    </w:r>
                  </w:hyperlink>
                  <w:r w:rsidRPr="00DD7BD1">
                    <w:rPr>
                      <w:rFonts w:ascii="Calibri" w:hAnsi="Calibri" w:cs="Calibri"/>
                      <w:color w:val="C00000"/>
                      <w:shd w:val="clear" w:color="auto" w:fill="FFFFFF"/>
                    </w:rPr>
                    <w:t> </w:t>
                  </w:r>
                  <w:r w:rsidRPr="00DD7BD1">
                    <w:rPr>
                      <w:rFonts w:ascii="Calibri" w:hAnsi="Calibri" w:cs="Calibri"/>
                      <w:color w:val="000000" w:themeColor="text1"/>
                      <w:shd w:val="clear" w:color="auto" w:fill="FFFFFF"/>
                    </w:rPr>
                    <w:t xml:space="preserve">by </w:t>
                  </w:r>
                  <w:r w:rsidRPr="00DD7BD1">
                    <w:rPr>
                      <w:rFonts w:ascii="Calibri" w:hAnsi="Calibri" w:cs="Calibri"/>
                      <w:color w:val="C00000"/>
                      <w:shd w:val="clear" w:color="auto" w:fill="FFFFFF"/>
                    </w:rPr>
                    <w:t>May 2, 2025</w:t>
                  </w:r>
                  <w:r w:rsidRPr="00DD7BD1">
                    <w:rPr>
                      <w:rFonts w:ascii="Calibri" w:hAnsi="Calibri" w:cs="Calibri"/>
                      <w:color w:val="000000" w:themeColor="text1"/>
                      <w:shd w:val="clear" w:color="auto" w:fill="FFFFFF"/>
                    </w:rPr>
                    <w:t>.</w:t>
                  </w:r>
                </w:p>
                <w:p w14:paraId="1BC93FFE" w14:textId="77777777" w:rsidR="0040292C" w:rsidRPr="00DD7BD1" w:rsidRDefault="0040292C" w:rsidP="009E106B">
                  <w:pPr>
                    <w:spacing w:after="0" w:line="240" w:lineRule="auto"/>
                    <w:rPr>
                      <w:rFonts w:ascii="Calibri" w:hAnsi="Calibri" w:cs="Calibri"/>
                      <w:color w:val="C00000"/>
                      <w:sz w:val="12"/>
                      <w:szCs w:val="12"/>
                      <w:shd w:val="clear" w:color="auto" w:fill="FFFFFF"/>
                    </w:rPr>
                  </w:pPr>
                </w:p>
                <w:p w14:paraId="12A8BA75" w14:textId="77777777" w:rsidR="0040292C" w:rsidRPr="00DD7BD1" w:rsidRDefault="0040292C" w:rsidP="009E106B">
                  <w:pPr>
                    <w:spacing w:after="0" w:line="240" w:lineRule="auto"/>
                    <w:rPr>
                      <w:rFonts w:ascii="Calibri" w:hAnsi="Calibri" w:cs="Calibri"/>
                      <w:color w:val="C00000"/>
                      <w:shd w:val="clear" w:color="auto" w:fill="FFFFFF"/>
                    </w:rPr>
                  </w:pPr>
                  <w:r w:rsidRPr="00DD7BD1">
                    <w:rPr>
                      <w:rFonts w:ascii="Calibri" w:hAnsi="Calibri" w:cs="Calibri"/>
                      <w:color w:val="000000" w:themeColor="text1"/>
                      <w:shd w:val="clear" w:color="auto" w:fill="FFFFFF"/>
                    </w:rPr>
                    <w:t>More information about these two ordinances is available at the </w:t>
                  </w:r>
                  <w:hyperlink r:id="rId541" w:tgtFrame="_blank" w:history="1">
                    <w:r w:rsidRPr="00DD7BD1">
                      <w:rPr>
                        <w:rStyle w:val="Hyperlink"/>
                        <w:rFonts w:ascii="Calibri" w:hAnsi="Calibri" w:cs="Calibri"/>
                        <w:shd w:val="clear" w:color="auto" w:fill="FFFFFF"/>
                      </w:rPr>
                      <w:t>OLSE website</w:t>
                    </w:r>
                  </w:hyperlink>
                  <w:r w:rsidRPr="00DD7BD1">
                    <w:rPr>
                      <w:rFonts w:ascii="Calibri" w:hAnsi="Calibri" w:cs="Calibri"/>
                      <w:color w:val="000000" w:themeColor="text1"/>
                      <w:shd w:val="clear" w:color="auto" w:fill="FFFFFF"/>
                    </w:rPr>
                    <w:t> or see the resources provided at the end of this email.</w:t>
                  </w:r>
                </w:p>
              </w:tc>
            </w:tr>
          </w:tbl>
          <w:p w14:paraId="72F202DE"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81F2383"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HCSO Reporting Requirements</w:t>
                  </w:r>
                </w:p>
                <w:p w14:paraId="75357E41"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DD7BD1" w:rsidRDefault="0040292C" w:rsidP="009E106B">
                  <w:pPr>
                    <w:spacing w:after="0" w:line="240" w:lineRule="auto"/>
                    <w:rPr>
                      <w:rFonts w:ascii="Calibri" w:hAnsi="Calibri" w:cs="Calibri"/>
                      <w:sz w:val="12"/>
                      <w:szCs w:val="12"/>
                      <w:shd w:val="clear" w:color="auto" w:fill="FFFFFF"/>
                    </w:rPr>
                  </w:pPr>
                </w:p>
                <w:p w14:paraId="569FFBF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HCSO:</w:t>
                  </w:r>
                </w:p>
                <w:p w14:paraId="5292CAD0" w14:textId="77777777" w:rsidR="0040292C" w:rsidRPr="00DD7BD1" w:rsidRDefault="0040292C">
                  <w:pPr>
                    <w:numPr>
                      <w:ilvl w:val="0"/>
                      <w:numId w:val="162"/>
                    </w:numPr>
                    <w:spacing w:after="0" w:line="240" w:lineRule="auto"/>
                    <w:rPr>
                      <w:rFonts w:ascii="Calibri" w:hAnsi="Calibri" w:cs="Calibri"/>
                      <w:shd w:val="clear" w:color="auto" w:fill="FFFFFF"/>
                    </w:rPr>
                  </w:pPr>
                  <w:r w:rsidRPr="00DD7BD1">
                    <w:rPr>
                      <w:rFonts w:ascii="Calibri" w:hAnsi="Calibri" w:cs="Calibri"/>
                      <w:shd w:val="clear" w:color="auto" w:fill="FFFFFF"/>
                    </w:rPr>
                    <w:t>Employ one or more workers within the geographic boundaries of the city and county of San Francisco;</w:t>
                  </w:r>
                </w:p>
                <w:p w14:paraId="647B665A" w14:textId="77777777" w:rsidR="0040292C" w:rsidRPr="00DD7BD1" w:rsidRDefault="0040292C">
                  <w:pPr>
                    <w:numPr>
                      <w:ilvl w:val="0"/>
                      <w:numId w:val="163"/>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obtain a valid San Francisco business registration certificate; and</w:t>
                  </w:r>
                </w:p>
                <w:p w14:paraId="6D126DE6" w14:textId="77777777" w:rsidR="0040292C" w:rsidRPr="00DD7BD1" w:rsidRDefault="0040292C">
                  <w:pPr>
                    <w:numPr>
                      <w:ilvl w:val="0"/>
                      <w:numId w:val="164"/>
                    </w:numPr>
                    <w:spacing w:after="0" w:line="240" w:lineRule="auto"/>
                    <w:rPr>
                      <w:rFonts w:ascii="Calibri" w:hAnsi="Calibri" w:cs="Calibri"/>
                      <w:shd w:val="clear" w:color="auto" w:fill="FFFFFF"/>
                    </w:rPr>
                  </w:pPr>
                  <w:r w:rsidRPr="00DD7BD1">
                    <w:rPr>
                      <w:rFonts w:ascii="Calibri" w:hAnsi="Calibri" w:cs="Calibri"/>
                      <w:shd w:val="clear" w:color="auto" w:fill="FFFFFF"/>
                    </w:rPr>
                    <w:t>Are a for-profit business with 20 or more people performing work, or a nonprofit organization with 50 or more people performing work. (This includes all persons working for the entity, regardless of whether they are located in San Francisco or outside of the city.)</w:t>
                  </w:r>
                </w:p>
                <w:p w14:paraId="770EFD46"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FCO (Fair Chance Ordinance) Reporting Requirements</w:t>
                  </w:r>
                </w:p>
                <w:p w14:paraId="4E8A2494"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DD7BD1" w:rsidRDefault="0040292C" w:rsidP="009E106B">
                  <w:pPr>
                    <w:spacing w:after="0" w:line="240" w:lineRule="auto"/>
                    <w:rPr>
                      <w:rFonts w:ascii="Calibri" w:hAnsi="Calibri" w:cs="Calibri"/>
                      <w:shd w:val="clear" w:color="auto" w:fill="FFFFFF"/>
                    </w:rPr>
                  </w:pPr>
                </w:p>
                <w:p w14:paraId="2D2E3844"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FCO:</w:t>
                  </w:r>
                </w:p>
                <w:p w14:paraId="61315846" w14:textId="77777777" w:rsidR="0040292C" w:rsidRPr="00DD7BD1" w:rsidRDefault="0040292C">
                  <w:pPr>
                    <w:numPr>
                      <w:ilvl w:val="0"/>
                      <w:numId w:val="165"/>
                    </w:numPr>
                    <w:spacing w:after="0" w:line="240" w:lineRule="auto"/>
                    <w:rPr>
                      <w:rFonts w:ascii="Calibri" w:hAnsi="Calibri" w:cs="Calibri"/>
                      <w:shd w:val="clear" w:color="auto" w:fill="FFFFFF"/>
                    </w:rPr>
                  </w:pPr>
                  <w:r w:rsidRPr="00DD7BD1">
                    <w:rPr>
                      <w:rFonts w:ascii="Calibri" w:hAnsi="Calibri" w:cs="Calibri"/>
                      <w:shd w:val="clear" w:color="auto" w:fill="FFFFFF"/>
                    </w:rPr>
                    <w:t>Are located or doing business in San Francisco; and</w:t>
                  </w:r>
                </w:p>
                <w:p w14:paraId="3D1471E3" w14:textId="77777777" w:rsidR="0040292C" w:rsidRPr="00DD7BD1" w:rsidRDefault="0040292C">
                  <w:pPr>
                    <w:numPr>
                      <w:ilvl w:val="0"/>
                      <w:numId w:val="166"/>
                    </w:numPr>
                    <w:spacing w:after="0" w:line="240" w:lineRule="auto"/>
                    <w:rPr>
                      <w:rFonts w:ascii="Calibri" w:hAnsi="Calibri" w:cs="Calibri"/>
                      <w:shd w:val="clear" w:color="auto" w:fill="FFFFFF"/>
                    </w:rPr>
                  </w:pPr>
                  <w:r w:rsidRPr="00DD7BD1">
                    <w:rPr>
                      <w:rFonts w:ascii="Calibri" w:hAnsi="Calibri" w:cs="Calibri"/>
                      <w:shd w:val="clear" w:color="auto" w:fill="FFFFFF"/>
                    </w:rPr>
                    <w:t>Have five or more employees, regardless of whether those employees are all located in San Francisco.</w:t>
                  </w:r>
                </w:p>
                <w:p w14:paraId="5461DFFD" w14:textId="77777777" w:rsidR="0040292C" w:rsidRPr="00DD7BD1" w:rsidRDefault="0040292C" w:rsidP="009E106B">
                  <w:pPr>
                    <w:spacing w:after="0" w:line="240" w:lineRule="auto"/>
                    <w:rPr>
                      <w:rFonts w:ascii="Calibri" w:hAnsi="Calibri" w:cs="Calibri"/>
                      <w:u w:val="single"/>
                      <w:shd w:val="clear" w:color="auto" w:fill="FFFFFF"/>
                    </w:rPr>
                  </w:pPr>
                </w:p>
                <w:p w14:paraId="49DAD489"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 must annually disclose various information, including:</w:t>
                  </w:r>
                </w:p>
                <w:p w14:paraId="6B186DA0" w14:textId="77777777" w:rsidR="0040292C" w:rsidRPr="00DD7BD1" w:rsidRDefault="0040292C">
                  <w:pPr>
                    <w:numPr>
                      <w:ilvl w:val="0"/>
                      <w:numId w:val="167"/>
                    </w:numPr>
                    <w:spacing w:after="0" w:line="240" w:lineRule="auto"/>
                    <w:rPr>
                      <w:rFonts w:ascii="Calibri" w:hAnsi="Calibri" w:cs="Calibri"/>
                      <w:shd w:val="clear" w:color="auto" w:fill="FFFFFF"/>
                    </w:rPr>
                  </w:pPr>
                  <w:r w:rsidRPr="00DD7BD1">
                    <w:rPr>
                      <w:rFonts w:ascii="Calibri" w:hAnsi="Calibri" w:cs="Calibri"/>
                      <w:shd w:val="clear" w:color="auto" w:fill="FFFFFF"/>
                    </w:rPr>
                    <w:t>The total number of employees hired to work within San Francisco for the prior calendar year;</w:t>
                  </w:r>
                </w:p>
                <w:p w14:paraId="23327582" w14:textId="77777777" w:rsidR="0040292C" w:rsidRPr="00DD7BD1" w:rsidRDefault="0040292C">
                  <w:pPr>
                    <w:numPr>
                      <w:ilvl w:val="0"/>
                      <w:numId w:val="168"/>
                    </w:numPr>
                    <w:spacing w:after="0" w:line="240" w:lineRule="auto"/>
                    <w:rPr>
                      <w:rFonts w:ascii="Calibri" w:hAnsi="Calibri" w:cs="Calibri"/>
                      <w:shd w:val="clear" w:color="auto" w:fill="FFFFFF"/>
                    </w:rPr>
                  </w:pPr>
                  <w:r w:rsidRPr="00DD7BD1">
                    <w:rPr>
                      <w:rFonts w:ascii="Calibri" w:hAnsi="Calibri" w:cs="Calibri"/>
                      <w:shd w:val="clear" w:color="auto" w:fill="FFFFFF"/>
                    </w:rPr>
                    <w:t>Whether background checks were performed on job applicants; and</w:t>
                  </w:r>
                </w:p>
                <w:p w14:paraId="61D2C2BB" w14:textId="77777777" w:rsidR="0040292C" w:rsidRPr="00DD7BD1" w:rsidRDefault="0040292C">
                  <w:pPr>
                    <w:numPr>
                      <w:ilvl w:val="0"/>
                      <w:numId w:val="169"/>
                    </w:numPr>
                    <w:spacing w:after="0" w:line="240" w:lineRule="auto"/>
                    <w:rPr>
                      <w:rFonts w:ascii="Calibri" w:hAnsi="Calibri" w:cs="Calibri"/>
                      <w:shd w:val="clear" w:color="auto" w:fill="FFFFFF"/>
                    </w:rPr>
                  </w:pPr>
                  <w:r w:rsidRPr="00DD7BD1">
                    <w:rPr>
                      <w:rFonts w:ascii="Calibri" w:hAnsi="Calibri" w:cs="Calibri"/>
                      <w:shd w:val="clear" w:color="auto" w:fill="FFFFFF"/>
                    </w:rPr>
                    <w:t>If individuals with conviction histories were hired.</w:t>
                  </w:r>
                </w:p>
              </w:tc>
            </w:tr>
          </w:tbl>
          <w:p w14:paraId="3521756E"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Employers covered by either of these two San Francisco ordinances </w:t>
                  </w:r>
                  <w:r w:rsidRPr="00DD7BD1">
                    <w:rPr>
                      <w:rFonts w:ascii="Calibri" w:hAnsi="Calibri" w:cs="Calibri"/>
                      <w:u w:val="single"/>
                      <w:shd w:val="clear" w:color="auto" w:fill="FFFFFF"/>
                    </w:rPr>
                    <w:t>must complete and submit</w:t>
                  </w:r>
                  <w:r w:rsidRPr="00DD7BD1">
                    <w:rPr>
                      <w:rFonts w:ascii="Calibri" w:hAnsi="Calibri" w:cs="Calibri"/>
                      <w:shd w:val="clear" w:color="auto" w:fill="FFFFFF"/>
                    </w:rPr>
                    <w:t> the Annual Reporting Form by May 2, 2025. Failure to submit it by the deadline may subject employers to a penalty of $500 per quarter.</w:t>
                  </w:r>
                </w:p>
                <w:p w14:paraId="0A859AC7" w14:textId="77777777" w:rsidR="0040292C" w:rsidRPr="00DD7BD1" w:rsidRDefault="0040292C" w:rsidP="009E106B">
                  <w:pPr>
                    <w:spacing w:after="0" w:line="240" w:lineRule="auto"/>
                    <w:rPr>
                      <w:rFonts w:ascii="Calibri" w:hAnsi="Calibri" w:cs="Calibri"/>
                      <w:shd w:val="clear" w:color="auto" w:fill="FFFFFF"/>
                    </w:rPr>
                  </w:pPr>
                </w:p>
                <w:p w14:paraId="428F6842"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2024 Form, annual reporting instructions and additional guidance can be found on the </w:t>
                  </w:r>
                  <w:hyperlink r:id="rId542" w:tgtFrame="_blank" w:history="1">
                    <w:r w:rsidRPr="00DD7BD1">
                      <w:rPr>
                        <w:rStyle w:val="Hyperlink"/>
                        <w:rFonts w:ascii="Calibri" w:hAnsi="Calibri" w:cs="Calibri"/>
                        <w:shd w:val="clear" w:color="auto" w:fill="FFFFFF"/>
                      </w:rPr>
                      <w:t>Annual Reporting Form website</w:t>
                    </w:r>
                  </w:hyperlink>
                  <w:r w:rsidRPr="00DD7BD1">
                    <w:rPr>
                      <w:rStyle w:val="Hyperlink"/>
                      <w:rFonts w:ascii="Calibri" w:hAnsi="Calibri" w:cs="Calibri"/>
                    </w:rPr>
                    <w:t>.</w:t>
                  </w:r>
                </w:p>
              </w:tc>
            </w:tr>
          </w:tbl>
          <w:p w14:paraId="0DF16830"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Resources:</w:t>
                  </w:r>
                </w:p>
                <w:p w14:paraId="3A5868C1"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43" w:tgtFrame="_blank" w:history="1">
                    <w:r w:rsidRPr="00DD7BD1">
                      <w:rPr>
                        <w:rStyle w:val="Hyperlink"/>
                        <w:rFonts w:ascii="Calibri" w:hAnsi="Calibri" w:cs="Calibri"/>
                        <w:shd w:val="clear" w:color="auto" w:fill="FFFFFF"/>
                      </w:rPr>
                      <w:t>San Francisco Fair Chance Ordinance</w:t>
                    </w:r>
                  </w:hyperlink>
                </w:p>
                <w:p w14:paraId="6CB7760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44" w:tgtFrame="_blank" w:history="1">
                    <w:r w:rsidRPr="00DD7BD1">
                      <w:rPr>
                        <w:rStyle w:val="Hyperlink"/>
                        <w:rFonts w:ascii="Calibri" w:hAnsi="Calibri" w:cs="Calibri"/>
                        <w:shd w:val="clear" w:color="auto" w:fill="FFFFFF"/>
                      </w:rPr>
                      <w:t>San Francisco Health Care Security Ordinance</w:t>
                    </w:r>
                  </w:hyperlink>
                </w:p>
                <w:p w14:paraId="55373498"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45" w:tgtFrame="_blank" w:history="1">
                    <w:r w:rsidRPr="00DD7BD1">
                      <w:rPr>
                        <w:rStyle w:val="Hyperlink"/>
                        <w:rFonts w:ascii="Calibri" w:hAnsi="Calibri" w:cs="Calibri"/>
                        <w:shd w:val="clear" w:color="auto" w:fill="FFFFFF"/>
                      </w:rPr>
                      <w:t>San Francisco Office of Labor Standards Enforcement</w:t>
                    </w:r>
                  </w:hyperlink>
                </w:p>
                <w:p w14:paraId="41E98D7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46" w:tgtFrame="_blank" w:history="1">
                    <w:r w:rsidRPr="00DD7BD1">
                      <w:rPr>
                        <w:rStyle w:val="Hyperlink"/>
                        <w:rFonts w:ascii="Calibri" w:hAnsi="Calibri" w:cs="Calibri"/>
                        <w:shd w:val="clear" w:color="auto" w:fill="FFFFFF"/>
                      </w:rPr>
                      <w:t>Annual Reporting Portal for the Office of Labor Standards Enforcement</w:t>
                    </w:r>
                  </w:hyperlink>
                </w:p>
              </w:tc>
            </w:tr>
          </w:tbl>
          <w:p w14:paraId="4D696C68"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C2B2336" w14:textId="77777777" w:rsidR="0040292C" w:rsidRPr="00DD7BD1" w:rsidRDefault="0040292C" w:rsidP="00BD445F">
      <w:pPr>
        <w:spacing w:after="0" w:line="240" w:lineRule="auto"/>
        <w:jc w:val="center"/>
        <w:rPr>
          <w:rFonts w:ascii="Calibri" w:hAnsi="Calibri" w:cs="Calibri"/>
          <w:b/>
          <w:bCs/>
          <w:sz w:val="28"/>
          <w:szCs w:val="28"/>
          <w:shd w:val="clear" w:color="auto" w:fill="FFFFFF"/>
          <w:lang w:val="en"/>
        </w:rPr>
      </w:pPr>
    </w:p>
    <w:p w14:paraId="661871C9" w14:textId="249F3E7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Pay Data Report Filing Platform Opens </w:t>
      </w:r>
      <w:r w:rsidRPr="00DD7BD1">
        <w:rPr>
          <w:rFonts w:ascii="Calibri" w:hAnsi="Calibri" w:cs="Calibri"/>
          <w:b/>
          <w:bCs/>
          <w:color w:val="C00000"/>
          <w:sz w:val="28"/>
          <w:szCs w:val="28"/>
          <w:shd w:val="clear" w:color="auto" w:fill="FFFFFF"/>
          <w:lang w:val="en"/>
        </w:rPr>
        <w:t>Feb 3, 2025 &amp; Filing Due May 14</w:t>
      </w:r>
    </w:p>
    <w:p w14:paraId="52D2286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Pr="00DD7BD1" w:rsidRDefault="00BD445F" w:rsidP="00BD445F">
      <w:pPr>
        <w:spacing w:after="0" w:line="240" w:lineRule="auto"/>
        <w:rPr>
          <w:rFonts w:ascii="Calibri" w:hAnsi="Calibri" w:cs="Calibri"/>
          <w:shd w:val="clear" w:color="auto" w:fill="FFFFFF"/>
        </w:rPr>
      </w:pPr>
    </w:p>
    <w:p w14:paraId="2AFF423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Pr="00DD7BD1" w:rsidRDefault="00BD445F" w:rsidP="00BD445F">
      <w:pPr>
        <w:spacing w:after="0" w:line="240" w:lineRule="auto"/>
        <w:rPr>
          <w:rFonts w:ascii="Calibri" w:hAnsi="Calibri" w:cs="Calibri"/>
          <w:shd w:val="clear" w:color="auto" w:fill="FFFFFF"/>
        </w:rPr>
      </w:pPr>
    </w:p>
    <w:p w14:paraId="774A7069"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Reminders:</w:t>
      </w:r>
    </w:p>
    <w:p w14:paraId="7DC76D8B" w14:textId="777777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DD7BD1" w:rsidRDefault="00BB4530" w:rsidP="00BB4530">
      <w:pPr>
        <w:spacing w:after="0" w:line="240" w:lineRule="auto"/>
        <w:ind w:left="720"/>
        <w:rPr>
          <w:rFonts w:ascii="Calibri" w:hAnsi="Calibri" w:cs="Calibri"/>
          <w:shd w:val="clear" w:color="auto" w:fill="FFFFFF"/>
        </w:rPr>
      </w:pPr>
    </w:p>
    <w:p w14:paraId="34212E58" w14:textId="16BAB322"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Updates FAQs for Paid Sick Leave</w:t>
      </w:r>
    </w:p>
    <w:p w14:paraId="77FBC25A" w14:textId="77777777" w:rsidR="00BD445F" w:rsidRPr="00DD7BD1" w:rsidRDefault="00BD445F" w:rsidP="00BD445F">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California Department of Industrial Relations has updated its </w:t>
      </w:r>
      <w:hyperlink r:id="rId547"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(FAQs) for the </w:t>
      </w:r>
      <w:hyperlink r:id="rId548" w:history="1">
        <w:r w:rsidRPr="00DD7BD1">
          <w:rPr>
            <w:rStyle w:val="Hyperlink"/>
            <w:rFonts w:ascii="Calibri" w:hAnsi="Calibri" w:cs="Calibri"/>
            <w:shd w:val="clear" w:color="auto" w:fill="FFFFFF"/>
          </w:rPr>
          <w:t>Healthy Workplaces, Healthy Family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Pr="00DD7BD1" w:rsidRDefault="00BD445F" w:rsidP="00B939E8">
      <w:pPr>
        <w:spacing w:after="0" w:line="240" w:lineRule="auto"/>
        <w:jc w:val="center"/>
        <w:rPr>
          <w:rFonts w:ascii="Calibri" w:hAnsi="Calibri" w:cs="Calibri"/>
          <w:b/>
          <w:bCs/>
          <w:sz w:val="28"/>
          <w:szCs w:val="28"/>
          <w:shd w:val="clear" w:color="auto" w:fill="FFFFFF"/>
          <w:lang w:val="en"/>
        </w:rPr>
      </w:pPr>
    </w:p>
    <w:p w14:paraId="78D11CC3" w14:textId="69724789"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California’s Bird Flu State of Emergency Notice Requirements</w:t>
      </w:r>
    </w:p>
    <w:p w14:paraId="094955D6"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On December 18, 2024, California Governor Gavin Newsom issued a statewide </w:t>
      </w:r>
      <w:hyperlink r:id="rId549" w:tgtFrame="_blank" w:history="1">
        <w:r w:rsidRPr="00DD7BD1">
          <w:rPr>
            <w:rStyle w:val="Hyperlink"/>
            <w:rFonts w:ascii="Calibri" w:hAnsi="Calibri" w:cs="Calibri"/>
            <w:shd w:val="clear" w:color="auto" w:fill="FFFFFF"/>
          </w:rPr>
          <w:t>emergency proclamation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DD7BD1" w:rsidRDefault="00B939E8" w:rsidP="00B939E8">
      <w:pPr>
        <w:spacing w:after="0" w:line="240" w:lineRule="auto"/>
        <w:rPr>
          <w:rFonts w:ascii="Calibri" w:hAnsi="Calibri" w:cs="Calibri"/>
          <w:sz w:val="12"/>
          <w:szCs w:val="12"/>
          <w:shd w:val="clear" w:color="auto" w:fill="FFFFFF"/>
        </w:rPr>
      </w:pPr>
    </w:p>
    <w:p w14:paraId="786D09B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Enacted in 2023, </w:t>
      </w:r>
      <w:hyperlink r:id="rId550" w:tgtFrame="_blank" w:history="1">
        <w:r w:rsidRPr="00DD7BD1">
          <w:rPr>
            <w:rStyle w:val="Hyperlink"/>
            <w:rFonts w:ascii="Calibri" w:hAnsi="Calibri" w:cs="Calibri"/>
            <w:shd w:val="clear" w:color="auto" w:fill="FFFFFF"/>
          </w:rPr>
          <w:t>AB 636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DD7BD1">
        <w:rPr>
          <w:rFonts w:ascii="Calibri" w:hAnsi="Calibri" w:cs="Calibri"/>
          <w:i/>
          <w:iCs/>
          <w:shd w:val="clear" w:color="auto" w:fill="FFFFFF"/>
        </w:rPr>
        <w:t>Notice to Employee</w:t>
      </w:r>
      <w:r w:rsidRPr="00DD7BD1">
        <w:rPr>
          <w:rFonts w:ascii="Calibri" w:hAnsi="Calibri" w:cs="Calibri"/>
          <w:shd w:val="clear" w:color="auto" w:fill="FFFFFF"/>
        </w:rPr>
        <w:t> regarding the existence of a federal or California emergency or disaster declaration relating to the county or counties where the employee is employed.</w:t>
      </w:r>
    </w:p>
    <w:p w14:paraId="0A1A33A8" w14:textId="77777777" w:rsidR="00B939E8" w:rsidRPr="00DD7BD1" w:rsidRDefault="00B939E8" w:rsidP="00B939E8">
      <w:pPr>
        <w:spacing w:after="0" w:line="240" w:lineRule="auto"/>
        <w:rPr>
          <w:rFonts w:ascii="Calibri" w:hAnsi="Calibri" w:cs="Calibri"/>
          <w:sz w:val="12"/>
          <w:szCs w:val="12"/>
          <w:shd w:val="clear" w:color="auto" w:fill="FFFFFF"/>
        </w:rPr>
      </w:pPr>
    </w:p>
    <w:p w14:paraId="2A3C71D9"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DD7BD1" w:rsidRDefault="00B939E8" w:rsidP="00B939E8">
      <w:pPr>
        <w:spacing w:after="0" w:line="240" w:lineRule="auto"/>
        <w:rPr>
          <w:rFonts w:ascii="Calibri" w:hAnsi="Calibri" w:cs="Calibri"/>
          <w:sz w:val="12"/>
          <w:szCs w:val="12"/>
          <w:shd w:val="clear" w:color="auto" w:fill="FFFFFF"/>
        </w:rPr>
      </w:pPr>
    </w:p>
    <w:p w14:paraId="4D9FE0DB"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Lastly, as a reminder, the </w:t>
      </w:r>
      <w:r w:rsidRPr="00DD7BD1">
        <w:rPr>
          <w:rFonts w:ascii="Calibri" w:hAnsi="Calibri" w:cs="Calibri"/>
          <w:i/>
          <w:iCs/>
          <w:shd w:val="clear" w:color="auto" w:fill="FFFFFF"/>
        </w:rPr>
        <w:t>Notice to Employee</w:t>
      </w:r>
      <w:r w:rsidRPr="00DD7BD1">
        <w:rPr>
          <w:rFonts w:ascii="Calibri" w:hAnsi="Calibri" w:cs="Calibri"/>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DD7BD1" w:rsidRDefault="00B939E8" w:rsidP="003B7BFE">
      <w:pPr>
        <w:spacing w:after="0" w:line="240" w:lineRule="auto"/>
        <w:jc w:val="center"/>
        <w:rPr>
          <w:rFonts w:ascii="Calibri" w:hAnsi="Calibri" w:cs="Calibri"/>
          <w:b/>
          <w:bCs/>
          <w:shd w:val="clear" w:color="auto" w:fill="FFFFFF"/>
          <w:lang w:val="en"/>
        </w:rPr>
      </w:pPr>
    </w:p>
    <w:p w14:paraId="41FAF563" w14:textId="2483AC99" w:rsidR="003B7BFE" w:rsidRPr="00DD7BD1" w:rsidRDefault="003B7BFE" w:rsidP="003B7BF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73" w:name="_Hlk209767387"/>
      <w:r w:rsidRPr="00DD7BD1">
        <w:rPr>
          <w:rFonts w:ascii="Calibri" w:hAnsi="Calibri" w:cs="Calibri"/>
          <w:b/>
          <w:bCs/>
          <w:sz w:val="28"/>
          <w:szCs w:val="28"/>
          <w:shd w:val="clear" w:color="auto" w:fill="FFFFFF"/>
          <w:lang w:val="en"/>
        </w:rPr>
        <w:t xml:space="preserve">San Diego County Fair Chance Ordinance  - </w:t>
      </w:r>
      <w:r w:rsidRPr="00DD7BD1">
        <w:rPr>
          <w:rFonts w:ascii="Calibri" w:hAnsi="Calibri" w:cs="Calibri"/>
          <w:b/>
          <w:bCs/>
          <w:color w:val="C00000"/>
          <w:sz w:val="28"/>
          <w:szCs w:val="28"/>
          <w:shd w:val="clear" w:color="auto" w:fill="FFFFFF"/>
          <w:lang w:val="en"/>
        </w:rPr>
        <w:t>Oct 10, 2024</w:t>
      </w:r>
    </w:p>
    <w:p w14:paraId="53A4ADF5"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San Diego County enacted the Fair Chance Ordinance for the </w:t>
      </w:r>
      <w:hyperlink r:id="rId551" w:tgtFrame="_blank" w:history="1">
        <w:r w:rsidRPr="00DD7BD1">
          <w:rPr>
            <w:rStyle w:val="Hyperlink"/>
            <w:rFonts w:ascii="Calibri" w:hAnsi="Calibri" w:cs="Calibri"/>
            <w:shd w:val="clear" w:color="auto" w:fill="FFFFFF"/>
          </w:rPr>
          <w:t>unincorporated areas of San Diego County</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aimed at increasing employment opportunities for individuals with criminal histories.</w:t>
      </w:r>
    </w:p>
    <w:p w14:paraId="6FB2656B"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ordinance, which took effect October 10, </w:t>
      </w:r>
      <w:r w:rsidRPr="00DD7BD1">
        <w:rPr>
          <w:rFonts w:ascii="Calibri" w:hAnsi="Calibri" w:cs="Calibri"/>
          <w:b/>
          <w:bCs/>
          <w:u w:val="single"/>
          <w:shd w:val="clear" w:color="auto" w:fill="FFFFFF"/>
        </w:rPr>
        <w:t>largely mirrors the existing</w:t>
      </w:r>
      <w:r w:rsidRPr="00DD7BD1">
        <w:rPr>
          <w:rFonts w:ascii="Calibri" w:hAnsi="Calibri" w:cs="Calibri"/>
          <w:shd w:val="clear" w:color="auto" w:fill="FFFFFF"/>
        </w:rPr>
        <w:t> </w:t>
      </w:r>
      <w:hyperlink r:id="rId552" w:tgtFrame="_blank" w:history="1">
        <w:r w:rsidRPr="00DD7BD1">
          <w:rPr>
            <w:rStyle w:val="Hyperlink"/>
            <w:rFonts w:ascii="Calibri" w:hAnsi="Calibri" w:cs="Calibri"/>
            <w:shd w:val="clear" w:color="auto" w:fill="FFFFFF"/>
          </w:rPr>
          <w:t>California Fair Chance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while introducing some new requirements.</w:t>
      </w:r>
    </w:p>
    <w:p w14:paraId="29E9BCC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If a job offer is revoked, the applicant has a review and response period. During this period, the employer may not fill the position absent exigent circumstances.</w:t>
      </w:r>
    </w:p>
    <w:p w14:paraId="46C25BC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Starting on July 1, 2025, employers can face administrative penalties for non-compliance ranging from $5,000 to $20,000.</w:t>
      </w:r>
    </w:p>
    <w:p w14:paraId="2947FE45" w14:textId="77777777" w:rsidR="003B7BFE" w:rsidRPr="00DD7BD1" w:rsidRDefault="003B7BFE" w:rsidP="003B7BFE">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Employers should:</w:t>
      </w:r>
    </w:p>
    <w:p w14:paraId="49F26526"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Review and update documents.</w:t>
      </w:r>
      <w:r w:rsidRPr="00DD7BD1">
        <w:rPr>
          <w:rFonts w:ascii="Calibri" w:hAnsi="Calibri" w:cs="Calibri"/>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Train hiring managers.</w:t>
      </w:r>
      <w:r w:rsidRPr="00DD7BD1">
        <w:rPr>
          <w:rFonts w:ascii="Calibri" w:hAnsi="Calibri" w:cs="Calibri"/>
          <w:shd w:val="clear" w:color="auto" w:fill="FFFFFF"/>
        </w:rPr>
        <w:t> Educate those involved in the hiring process about the ordinance’s requirements and the importance of conducting individualized assessments.</w:t>
      </w:r>
    </w:p>
    <w:p w14:paraId="0EE528F2"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Assess recordkeeping procedures.</w:t>
      </w:r>
      <w:r w:rsidRPr="00DD7BD1">
        <w:rPr>
          <w:rFonts w:ascii="Calibri" w:hAnsi="Calibri" w:cs="Calibri"/>
          <w:shd w:val="clear" w:color="auto" w:fill="FFFFFF"/>
        </w:rPr>
        <w:t> Review recordkeeping procedures to ensure compliance, and maintain required records of all assessments and decisions.</w:t>
      </w:r>
    </w:p>
    <w:p w14:paraId="7EA23088" w14:textId="5DA6503B"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has published the </w:t>
      </w:r>
      <w:hyperlink r:id="rId553"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and provided additional guidance on its webpages</w:t>
      </w:r>
    </w:p>
    <w:p w14:paraId="2AFA6B12"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p>
    <w:bookmarkEnd w:id="73"/>
    <w:p w14:paraId="3E736DD3" w14:textId="4C6CA27B" w:rsidR="00CD70B8" w:rsidRPr="00DD7BD1" w:rsidRDefault="00CD70B8" w:rsidP="003B7BFE">
      <w:pPr>
        <w:spacing w:line="240" w:lineRule="auto"/>
        <w:jc w:val="center"/>
        <w:rPr>
          <w:rFonts w:ascii="Calibri" w:hAnsi="Calibri" w:cs="Calibri"/>
          <w:b/>
          <w:bCs/>
          <w:color w:val="C00000"/>
          <w:sz w:val="28"/>
          <w:szCs w:val="28"/>
          <w:shd w:val="clear" w:color="auto" w:fill="FFFFFF"/>
        </w:rPr>
      </w:pPr>
      <w:r w:rsidRPr="00DD7BD1">
        <w:rPr>
          <w:rFonts w:ascii="Calibri" w:hAnsi="Calibri" w:cs="Calibri"/>
          <w:b/>
          <w:bCs/>
          <w:color w:val="7030A0"/>
          <w:sz w:val="28"/>
          <w:szCs w:val="28"/>
          <w:u w:val="single"/>
          <w:shd w:val="clear" w:color="auto" w:fill="FFFFFF"/>
        </w:rPr>
        <w:t>San Diego County</w:t>
      </w:r>
      <w:r w:rsidRPr="00DD7BD1">
        <w:rPr>
          <w:rFonts w:ascii="Calibri" w:hAnsi="Calibri" w:cs="Calibri"/>
          <w:b/>
          <w:bCs/>
          <w:color w:val="7030A0"/>
          <w:sz w:val="28"/>
          <w:szCs w:val="28"/>
          <w:shd w:val="clear" w:color="auto" w:fill="FFFFFF"/>
        </w:rPr>
        <w:t> </w:t>
      </w:r>
      <w:r w:rsidRPr="00DD7BD1">
        <w:rPr>
          <w:rFonts w:ascii="Calibri" w:hAnsi="Calibri" w:cs="Calibri"/>
          <w:b/>
          <w:bCs/>
          <w:sz w:val="28"/>
          <w:szCs w:val="28"/>
          <w:shd w:val="clear" w:color="auto" w:fill="FFFFFF"/>
        </w:rPr>
        <w:t xml:space="preserve">Passes new Criminal Record Screening Regulations </w:t>
      </w:r>
      <w:bookmarkEnd w:id="52"/>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 10, 2024</w:t>
      </w:r>
    </w:p>
    <w:p w14:paraId="6D490D85" w14:textId="77777777" w:rsidR="00CD70B8" w:rsidRPr="00DD7BD1" w:rsidRDefault="00CD70B8" w:rsidP="00CD70B8">
      <w:pPr>
        <w:spacing w:line="240" w:lineRule="auto"/>
        <w:rPr>
          <w:rFonts w:ascii="Calibri" w:hAnsi="Calibri" w:cs="Calibri"/>
          <w:shd w:val="clear" w:color="auto" w:fill="FFFFFF"/>
        </w:rPr>
      </w:pPr>
      <w:r w:rsidRPr="00DD7BD1">
        <w:rPr>
          <w:rFonts w:ascii="Calibri" w:hAnsi="Calibri" w:cs="Calibri"/>
          <w:shd w:val="clear" w:color="auto" w:fill="FFFFFF"/>
        </w:rPr>
        <w:t>Effective October 10, 2024, the latest local </w:t>
      </w:r>
      <w:hyperlink r:id="rId554"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will take effect in the unincorporated areas of San Diego County. Employers that comply with California state law will </w:t>
      </w:r>
      <w:r w:rsidRPr="00DD7BD1">
        <w:rPr>
          <w:rFonts w:ascii="Calibri" w:hAnsi="Calibri" w:cs="Calibri"/>
          <w:i/>
          <w:iCs/>
          <w:shd w:val="clear" w:color="auto" w:fill="FFFFFF"/>
        </w:rPr>
        <w:t>mostly</w:t>
      </w:r>
      <w:r w:rsidRPr="00DD7BD1">
        <w:rPr>
          <w:rFonts w:ascii="Calibri" w:hAnsi="Calibri" w:cs="Calibri"/>
          <w:shd w:val="clear" w:color="auto" w:fill="FFFFFF"/>
        </w:rPr>
        <w:t> satisfy their obligations under the San Diego County ordinance. See attached resource for additional details.</w:t>
      </w:r>
    </w:p>
    <w:p w14:paraId="76D77CF7" w14:textId="06BE3576" w:rsidR="00CD70B8" w:rsidRPr="00DD7BD1" w:rsidRDefault="00CD70B8" w:rsidP="00CD70B8">
      <w:pPr>
        <w:pStyle w:val="Heading2"/>
        <w:spacing w:before="0" w:line="240" w:lineRule="auto"/>
        <w:jc w:val="center"/>
        <w:rPr>
          <w:rFonts w:ascii="Calibri" w:eastAsiaTheme="minorHAnsi" w:hAnsi="Calibri" w:cs="Calibri"/>
          <w:b/>
          <w:bCs/>
          <w:color w:val="C00000"/>
          <w:sz w:val="28"/>
          <w:szCs w:val="28"/>
          <w:shd w:val="clear" w:color="auto" w:fill="FFFFFF"/>
        </w:rPr>
      </w:pPr>
      <w:r w:rsidRPr="00DD7BD1">
        <w:rPr>
          <w:rFonts w:ascii="Calibri" w:eastAsiaTheme="minorHAnsi" w:hAnsi="Calibri" w:cs="Calibri"/>
          <w:b/>
          <w:bCs/>
          <w:color w:val="auto"/>
          <w:sz w:val="28"/>
          <w:szCs w:val="28"/>
          <w:shd w:val="clear" w:color="auto" w:fill="FFFFFF"/>
          <w:lang w:val="en"/>
        </w:rPr>
        <w:t xml:space="preserve">State </w:t>
      </w:r>
      <w:r w:rsidRPr="00DD7BD1">
        <w:rPr>
          <w:rFonts w:ascii="Calibri" w:eastAsiaTheme="minorHAnsi" w:hAnsi="Calibri" w:cs="Calibri"/>
          <w:b/>
          <w:bCs/>
          <w:color w:val="auto"/>
          <w:sz w:val="28"/>
          <w:szCs w:val="28"/>
          <w:shd w:val="clear" w:color="auto" w:fill="FFFFFF"/>
        </w:rPr>
        <w:t xml:space="preserve">Healthcare Minimum Wage Increase – </w:t>
      </w:r>
      <w:r w:rsidRPr="00DD7BD1">
        <w:rPr>
          <w:rFonts w:ascii="Calibri" w:eastAsiaTheme="minorHAnsi" w:hAnsi="Calibri" w:cs="Calibri"/>
          <w:b/>
          <w:bCs/>
          <w:color w:val="C00000"/>
          <w:sz w:val="28"/>
          <w:szCs w:val="28"/>
          <w:shd w:val="clear" w:color="auto" w:fill="FFFFFF"/>
        </w:rPr>
        <w:t>Oct 16, 2024</w:t>
      </w:r>
    </w:p>
    <w:p w14:paraId="43E20944"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California’s new statewide minimum wage and salary threshold for healthcare workers will take effect on October 16, 2024. Covering 20 different facility types, the health care worker minimum wage law implements different rates and scheduled rate increases depending on the facility type. Plus, covered health care employers must post a </w:t>
      </w:r>
      <w:hyperlink r:id="rId555" w:tgtFrame="_blank" w:history="1">
        <w:r w:rsidRPr="00DD7BD1">
          <w:rPr>
            <w:rStyle w:val="Hyperlink"/>
            <w:rFonts w:ascii="Calibri" w:hAnsi="Calibri" w:cs="Calibri"/>
          </w:rPr>
          <w:t>supplemental minimum wage notice</w:t>
        </w:r>
      </w:hyperlink>
      <w:r w:rsidRPr="00DD7BD1">
        <w:rPr>
          <w:rFonts w:ascii="Calibri" w:hAnsi="Calibri" w:cs="Calibri"/>
        </w:rPr>
        <w:t> in the workplace alongside the regular statewide minimum wage notice. Employers who are unsure whether their facilities are covered should consult with legal counsel.</w:t>
      </w:r>
    </w:p>
    <w:p w14:paraId="518A4128" w14:textId="77777777" w:rsidR="00CD70B8" w:rsidRPr="00DD7BD1" w:rsidRDefault="00CD70B8" w:rsidP="00CD70B8">
      <w:pPr>
        <w:spacing w:after="0" w:line="240" w:lineRule="auto"/>
        <w:rPr>
          <w:rFonts w:ascii="Calibri" w:hAnsi="Calibri" w:cs="Calibri"/>
        </w:rPr>
      </w:pPr>
      <w:r w:rsidRPr="00DD7BD1">
        <w:rPr>
          <w:rFonts w:ascii="Calibri" w:hAnsi="Calibri" w:cs="Calibri"/>
        </w:rPr>
        <w:t>The supplemental minimum wage order can be found </w:t>
      </w:r>
      <w:hyperlink r:id="rId556" w:tgtFrame="_blank" w:history="1">
        <w:r w:rsidRPr="00DD7BD1">
          <w:rPr>
            <w:rStyle w:val="Hyperlink"/>
            <w:rFonts w:ascii="Calibri" w:hAnsi="Calibri" w:cs="Calibri"/>
          </w:rPr>
          <w:t>here</w:t>
        </w:r>
      </w:hyperlink>
      <w:r w:rsidRPr="00DD7BD1">
        <w:rPr>
          <w:rFonts w:ascii="Calibri" w:hAnsi="Calibri" w:cs="Calibri"/>
        </w:rPr>
        <w:t>.</w:t>
      </w:r>
    </w:p>
    <w:p w14:paraId="3FF27200" w14:textId="77777777" w:rsidR="00CD70B8" w:rsidRPr="00DD7BD1" w:rsidRDefault="00CD70B8" w:rsidP="00CD70B8">
      <w:pPr>
        <w:spacing w:after="0" w:line="240" w:lineRule="auto"/>
        <w:rPr>
          <w:rFonts w:ascii="Calibri" w:hAnsi="Calibri" w:cs="Calibri"/>
        </w:rPr>
      </w:pPr>
      <w:r w:rsidRPr="00DD7BD1">
        <w:rPr>
          <w:rFonts w:ascii="Calibri" w:hAnsi="Calibri" w:cs="Calibri"/>
        </w:rPr>
        <w:t>More information, including which healthcare facilities are covered and the minimum wage schedule by type of facility, can be found in the state’s </w:t>
      </w:r>
      <w:hyperlink r:id="rId557" w:tgtFrame="_blank" w:history="1">
        <w:r w:rsidRPr="00DD7BD1">
          <w:rPr>
            <w:rStyle w:val="Hyperlink"/>
            <w:rFonts w:ascii="Calibri" w:hAnsi="Calibri" w:cs="Calibri"/>
          </w:rPr>
          <w:t>FAQs.</w:t>
        </w:r>
      </w:hyperlink>
    </w:p>
    <w:p w14:paraId="530C3501" w14:textId="77777777" w:rsidR="00CD70B8" w:rsidRPr="00DD7BD1" w:rsidRDefault="00CD70B8" w:rsidP="00CD70B8">
      <w:pPr>
        <w:spacing w:after="0" w:line="240" w:lineRule="auto"/>
        <w:rPr>
          <w:rFonts w:ascii="Calibri" w:hAnsi="Calibri" w:cs="Calibri"/>
        </w:rPr>
      </w:pPr>
      <w:r w:rsidRPr="00DD7BD1">
        <w:rPr>
          <w:rFonts w:ascii="Calibri" w:hAnsi="Calibri" w:cs="Calibri"/>
        </w:rPr>
        <w:t>The </w:t>
      </w:r>
      <w:hyperlink r:id="rId558" w:tgtFrame="_blank" w:history="1">
        <w:r w:rsidRPr="00DD7BD1">
          <w:rPr>
            <w:rStyle w:val="Hyperlink"/>
            <w:rFonts w:ascii="Calibri" w:hAnsi="Calibri" w:cs="Calibri"/>
          </w:rPr>
          <w:t>Notification Pertaining To Health Care Minimum Wage Increases</w:t>
        </w:r>
      </w:hyperlink>
      <w:r w:rsidRPr="00DD7BD1">
        <w:rPr>
          <w:rFonts w:ascii="Calibri" w:hAnsi="Calibri" w:cs="Calibri"/>
        </w:rPr>
        <w:t> was released October 1, 2024.</w:t>
      </w:r>
    </w:p>
    <w:p w14:paraId="522F5FE2" w14:textId="77777777" w:rsidR="00CD70B8" w:rsidRPr="00DD7BD1" w:rsidRDefault="00CD70B8" w:rsidP="00CD70B8">
      <w:pPr>
        <w:spacing w:after="0" w:line="240" w:lineRule="auto"/>
        <w:rPr>
          <w:rFonts w:ascii="Calibri" w:hAnsi="Calibri" w:cs="Calibri"/>
        </w:rPr>
      </w:pPr>
    </w:p>
    <w:p w14:paraId="2C407A23" w14:textId="1F203464" w:rsidR="00CD70B8" w:rsidRPr="00DD7BD1" w:rsidRDefault="00CD70B8" w:rsidP="00CD70B8">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Upcoming Local Minimum Wage Ordinance Increases – </w:t>
      </w:r>
      <w:r w:rsidRPr="00DD7BD1">
        <w:rPr>
          <w:rFonts w:ascii="Calibri" w:hAnsi="Calibri" w:cs="Calibri"/>
          <w:b/>
          <w:bCs/>
          <w:color w:val="C00000"/>
          <w:sz w:val="28"/>
          <w:szCs w:val="28"/>
        </w:rPr>
        <w:t>Jan1, 2024</w:t>
      </w:r>
    </w:p>
    <w:p w14:paraId="409A489D"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On January 1, the following jurisdictions are expected to increase their local minimum wage: </w:t>
      </w:r>
    </w:p>
    <w:p w14:paraId="79E075D7" w14:textId="77777777" w:rsidR="00CD70B8" w:rsidRPr="00DD7BD1" w:rsidRDefault="00CD70B8" w:rsidP="00CD70B8">
      <w:pPr>
        <w:spacing w:after="0" w:line="240" w:lineRule="auto"/>
        <w:rPr>
          <w:rFonts w:ascii="Calibri" w:hAnsi="Calibri" w:cs="Calibri"/>
        </w:rPr>
      </w:pPr>
      <w:r w:rsidRPr="00DD7BD1">
        <w:rPr>
          <w:rFonts w:ascii="Calibri" w:hAnsi="Calibri" w:cs="Calibri"/>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DD7BD1" w:rsidRDefault="00CD70B8" w:rsidP="00CD70B8">
      <w:pPr>
        <w:pStyle w:val="Heading2"/>
        <w:spacing w:before="0" w:line="240" w:lineRule="auto"/>
        <w:jc w:val="center"/>
        <w:rPr>
          <w:rFonts w:ascii="Calibri" w:eastAsiaTheme="minorHAnsi" w:hAnsi="Calibri" w:cs="Calibri"/>
          <w:b/>
          <w:bCs/>
          <w:color w:val="C00000"/>
          <w:sz w:val="22"/>
          <w:szCs w:val="22"/>
          <w:shd w:val="clear" w:color="auto" w:fill="FFFFFF"/>
          <w:lang w:val="en"/>
        </w:rPr>
      </w:pPr>
    </w:p>
    <w:p w14:paraId="61705485" w14:textId="7F66A04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lang w:val="en"/>
        </w:rPr>
      </w:pPr>
      <w:r w:rsidRPr="00DD7BD1">
        <w:rPr>
          <w:rFonts w:ascii="Calibri" w:eastAsiaTheme="minorHAnsi" w:hAnsi="Calibri" w:cs="Calibri"/>
          <w:b/>
          <w:bCs/>
          <w:color w:val="auto"/>
          <w:sz w:val="28"/>
          <w:szCs w:val="28"/>
          <w:shd w:val="clear" w:color="auto" w:fill="FFFFFF"/>
          <w:lang w:val="en"/>
        </w:rPr>
        <w:t xml:space="preserve">State Expands Discrimination Protections – </w:t>
      </w:r>
      <w:r w:rsidRPr="00DD7BD1">
        <w:rPr>
          <w:rFonts w:ascii="Calibri" w:eastAsiaTheme="minorHAnsi" w:hAnsi="Calibri" w:cs="Calibri"/>
          <w:b/>
          <w:bCs/>
          <w:color w:val="C00000"/>
          <w:sz w:val="28"/>
          <w:szCs w:val="28"/>
          <w:shd w:val="clear" w:color="auto" w:fill="FFFFFF"/>
          <w:lang w:val="en"/>
        </w:rPr>
        <w:t>Jan 1, 2025</w:t>
      </w:r>
    </w:p>
    <w:p w14:paraId="2D675479"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FEHA prohibits employers with </w:t>
      </w:r>
      <w:r w:rsidRPr="00DD7BD1">
        <w:rPr>
          <w:rFonts w:ascii="Calibri" w:hAnsi="Calibri" w:cs="Calibri"/>
          <w:b/>
          <w:bCs/>
        </w:rPr>
        <w:t xml:space="preserve">5 or more employees </w:t>
      </w:r>
      <w:r w:rsidRPr="00DD7BD1">
        <w:rPr>
          <w:rFonts w:ascii="Calibri" w:hAnsi="Calibri" w:cs="Calibri"/>
        </w:rPr>
        <w:t>from discriminating against employees based on their protected characteristics (e.g., race, sex, disability, religion and age).</w:t>
      </w:r>
    </w:p>
    <w:p w14:paraId="70207DD8" w14:textId="77777777" w:rsidR="00CD70B8" w:rsidRPr="00DD7BD1" w:rsidRDefault="00CD70B8" w:rsidP="00CD70B8">
      <w:pPr>
        <w:spacing w:after="0" w:line="240" w:lineRule="auto"/>
        <w:rPr>
          <w:rFonts w:ascii="Calibri" w:hAnsi="Calibri" w:cs="Calibri"/>
          <w:sz w:val="12"/>
          <w:szCs w:val="12"/>
        </w:rPr>
      </w:pPr>
    </w:p>
    <w:p w14:paraId="2988CA25"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 amended the FEHA (</w:t>
      </w:r>
      <w:hyperlink r:id="rId559" w:tgtFrame="_blank" w:history="1">
        <w:r w:rsidRPr="00DD7BD1">
          <w:rPr>
            <w:rStyle w:val="Hyperlink"/>
            <w:rFonts w:ascii="Calibri" w:hAnsi="Calibri" w:cs="Calibri"/>
          </w:rPr>
          <w:t>CA S 1137</w:t>
        </w:r>
      </w:hyperlink>
      <w:r w:rsidRPr="00DD7BD1">
        <w:rPr>
          <w:rFonts w:ascii="Calibri" w:hAnsi="Calibri" w:cs="Calibri"/>
        </w:rPr>
        <w:t>) to:</w:t>
      </w:r>
    </w:p>
    <w:p w14:paraId="7FBFBEE3" w14:textId="77777777" w:rsidR="00CD70B8" w:rsidRPr="00DD7BD1" w:rsidRDefault="00CD70B8" w:rsidP="00CD70B8">
      <w:pPr>
        <w:pStyle w:val="Bullet"/>
        <w:spacing w:line="240" w:lineRule="auto"/>
        <w:ind w:left="576" w:hanging="288"/>
        <w:rPr>
          <w:rFonts w:cs="Calibri"/>
          <w:szCs w:val="22"/>
        </w:rPr>
      </w:pPr>
      <w:hyperlink r:id="rId560" w:history="1">
        <w:r w:rsidRPr="00DD7BD1">
          <w:rPr>
            <w:rStyle w:val="Hyperlink"/>
            <w:rFonts w:cs="Calibri"/>
            <w:szCs w:val="22"/>
          </w:rPr>
          <w:t>Broaden</w:t>
        </w:r>
      </w:hyperlink>
      <w:r w:rsidRPr="00DD7BD1">
        <w:rPr>
          <w:rFonts w:cs="Calibri"/>
          <w:szCs w:val="22"/>
        </w:rPr>
        <w:t xml:space="preserve"> </w:t>
      </w:r>
      <w:r w:rsidRPr="00DD7BD1">
        <w:rPr>
          <w:rFonts w:cs="Calibri"/>
          <w:color w:val="auto"/>
          <w:szCs w:val="22"/>
        </w:rPr>
        <w:t>the definition of “</w:t>
      </w:r>
      <w:r w:rsidRPr="00DD7BD1">
        <w:rPr>
          <w:rFonts w:cs="Calibri"/>
          <w:b/>
          <w:bCs/>
          <w:color w:val="auto"/>
          <w:szCs w:val="22"/>
        </w:rPr>
        <w:t>race</w:t>
      </w:r>
      <w:r w:rsidRPr="00DD7BD1">
        <w:rPr>
          <w:rFonts w:cs="Calibri"/>
          <w:color w:val="auto"/>
          <w:szCs w:val="22"/>
        </w:rPr>
        <w:t xml:space="preserve">” to include traits associated with race, including hair texture and protective hairstyles, including braids, locs and twists </w:t>
      </w:r>
    </w:p>
    <w:p w14:paraId="7A0AF54F" w14:textId="77777777" w:rsidR="00CD70B8" w:rsidRPr="00DD7BD1" w:rsidRDefault="00CD70B8" w:rsidP="00CD70B8">
      <w:pPr>
        <w:pStyle w:val="Bullet"/>
        <w:spacing w:line="240" w:lineRule="auto"/>
        <w:ind w:left="576" w:hanging="288"/>
        <w:rPr>
          <w:rFonts w:cs="Calibri"/>
          <w:color w:val="auto"/>
          <w:szCs w:val="22"/>
        </w:rPr>
      </w:pPr>
      <w:hyperlink r:id="rId561" w:history="1">
        <w:r w:rsidRPr="00DD7BD1">
          <w:rPr>
            <w:rStyle w:val="Hyperlink"/>
            <w:rFonts w:cs="Calibri"/>
            <w:szCs w:val="22"/>
          </w:rPr>
          <w:t>Protect</w:t>
        </w:r>
      </w:hyperlink>
      <w:r w:rsidRPr="00DD7BD1">
        <w:rPr>
          <w:rFonts w:cs="Calibri"/>
          <w:szCs w:val="22"/>
        </w:rPr>
        <w:t xml:space="preserve"> </w:t>
      </w:r>
      <w:r w:rsidRPr="00DD7BD1">
        <w:rPr>
          <w:rFonts w:cs="Calibri"/>
          <w:color w:val="auto"/>
          <w:szCs w:val="22"/>
        </w:rPr>
        <w:t xml:space="preserve">employees from discrimination on the basis of their actual or perceived </w:t>
      </w:r>
      <w:r w:rsidRPr="00DD7BD1">
        <w:rPr>
          <w:rFonts w:cs="Calibri"/>
          <w:b/>
          <w:bCs/>
          <w:color w:val="auto"/>
          <w:szCs w:val="22"/>
        </w:rPr>
        <w:t xml:space="preserve">combination of protected traits </w:t>
      </w:r>
      <w:r w:rsidRPr="00DD7BD1">
        <w:rPr>
          <w:rFonts w:cs="Calibri"/>
          <w:color w:val="auto"/>
          <w:szCs w:val="22"/>
        </w:rPr>
        <w:t>(i.e., intersectionality).</w:t>
      </w:r>
    </w:p>
    <w:p w14:paraId="1171D8CE" w14:textId="77777777" w:rsidR="00CD70B8" w:rsidRPr="00DD7BD1" w:rsidRDefault="00CD70B8" w:rsidP="00CD70B8">
      <w:pPr>
        <w:pStyle w:val="Bullet"/>
        <w:numPr>
          <w:ilvl w:val="0"/>
          <w:numId w:val="0"/>
        </w:numPr>
        <w:spacing w:line="240" w:lineRule="auto"/>
        <w:rPr>
          <w:rFonts w:cs="Calibri"/>
          <w:color w:val="auto"/>
          <w:szCs w:val="22"/>
        </w:rPr>
      </w:pPr>
    </w:p>
    <w:p w14:paraId="5797091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rPr>
        <w:t>AB 1815</w:t>
      </w:r>
      <w:r w:rsidRPr="00DD7BD1">
        <w:rPr>
          <w:rFonts w:cs="Calibri"/>
          <w:color w:val="auto"/>
          <w:szCs w:val="22"/>
        </w:rPr>
        <w:t xml:space="preserve"> – This revision to Crown Act amends the definition of “race” in the anti-discrimination provisions of the California Government Code as well as the definition of “protective hairstyles.” </w:t>
      </w:r>
    </w:p>
    <w:p w14:paraId="584572C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highlight w:val="lightGray"/>
        </w:rPr>
        <w:t>Employer Takeaway:</w:t>
      </w:r>
      <w:r w:rsidRPr="00DD7BD1">
        <w:rPr>
          <w:rFonts w:cs="Calibri"/>
          <w:color w:val="auto"/>
          <w:szCs w:val="22"/>
        </w:rPr>
        <w:t xml:space="preserve"> The word “historically” was removed from the definition of protective hairstyles because it was found to be vague and confusing. Employer utilizing this term in their Handbook should remove the term.</w:t>
      </w:r>
    </w:p>
    <w:p w14:paraId="1759EBEC" w14:textId="77777777" w:rsidR="00CD70B8" w:rsidRPr="00DD7BD1" w:rsidRDefault="00CD70B8" w:rsidP="00CD70B8">
      <w:pPr>
        <w:spacing w:after="0" w:line="240" w:lineRule="auto"/>
        <w:rPr>
          <w:rFonts w:ascii="Calibri" w:hAnsi="Calibri" w:cs="Calibri"/>
          <w:b/>
          <w:bCs/>
          <w:i/>
          <w:iCs/>
          <w:sz w:val="12"/>
          <w:szCs w:val="12"/>
        </w:rPr>
      </w:pPr>
    </w:p>
    <w:p w14:paraId="6FBC741B"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Driver’s License Requirements </w:t>
      </w:r>
      <w:r w:rsidRPr="00DD7BD1">
        <w:rPr>
          <w:rFonts w:ascii="Calibri" w:hAnsi="Calibri" w:cs="Calibri"/>
          <w:i/>
          <w:iCs/>
        </w:rPr>
        <w:t>(</w:t>
      </w:r>
      <w:hyperlink r:id="rId562" w:tgtFrame="_blank" w:history="1">
        <w:r w:rsidRPr="00DD7BD1">
          <w:rPr>
            <w:rStyle w:val="Hyperlink"/>
            <w:rFonts w:ascii="Calibri" w:hAnsi="Calibri" w:cs="Calibri"/>
          </w:rPr>
          <w:t>CA S 1100</w:t>
        </w:r>
      </w:hyperlink>
      <w:r w:rsidRPr="00DD7BD1">
        <w:rPr>
          <w:rFonts w:ascii="Calibri" w:hAnsi="Calibri" w:cs="Calibri"/>
        </w:rPr>
        <w:t>)</w:t>
      </w:r>
    </w:p>
    <w:p w14:paraId="2BBF129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further </w:t>
      </w:r>
      <w:hyperlink r:id="rId563" w:history="1">
        <w:r w:rsidRPr="00DD7BD1">
          <w:rPr>
            <w:rStyle w:val="Hyperlink"/>
            <w:rFonts w:ascii="Calibri" w:hAnsi="Calibri" w:cs="Calibri"/>
          </w:rPr>
          <w:t>amended</w:t>
        </w:r>
      </w:hyperlink>
      <w:r w:rsidRPr="00DD7BD1">
        <w:rPr>
          <w:rFonts w:ascii="Calibri" w:hAnsi="Calibri" w:cs="Calibri"/>
        </w:rPr>
        <w:t xml:space="preserve"> the FEHA to prohibit employers with </w:t>
      </w:r>
      <w:r w:rsidRPr="00DD7BD1">
        <w:rPr>
          <w:rFonts w:ascii="Calibri" w:hAnsi="Calibri" w:cs="Calibri"/>
          <w:b/>
          <w:bCs/>
        </w:rPr>
        <w:t xml:space="preserve">5 or more employees </w:t>
      </w:r>
      <w:r w:rsidRPr="00DD7BD1">
        <w:rPr>
          <w:rFonts w:ascii="Calibri" w:hAnsi="Calibri" w:cs="Calibri"/>
        </w:rPr>
        <w:t xml:space="preserve">from requiring job candidates to have a </w:t>
      </w:r>
      <w:r w:rsidRPr="00DD7BD1">
        <w:rPr>
          <w:rFonts w:ascii="Calibri" w:hAnsi="Calibri" w:cs="Calibri"/>
          <w:b/>
          <w:bCs/>
        </w:rPr>
        <w:t>driver’s license</w:t>
      </w:r>
      <w:r w:rsidRPr="00DD7BD1">
        <w:rPr>
          <w:rFonts w:ascii="Calibri" w:hAnsi="Calibri" w:cs="Calibri"/>
        </w:rPr>
        <w:t xml:space="preserve"> in a job advertisement, posting, application or other materials unless it is reasonably believed: </w:t>
      </w:r>
    </w:p>
    <w:p w14:paraId="5C3807B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Driving will be a job function for the position; and</w:t>
      </w:r>
    </w:p>
    <w:p w14:paraId="6C8DA6F0"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Employers should remove any driver’s license requirement from your job ads or applications, unless the exception applies.</w:t>
      </w:r>
    </w:p>
    <w:p w14:paraId="6749B69C" w14:textId="77777777" w:rsidR="00CD70B8" w:rsidRPr="00DD7BD1" w:rsidRDefault="00CD70B8" w:rsidP="00CD70B8">
      <w:pPr>
        <w:spacing w:after="0" w:line="240" w:lineRule="auto"/>
        <w:rPr>
          <w:rFonts w:ascii="Calibri" w:hAnsi="Calibri" w:cs="Calibri"/>
          <w:b/>
          <w:bCs/>
          <w:i/>
          <w:iCs/>
          <w:sz w:val="16"/>
          <w:szCs w:val="16"/>
        </w:rPr>
      </w:pPr>
    </w:p>
    <w:p w14:paraId="11EF742A"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Enforcement of Local Laws</w:t>
      </w:r>
    </w:p>
    <w:p w14:paraId="2A481B8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Under an </w:t>
      </w:r>
      <w:hyperlink r:id="rId564" w:history="1">
        <w:r w:rsidRPr="00DD7BD1">
          <w:rPr>
            <w:rStyle w:val="Hyperlink"/>
            <w:rFonts w:ascii="Calibri" w:hAnsi="Calibri" w:cs="Calibri"/>
          </w:rPr>
          <w:t>amendment</w:t>
        </w:r>
      </w:hyperlink>
      <w:r w:rsidRPr="00DD7BD1">
        <w:rPr>
          <w:rFonts w:ascii="Calibri" w:hAnsi="Calibri" w:cs="Calibri"/>
        </w:rPr>
        <w:t xml:space="preserve"> to the FEHA, the act will </w:t>
      </w:r>
      <w:r w:rsidRPr="00DD7BD1">
        <w:rPr>
          <w:rFonts w:ascii="Calibri" w:hAnsi="Calibri" w:cs="Calibri"/>
          <w:b/>
          <w:bCs/>
        </w:rPr>
        <w:t xml:space="preserve">not </w:t>
      </w:r>
      <w:r w:rsidRPr="00DD7BD1">
        <w:rPr>
          <w:rFonts w:ascii="Calibri" w:hAnsi="Calibri" w:cs="Calibri"/>
        </w:rPr>
        <w:t>prohibit any city, county or other political subdivision of California from enforcing local laws prohibiting employment discrimination if local enforcement:</w:t>
      </w:r>
    </w:p>
    <w:p w14:paraId="2B55646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Concerns an employment complaint filed with the California Civil Rights Department (CCRD);</w:t>
      </w:r>
    </w:p>
    <w:p w14:paraId="05F8E8F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Takes place after the CCRD issued a right-to-sue notice;</w:t>
      </w:r>
    </w:p>
    <w:p w14:paraId="390EB5CF"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Begins before the expiration of the time to file a civil action; and</w:t>
      </w:r>
    </w:p>
    <w:p w14:paraId="04618AC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Is pursuant to a local law that is at least as protective as the FEHA. </w:t>
      </w:r>
    </w:p>
    <w:p w14:paraId="2D151609" w14:textId="77777777" w:rsidR="00CD70B8" w:rsidRPr="00DD7BD1" w:rsidRDefault="00CD70B8" w:rsidP="00CD70B8">
      <w:pPr>
        <w:pStyle w:val="Bullet"/>
        <w:numPr>
          <w:ilvl w:val="0"/>
          <w:numId w:val="0"/>
        </w:numPr>
        <w:spacing w:line="240" w:lineRule="auto"/>
        <w:ind w:left="576"/>
        <w:rPr>
          <w:rFonts w:cs="Calibri"/>
          <w:color w:val="auto"/>
          <w:szCs w:val="22"/>
        </w:rPr>
      </w:pPr>
    </w:p>
    <w:p w14:paraId="1CFB1DC8" w14:textId="1926C52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rPr>
      </w:pPr>
      <w:r w:rsidRPr="00DD7BD1">
        <w:rPr>
          <w:rFonts w:ascii="Calibri" w:eastAsiaTheme="minorHAnsi" w:hAnsi="Calibri" w:cs="Calibri"/>
          <w:b/>
          <w:bCs/>
          <w:color w:val="auto"/>
          <w:sz w:val="28"/>
          <w:szCs w:val="28"/>
          <w:shd w:val="clear" w:color="auto" w:fill="FFFFFF"/>
        </w:rPr>
        <w:t xml:space="preserve">State Passes Freelance Worker Protections Act – </w:t>
      </w:r>
      <w:r w:rsidRPr="00DD7BD1">
        <w:rPr>
          <w:rFonts w:ascii="Calibri" w:eastAsiaTheme="minorHAnsi" w:hAnsi="Calibri" w:cs="Calibri"/>
          <w:b/>
          <w:bCs/>
          <w:color w:val="C00000"/>
          <w:sz w:val="28"/>
          <w:szCs w:val="28"/>
          <w:shd w:val="clear" w:color="auto" w:fill="FFFFFF"/>
        </w:rPr>
        <w:t>Jan 1, 2025</w:t>
      </w:r>
    </w:p>
    <w:p w14:paraId="68B23235"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passed the </w:t>
      </w:r>
      <w:hyperlink r:id="rId565" w:history="1">
        <w:r w:rsidRPr="00DD7BD1">
          <w:rPr>
            <w:rStyle w:val="Hyperlink"/>
            <w:rFonts w:ascii="Calibri" w:hAnsi="Calibri" w:cs="Calibri"/>
          </w:rPr>
          <w:t>Freelance Worker Protection Act</w:t>
        </w:r>
      </w:hyperlink>
      <w:r w:rsidRPr="00DD7BD1">
        <w:rPr>
          <w:rStyle w:val="Hyperlink"/>
          <w:rFonts w:ascii="Calibri" w:hAnsi="Calibri" w:cs="Calibri"/>
        </w:rPr>
        <w:t>,</w:t>
      </w:r>
      <w:r w:rsidRPr="00DD7BD1">
        <w:rPr>
          <w:rFonts w:ascii="Calibri" w:hAnsi="Calibri" w:cs="Calibri"/>
        </w:rPr>
        <w:t xml:space="preserve"> </w:t>
      </w:r>
      <w:r w:rsidRPr="00DD7BD1">
        <w:rPr>
          <w:rFonts w:ascii="Calibri" w:hAnsi="Calibri" w:cs="Calibri"/>
          <w:b/>
          <w:bCs/>
        </w:rPr>
        <w:t>SB 988</w:t>
      </w:r>
      <w:r w:rsidRPr="00DD7BD1">
        <w:rPr>
          <w:rFonts w:ascii="Calibri" w:hAnsi="Calibri" w:cs="Calibri"/>
        </w:rPr>
        <w:t xml:space="preserve">, 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DD7BD1" w:rsidRDefault="00CD70B8" w:rsidP="00CD70B8">
      <w:pPr>
        <w:spacing w:after="0" w:line="240" w:lineRule="auto"/>
        <w:rPr>
          <w:rFonts w:ascii="Calibri" w:hAnsi="Calibri" w:cs="Calibri"/>
          <w:sz w:val="12"/>
          <w:szCs w:val="12"/>
        </w:rPr>
      </w:pPr>
    </w:p>
    <w:p w14:paraId="1C9E3CD6" w14:textId="77777777" w:rsidR="00CD70B8" w:rsidRPr="00DD7BD1" w:rsidRDefault="00CD70B8" w:rsidP="00CD70B8">
      <w:pPr>
        <w:spacing w:after="0" w:line="240" w:lineRule="auto"/>
        <w:rPr>
          <w:rFonts w:ascii="Calibri" w:hAnsi="Calibri" w:cs="Calibri"/>
        </w:rPr>
      </w:pPr>
      <w:r w:rsidRPr="00DD7BD1">
        <w:rPr>
          <w:rFonts w:ascii="Calibri" w:hAnsi="Calibri" w:cs="Calibri"/>
        </w:rPr>
        <w:t>“</w:t>
      </w:r>
      <w:r w:rsidRPr="00DD7BD1">
        <w:rPr>
          <w:rFonts w:ascii="Calibri" w:hAnsi="Calibri" w:cs="Calibri"/>
          <w:b/>
        </w:rPr>
        <w:t>Freelance workers</w:t>
      </w:r>
      <w:r w:rsidRPr="00DD7BD1">
        <w:rPr>
          <w:rFonts w:ascii="Calibri" w:hAnsi="Calibri" w:cs="Calibri"/>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DD7BD1" w:rsidRDefault="00CD70B8" w:rsidP="00CD70B8">
      <w:pPr>
        <w:spacing w:after="0" w:line="240" w:lineRule="auto"/>
        <w:rPr>
          <w:rFonts w:ascii="Calibri" w:hAnsi="Calibri" w:cs="Calibri"/>
          <w:b/>
          <w:bCs/>
          <w:i/>
          <w:iCs/>
          <w:sz w:val="12"/>
          <w:szCs w:val="12"/>
        </w:rPr>
      </w:pPr>
    </w:p>
    <w:p w14:paraId="2FF18E11"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Compensation and Contract Requirements </w:t>
      </w:r>
    </w:p>
    <w:p w14:paraId="60E3EC21" w14:textId="77777777" w:rsidR="00CD70B8" w:rsidRPr="00DD7BD1" w:rsidRDefault="00CD70B8" w:rsidP="00CD70B8">
      <w:pPr>
        <w:spacing w:after="0" w:line="240" w:lineRule="auto"/>
        <w:rPr>
          <w:rFonts w:ascii="Calibri" w:hAnsi="Calibri" w:cs="Calibri"/>
        </w:rPr>
      </w:pPr>
      <w:r w:rsidRPr="00DD7BD1">
        <w:rPr>
          <w:rFonts w:ascii="Calibri" w:hAnsi="Calibri" w:cs="Calibri"/>
        </w:rPr>
        <w:t>Under the act, the hiring party:</w:t>
      </w:r>
    </w:p>
    <w:p w14:paraId="22E6928B"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Must pay freelance workers on or before the date compensation is due under their contract or, if not specified, no later than </w:t>
      </w:r>
      <w:r w:rsidRPr="00DD7BD1">
        <w:rPr>
          <w:rFonts w:cs="Calibri"/>
          <w:b/>
          <w:bCs/>
          <w:color w:val="auto"/>
        </w:rPr>
        <w:t xml:space="preserve">30 days </w:t>
      </w:r>
      <w:r w:rsidRPr="00DD7BD1">
        <w:rPr>
          <w:rFonts w:cs="Calibri"/>
          <w:color w:val="auto"/>
        </w:rPr>
        <w:t>after the completion of the worker’s services; and</w:t>
      </w:r>
    </w:p>
    <w:p w14:paraId="0290AF3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DD7BD1" w:rsidRDefault="00CD70B8" w:rsidP="00CD70B8">
      <w:pPr>
        <w:pStyle w:val="Bullet2"/>
        <w:spacing w:after="0" w:line="240" w:lineRule="auto"/>
        <w:ind w:left="0" w:firstLine="0"/>
        <w:rPr>
          <w:rFonts w:cs="Calibri"/>
          <w:color w:val="auto"/>
          <w:sz w:val="16"/>
          <w:szCs w:val="16"/>
        </w:rPr>
      </w:pPr>
    </w:p>
    <w:p w14:paraId="5A284FBD"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The act also requires that all contracts are in writing, that the hiring party provide a signed physical or electronic copy of the written contract to the freelance contract, and that the hiring party retain a copy of the contract for at least </w:t>
      </w:r>
      <w:r w:rsidRPr="00DD7BD1">
        <w:rPr>
          <w:rFonts w:cs="Calibri"/>
          <w:b/>
          <w:bCs/>
          <w:color w:val="auto"/>
        </w:rPr>
        <w:t>four years</w:t>
      </w:r>
      <w:r w:rsidRPr="00DD7BD1">
        <w:rPr>
          <w:rFonts w:cs="Calibri"/>
          <w:color w:val="auto"/>
        </w:rPr>
        <w:t>. Written contracts for freelance services must contain the following:</w:t>
      </w:r>
    </w:p>
    <w:p w14:paraId="5787E38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Name and mailing address of each party;</w:t>
      </w:r>
    </w:p>
    <w:p w14:paraId="1330E02E"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Itemized list of services to be provided, the value of such services, and the rate and method of compensation;</w:t>
      </w:r>
    </w:p>
    <w:p w14:paraId="5514FD48"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compensation will be paid or the mechanism through which the date will be determined; and</w:t>
      </w:r>
    </w:p>
    <w:p w14:paraId="21459251"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by which the freelance worker must provide a list of services rendered to the hiring party to ensure timely payment of compensation.</w:t>
      </w:r>
    </w:p>
    <w:p w14:paraId="050AFB21" w14:textId="77777777" w:rsidR="00CD70B8" w:rsidRPr="00DD7BD1" w:rsidRDefault="00CD70B8" w:rsidP="00CD70B8">
      <w:pPr>
        <w:pStyle w:val="Bullet2"/>
        <w:spacing w:after="0" w:line="240" w:lineRule="auto"/>
        <w:ind w:left="0" w:firstLine="0"/>
        <w:rPr>
          <w:rFonts w:cs="Calibri"/>
          <w:b/>
          <w:bCs/>
          <w:i/>
          <w:iCs/>
          <w:color w:val="auto"/>
        </w:rPr>
      </w:pPr>
    </w:p>
    <w:p w14:paraId="1150E254" w14:textId="77777777" w:rsidR="00CD70B8" w:rsidRPr="00DD7BD1" w:rsidRDefault="00CD70B8" w:rsidP="00CD70B8">
      <w:pPr>
        <w:pStyle w:val="Bullet2"/>
        <w:spacing w:after="0" w:line="240" w:lineRule="auto"/>
        <w:ind w:left="0" w:firstLine="0"/>
        <w:rPr>
          <w:rFonts w:cs="Calibri"/>
          <w:b/>
          <w:bCs/>
          <w:i/>
          <w:iCs/>
          <w:color w:val="auto"/>
        </w:rPr>
      </w:pPr>
      <w:r w:rsidRPr="00DD7BD1">
        <w:rPr>
          <w:rFonts w:cs="Calibri"/>
          <w:b/>
          <w:bCs/>
          <w:i/>
          <w:iCs/>
          <w:color w:val="auto"/>
        </w:rPr>
        <w:t xml:space="preserve">Other Prohibited Conduct and Enforcement </w:t>
      </w:r>
    </w:p>
    <w:p w14:paraId="670772FA"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Pr="00DD7BD1" w:rsidRDefault="00CD70B8" w:rsidP="00CD70B8">
      <w:pPr>
        <w:pStyle w:val="Bullet2"/>
        <w:spacing w:after="0" w:line="240" w:lineRule="auto"/>
        <w:ind w:left="0" w:firstLine="0"/>
        <w:rPr>
          <w:rFonts w:cs="Calibri"/>
          <w:color w:val="auto"/>
        </w:rPr>
      </w:pPr>
    </w:p>
    <w:p w14:paraId="66F94F6F" w14:textId="4C169389" w:rsidR="00CD70B8" w:rsidRPr="00DD7BD1" w:rsidRDefault="00CD70B8" w:rsidP="00CD70B8">
      <w:pPr>
        <w:pStyle w:val="Bullet2"/>
        <w:spacing w:after="0" w:line="240" w:lineRule="auto"/>
        <w:ind w:left="0" w:firstLine="0"/>
        <w:jc w:val="center"/>
        <w:rPr>
          <w:rFonts w:cs="Calibri"/>
          <w:b/>
          <w:bCs/>
          <w:color w:val="auto"/>
          <w:sz w:val="28"/>
          <w:szCs w:val="28"/>
        </w:rPr>
      </w:pPr>
      <w:r w:rsidRPr="00DD7BD1">
        <w:rPr>
          <w:rFonts w:cs="Calibri"/>
          <w:b/>
          <w:bCs/>
          <w:color w:val="auto"/>
          <w:sz w:val="28"/>
          <w:szCs w:val="28"/>
        </w:rPr>
        <w:t>Paid Sick Leave Expansion –</w:t>
      </w:r>
      <w:r w:rsidRPr="00DD7BD1">
        <w:rPr>
          <w:rFonts w:cs="Calibri"/>
          <w:b/>
          <w:bCs/>
          <w:color w:val="C00000"/>
          <w:sz w:val="28"/>
          <w:szCs w:val="28"/>
        </w:rPr>
        <w:t xml:space="preserve"> Jan 1, 2025</w:t>
      </w:r>
    </w:p>
    <w:p w14:paraId="0569481E" w14:textId="77777777" w:rsidR="00CD70B8" w:rsidRPr="00DD7BD1" w:rsidRDefault="00CD70B8" w:rsidP="00CD70B8">
      <w:pPr>
        <w:pStyle w:val="Bullet2"/>
        <w:spacing w:after="0" w:line="240" w:lineRule="auto"/>
        <w:ind w:left="0" w:firstLine="0"/>
        <w:rPr>
          <w:rFonts w:cs="Calibri"/>
          <w:color w:val="auto"/>
        </w:rPr>
      </w:pPr>
      <w:hyperlink r:id="rId566" w:tgtFrame="_blank" w:history="1">
        <w:r w:rsidRPr="00DD7BD1">
          <w:rPr>
            <w:rStyle w:val="Hyperlink"/>
            <w:rFonts w:cs="Calibri"/>
          </w:rPr>
          <w:t>SB 1105</w:t>
        </w:r>
      </w:hyperlink>
      <w:r w:rsidRPr="00DD7BD1">
        <w:rPr>
          <w:rFonts w:cs="Calibri"/>
          <w:color w:val="auto"/>
        </w:rPr>
        <w:t xml:space="preserve">, revises California's paid sick leave, expressly allowing </w:t>
      </w:r>
      <w:r w:rsidRPr="00DD7BD1">
        <w:rPr>
          <w:rFonts w:cs="Calibri"/>
          <w:b/>
          <w:bCs/>
          <w:color w:val="7030A0"/>
        </w:rPr>
        <w:t>agricultural employees</w:t>
      </w:r>
      <w:r w:rsidRPr="00DD7BD1">
        <w:rPr>
          <w:rFonts w:cs="Calibri"/>
          <w:color w:val="7030A0"/>
        </w:rPr>
        <w:t xml:space="preserve"> </w:t>
      </w:r>
      <w:r w:rsidRPr="00DD7BD1">
        <w:rPr>
          <w:rFonts w:cs="Calibri"/>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DD7BD1" w:rsidRDefault="00CD70B8" w:rsidP="00CD70B8">
      <w:pPr>
        <w:pStyle w:val="Bullet2"/>
        <w:spacing w:after="0" w:line="240" w:lineRule="auto"/>
        <w:ind w:left="0" w:firstLine="0"/>
        <w:rPr>
          <w:rFonts w:cs="Calibri"/>
          <w:color w:val="auto"/>
        </w:rPr>
      </w:pPr>
    </w:p>
    <w:p w14:paraId="312A5471" w14:textId="6661AC29" w:rsidR="00CD70B8" w:rsidRPr="00DD7BD1" w:rsidRDefault="00CD70B8" w:rsidP="00CD70B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Amends Victim Leave for Employees – </w:t>
      </w:r>
      <w:r w:rsidRPr="00DD7BD1">
        <w:rPr>
          <w:rFonts w:ascii="Calibri" w:hAnsi="Calibri" w:cs="Calibri"/>
          <w:b/>
          <w:bCs/>
          <w:color w:val="C00000"/>
          <w:sz w:val="28"/>
          <w:szCs w:val="28"/>
          <w:shd w:val="clear" w:color="auto" w:fill="FFFFFF"/>
        </w:rPr>
        <w:t>Jan 1, 2025</w:t>
      </w:r>
    </w:p>
    <w:p w14:paraId="3FF64AF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has amended its Healthy Workplaces, Healthy Families Act law addressing employee leave </w:t>
      </w:r>
      <w:r w:rsidRPr="00DD7BD1">
        <w:rPr>
          <w:rFonts w:ascii="Calibri" w:hAnsi="Calibri" w:cs="Calibri"/>
          <w:u w:val="single"/>
        </w:rPr>
        <w:t xml:space="preserve">for victims of domestic violence, sexual assault and other specified </w:t>
      </w:r>
      <w:r w:rsidRPr="00DD7BD1">
        <w:rPr>
          <w:rFonts w:ascii="Calibri" w:hAnsi="Calibri" w:cs="Calibri"/>
        </w:rPr>
        <w:t xml:space="preserve">“qualifying acts of violence.” The amendments list 10 of these reasons, which include purposes such as seeking restraining orders, counseling, safety planning, relocating, caring for a family member who is a victim and participating in legal proceedings.  </w:t>
      </w:r>
    </w:p>
    <w:p w14:paraId="66A5DBDC" w14:textId="77777777" w:rsidR="00CD70B8" w:rsidRPr="00DD7BD1" w:rsidRDefault="00CD70B8" w:rsidP="00CD70B8">
      <w:pPr>
        <w:spacing w:after="0" w:line="240" w:lineRule="auto"/>
        <w:rPr>
          <w:rFonts w:ascii="Calibri" w:hAnsi="Calibri" w:cs="Calibri"/>
          <w:sz w:val="16"/>
          <w:szCs w:val="16"/>
        </w:rPr>
      </w:pPr>
    </w:p>
    <w:p w14:paraId="03F07EBC" w14:textId="77777777" w:rsidR="00CD70B8" w:rsidRPr="00DD7BD1" w:rsidRDefault="00CD70B8" w:rsidP="00CD70B8">
      <w:pPr>
        <w:spacing w:after="0" w:line="240" w:lineRule="auto"/>
        <w:rPr>
          <w:rFonts w:ascii="Calibri" w:hAnsi="Calibri" w:cs="Calibri"/>
        </w:rPr>
      </w:pPr>
      <w:r w:rsidRPr="00DD7BD1">
        <w:rPr>
          <w:rFonts w:ascii="Calibri" w:hAnsi="Calibri" w:cs="Calibri"/>
        </w:rPr>
        <w:t>The definition of </w:t>
      </w:r>
      <w:r w:rsidRPr="00DD7BD1">
        <w:rPr>
          <w:rFonts w:ascii="Calibri" w:hAnsi="Calibri" w:cs="Calibri"/>
          <w:b/>
          <w:bCs/>
          <w:i/>
          <w:iCs/>
        </w:rPr>
        <w:t>victim </w:t>
      </w:r>
      <w:r w:rsidRPr="00DD7BD1">
        <w:rPr>
          <w:rFonts w:ascii="Calibri" w:hAnsi="Calibri" w:cs="Calibri"/>
        </w:rPr>
        <w:t>will be broadened to include victims of any </w:t>
      </w:r>
      <w:r w:rsidRPr="00DD7BD1">
        <w:rPr>
          <w:rFonts w:ascii="Calibri" w:hAnsi="Calibri" w:cs="Calibri"/>
          <w:i/>
          <w:iCs/>
        </w:rPr>
        <w:t>qualifying act of violence</w:t>
      </w:r>
      <w:r w:rsidRPr="00DD7BD1">
        <w:rPr>
          <w:rFonts w:ascii="Calibri" w:hAnsi="Calibri" w:cs="Calibri"/>
        </w:rPr>
        <w:t> (QAOV). A QAOV means domestic violence, sexual assault, stalking and</w:t>
      </w:r>
      <w:r w:rsidRPr="00DD7BD1">
        <w:rPr>
          <w:rFonts w:ascii="Calibri" w:hAnsi="Calibri" w:cs="Calibri"/>
          <w:i/>
          <w:iCs/>
        </w:rPr>
        <w:t> </w:t>
      </w:r>
      <w:r w:rsidRPr="00DD7BD1">
        <w:rPr>
          <w:rFonts w:ascii="Calibri" w:hAnsi="Calibri" w:cs="Calibri"/>
        </w:rPr>
        <w:t>any act or pattern of conduct that:</w:t>
      </w:r>
    </w:p>
    <w:p w14:paraId="3C3AB6C8"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Causes bodily injury or death</w:t>
      </w:r>
    </w:p>
    <w:p w14:paraId="3382F13F"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a firearm or other dangerous weapon</w:t>
      </w:r>
    </w:p>
    <w:p w14:paraId="416DC884"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force, or the threat of force, to cause injury or death</w:t>
      </w:r>
    </w:p>
    <w:p w14:paraId="2BB2467F" w14:textId="77777777" w:rsidR="00CD70B8" w:rsidRPr="00DD7BD1" w:rsidRDefault="00CD70B8" w:rsidP="00CD70B8">
      <w:pPr>
        <w:spacing w:after="0" w:line="240" w:lineRule="auto"/>
        <w:rPr>
          <w:rFonts w:ascii="Calibri" w:hAnsi="Calibri" w:cs="Calibri"/>
        </w:rPr>
      </w:pPr>
      <w:r w:rsidRPr="00DD7BD1">
        <w:rPr>
          <w:rFonts w:ascii="Calibri" w:hAnsi="Calibri" w:cs="Calibri"/>
        </w:rPr>
        <w:t>Additionally, employees will be protected from discrimination or retaliation based on a </w:t>
      </w:r>
      <w:r w:rsidRPr="00DD7BD1">
        <w:rPr>
          <w:rFonts w:ascii="Calibri" w:hAnsi="Calibri" w:cs="Calibri"/>
          <w:i/>
          <w:iCs/>
        </w:rPr>
        <w:t>family member’s</w:t>
      </w:r>
      <w:r w:rsidRPr="00DD7BD1">
        <w:rPr>
          <w:rFonts w:ascii="Calibri" w:hAnsi="Calibri" w:cs="Calibri"/>
        </w:rPr>
        <w:t> </w:t>
      </w:r>
      <w:r w:rsidRPr="00DD7BD1">
        <w:rPr>
          <w:rFonts w:ascii="Calibri" w:hAnsi="Calibri" w:cs="Calibri"/>
          <w:i/>
          <w:iCs/>
        </w:rPr>
        <w:t>status</w:t>
      </w:r>
      <w:r w:rsidRPr="00DD7BD1">
        <w:rPr>
          <w:rFonts w:ascii="Calibri" w:hAnsi="Calibri" w:cs="Calibri"/>
        </w:rPr>
        <w:t> as a victim, and reasonable accommodations must be provided to an employee whose family member is a victim.</w:t>
      </w:r>
    </w:p>
    <w:p w14:paraId="7147481B" w14:textId="77777777" w:rsidR="00CD70B8" w:rsidRPr="00DD7BD1" w:rsidRDefault="00CD70B8" w:rsidP="00CD70B8">
      <w:pPr>
        <w:spacing w:after="0" w:line="240" w:lineRule="auto"/>
        <w:rPr>
          <w:rFonts w:ascii="Calibri" w:hAnsi="Calibri" w:cs="Calibri"/>
        </w:rPr>
      </w:pPr>
    </w:p>
    <w:p w14:paraId="56A62912"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Unlike the existing law, the amendments also require that employers with 25 or more employees allow leave when employees’ family members are victims. Employers with </w:t>
      </w:r>
      <w:r w:rsidRPr="00DD7BD1">
        <w:rPr>
          <w:rFonts w:ascii="Calibri" w:hAnsi="Calibri" w:cs="Calibri"/>
          <w:b/>
          <w:bCs/>
        </w:rPr>
        <w:t xml:space="preserve">25 or more employees </w:t>
      </w:r>
      <w:r w:rsidRPr="00DD7BD1">
        <w:rPr>
          <w:rFonts w:ascii="Calibri" w:hAnsi="Calibri" w:cs="Calibri"/>
        </w:rPr>
        <w:t>will be able to limit the leave an employee may take as follows:</w:t>
      </w:r>
    </w:p>
    <w:p w14:paraId="3F827BB8"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Twelve weeks for leave for victims of a qualifying act of violence;</w:t>
      </w:r>
    </w:p>
    <w:p w14:paraId="0BD1161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Five days for relocation or enrolling a child in a new school or child care facility when the family member was the victim of a nonfatal crime; and</w:t>
      </w:r>
    </w:p>
    <w:p w14:paraId="6F4843F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 xml:space="preserve">Ten days for leave when an employee’s family member was the victim of a nonfatal crime. </w:t>
      </w:r>
    </w:p>
    <w:p w14:paraId="4263767A" w14:textId="77777777" w:rsidR="00CD70B8" w:rsidRPr="00DD7BD1" w:rsidRDefault="00CD70B8" w:rsidP="00CD70B8">
      <w:pPr>
        <w:spacing w:after="0" w:line="240" w:lineRule="auto"/>
        <w:rPr>
          <w:rFonts w:ascii="Calibri" w:hAnsi="Calibri" w:cs="Calibri"/>
          <w:sz w:val="16"/>
          <w:szCs w:val="16"/>
        </w:rPr>
      </w:pPr>
    </w:p>
    <w:p w14:paraId="7CC4FEF5" w14:textId="77777777" w:rsidR="00CD70B8" w:rsidRPr="00DD7BD1" w:rsidRDefault="00CD70B8" w:rsidP="00CD70B8">
      <w:pPr>
        <w:keepNext/>
        <w:spacing w:after="0" w:line="240" w:lineRule="auto"/>
        <w:rPr>
          <w:rFonts w:ascii="Calibri" w:hAnsi="Calibri" w:cs="Calibri"/>
        </w:rPr>
      </w:pPr>
      <w:r w:rsidRPr="00DD7BD1">
        <w:rPr>
          <w:rFonts w:ascii="Calibri" w:hAnsi="Calibri" w:cs="Calibri"/>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Enroll children in a new school or child care;</w:t>
      </w:r>
    </w:p>
    <w:p w14:paraId="44D053F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Seek, obtain or assist a family member in seeking or obtaining legal services;</w:t>
      </w:r>
    </w:p>
    <w:p w14:paraId="073200E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Prepare for, participate in or attend any civil, administrative or criminal legal proceeding; and</w:t>
      </w:r>
    </w:p>
    <w:p w14:paraId="24594D0D"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Seek, obtain or provide child care or care to a care-dependent adult if such care is necessary to ensure their safety. </w:t>
      </w:r>
    </w:p>
    <w:p w14:paraId="10EDA8DE" w14:textId="77777777" w:rsidR="00CD70B8" w:rsidRPr="00DD7BD1" w:rsidRDefault="00CD70B8" w:rsidP="00CD70B8">
      <w:pPr>
        <w:spacing w:after="0" w:line="240" w:lineRule="auto"/>
        <w:rPr>
          <w:rFonts w:ascii="Calibri" w:hAnsi="Calibri" w:cs="Calibri"/>
          <w:b/>
          <w:bCs/>
          <w:sz w:val="16"/>
          <w:szCs w:val="16"/>
        </w:rPr>
      </w:pPr>
    </w:p>
    <w:p w14:paraId="08740885" w14:textId="77777777" w:rsidR="00CD70B8" w:rsidRPr="00DD7BD1" w:rsidRDefault="00CD70B8" w:rsidP="00CD70B8">
      <w:pPr>
        <w:spacing w:after="0" w:line="240" w:lineRule="auto"/>
        <w:rPr>
          <w:rFonts w:ascii="Calibri" w:hAnsi="Calibri" w:cs="Calibri"/>
          <w:b/>
          <w:bCs/>
        </w:rPr>
      </w:pPr>
      <w:r w:rsidRPr="00DD7BD1">
        <w:rPr>
          <w:rFonts w:ascii="Calibri" w:hAnsi="Calibri" w:cs="Calibri"/>
          <w:b/>
          <w:bCs/>
        </w:rPr>
        <w:t>Leave of Absence</w:t>
      </w:r>
    </w:p>
    <w:p w14:paraId="66778ECF" w14:textId="77777777" w:rsidR="00CD70B8" w:rsidRPr="00DD7BD1" w:rsidRDefault="00CD70B8" w:rsidP="00CD70B8">
      <w:pPr>
        <w:spacing w:after="0" w:line="240" w:lineRule="auto"/>
        <w:rPr>
          <w:rFonts w:ascii="Calibri" w:hAnsi="Calibri" w:cs="Calibri"/>
        </w:rPr>
      </w:pPr>
      <w:r w:rsidRPr="00DD7BD1">
        <w:rPr>
          <w:rFonts w:ascii="Calibri" w:hAnsi="Calibri" w:cs="Calibri"/>
        </w:rPr>
        <w:t>AB 2499 (</w:t>
      </w:r>
      <w:hyperlink r:id="rId567" w:tgtFrame="_blank" w:history="1">
        <w:r w:rsidRPr="00DD7BD1">
          <w:rPr>
            <w:rStyle w:val="Hyperlink"/>
            <w:rFonts w:ascii="Calibri" w:hAnsi="Calibri" w:cs="Calibri"/>
          </w:rPr>
          <w:t>CA A 2499</w:t>
        </w:r>
      </w:hyperlink>
      <w:r w:rsidRPr="00DD7BD1">
        <w:rPr>
          <w:rFonts w:ascii="Calibri" w:hAnsi="Calibri" w:cs="Calibri"/>
        </w:rPr>
        <w:t>) 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employees, and  the California Civil Rights Department (CRD) will have enforcement authority.</w:t>
      </w:r>
    </w:p>
    <w:p w14:paraId="13AE99C2" w14:textId="77777777" w:rsidR="00CD70B8" w:rsidRPr="00DD7BD1" w:rsidRDefault="00CD70B8" w:rsidP="00CD70B8">
      <w:pPr>
        <w:spacing w:after="0" w:line="240" w:lineRule="auto"/>
        <w:rPr>
          <w:rFonts w:ascii="Calibri" w:hAnsi="Calibri" w:cs="Calibri"/>
          <w:sz w:val="16"/>
          <w:szCs w:val="16"/>
        </w:rPr>
      </w:pPr>
    </w:p>
    <w:p w14:paraId="2C4D52F0" w14:textId="77777777" w:rsidR="00CD70B8" w:rsidRPr="00DD7BD1" w:rsidRDefault="00CD70B8" w:rsidP="00CD70B8">
      <w:pPr>
        <w:rPr>
          <w:rFonts w:ascii="Calibri" w:hAnsi="Calibri" w:cs="Calibri"/>
        </w:rPr>
      </w:pPr>
      <w:r w:rsidRPr="00DD7BD1">
        <w:rPr>
          <w:rFonts w:ascii="Calibri" w:hAnsi="Calibri" w:cs="Calibri"/>
        </w:rPr>
        <w:t xml:space="preserve">The changes take effect </w:t>
      </w:r>
      <w:r w:rsidRPr="00DD7BD1">
        <w:rPr>
          <w:rFonts w:ascii="Calibri" w:hAnsi="Calibri" w:cs="Calibri"/>
          <w:b/>
          <w:bCs/>
        </w:rPr>
        <w:t>Jan. 1, 2025</w:t>
      </w:r>
      <w:r w:rsidRPr="00DD7BD1">
        <w:rPr>
          <w:rFonts w:ascii="Calibri" w:hAnsi="Calibri" w:cs="Calibri"/>
        </w:rPr>
        <w:t xml:space="preserve">, and include, among other things, revised definitions, expanded reasons for leave, permitted limits on leave and enforcement by the state’s Civil Rights Department. </w:t>
      </w:r>
    </w:p>
    <w:p w14:paraId="2D738227" w14:textId="77777777" w:rsidR="00CD70B8" w:rsidRPr="00DD7BD1" w:rsidRDefault="00CD70B8" w:rsidP="00CD70B8">
      <w:pPr>
        <w:rPr>
          <w:rFonts w:ascii="Calibri" w:hAnsi="Calibri" w:cs="Calibri"/>
        </w:rPr>
      </w:pPr>
      <w:r w:rsidRPr="00DD7BD1">
        <w:rPr>
          <w:rFonts w:ascii="Calibri" w:hAnsi="Calibri" w:cs="Calibri"/>
        </w:rPr>
        <w:t xml:space="preserve">The amendments were contained in </w:t>
      </w:r>
      <w:hyperlink r:id="rId568" w:history="1">
        <w:r w:rsidRPr="00DD7BD1">
          <w:rPr>
            <w:rStyle w:val="Hyperlink"/>
            <w:rFonts w:ascii="Calibri" w:hAnsi="Calibri" w:cs="Calibri"/>
          </w:rPr>
          <w:t>Assembly Bill (AB) 2499</w:t>
        </w:r>
      </w:hyperlink>
      <w:r w:rsidRPr="00DD7BD1">
        <w:rPr>
          <w:rFonts w:ascii="Calibri" w:hAnsi="Calibri" w:cs="Calibri"/>
        </w:rPr>
        <w:t>, enacted Sept. 29, 2024.</w:t>
      </w:r>
    </w:p>
    <w:p w14:paraId="4354D827" w14:textId="77777777" w:rsidR="00CD70B8" w:rsidRPr="00DD7BD1" w:rsidRDefault="00CD70B8" w:rsidP="00CD70B8">
      <w:pPr>
        <w:rPr>
          <w:rFonts w:ascii="Calibri" w:hAnsi="Calibri" w:cs="Calibri"/>
        </w:rPr>
      </w:pPr>
      <w:r w:rsidRPr="00DD7BD1">
        <w:rPr>
          <w:rFonts w:ascii="Calibri" w:hAnsi="Calibri" w:cs="Calibri"/>
        </w:rPr>
        <w:t>Lastly, employers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Pr="00DD7BD1" w:rsidRDefault="00CD70B8" w:rsidP="00CD70B8">
      <w:pPr>
        <w:rPr>
          <w:rFonts w:ascii="Calibri" w:hAnsi="Calibri" w:cs="Calibri"/>
        </w:rPr>
      </w:pPr>
      <w:r w:rsidRPr="00DD7BD1">
        <w:rPr>
          <w:rFonts w:ascii="Calibri" w:hAnsi="Calibri" w:cs="Calibri"/>
        </w:rPr>
        <w:t>ETC will be revising State Handbook Addendums and publishing updates early 2025 reflective of this change.</w:t>
      </w:r>
    </w:p>
    <w:p w14:paraId="5E59B76B" w14:textId="31E62D39" w:rsidR="00CD70B8" w:rsidRPr="00DD7BD1" w:rsidRDefault="00CD70B8" w:rsidP="00CD70B8">
      <w:pPr>
        <w:spacing w:after="0" w:line="240" w:lineRule="auto"/>
        <w:jc w:val="center"/>
        <w:rPr>
          <w:rFonts w:ascii="Calibri" w:eastAsiaTheme="majorEastAsia" w:hAnsi="Calibri" w:cs="Calibri"/>
          <w:b/>
          <w:bCs/>
          <w:sz w:val="28"/>
          <w:szCs w:val="28"/>
        </w:rPr>
      </w:pPr>
      <w:r w:rsidRPr="00DD7BD1">
        <w:rPr>
          <w:rFonts w:ascii="Calibri" w:eastAsiaTheme="majorEastAsia" w:hAnsi="Calibri" w:cs="Calibri"/>
          <w:b/>
          <w:bCs/>
          <w:sz w:val="28"/>
          <w:szCs w:val="28"/>
        </w:rPr>
        <w:t xml:space="preserve">Jury &amp;  Witness Duty Leave Oversight &amp; Enforcement Change– </w:t>
      </w:r>
      <w:r w:rsidRPr="00DD7BD1">
        <w:rPr>
          <w:rFonts w:ascii="Calibri" w:eastAsiaTheme="majorEastAsia" w:hAnsi="Calibri" w:cs="Calibri"/>
          <w:b/>
          <w:bCs/>
          <w:color w:val="C00000"/>
          <w:sz w:val="28"/>
          <w:szCs w:val="28"/>
        </w:rPr>
        <w:t>Jan 1, 2025</w:t>
      </w:r>
    </w:p>
    <w:p w14:paraId="32DE61E8" w14:textId="77777777" w:rsidR="00CD70B8" w:rsidRPr="00DD7BD1" w:rsidRDefault="00CD70B8" w:rsidP="00CD70B8">
      <w:pPr>
        <w:spacing w:after="0" w:line="240" w:lineRule="auto"/>
        <w:rPr>
          <w:rFonts w:ascii="Calibri" w:hAnsi="Calibri" w:cs="Calibri"/>
        </w:rPr>
      </w:pPr>
      <w:hyperlink r:id="rId569" w:tgtFrame="_blank" w:history="1">
        <w:r w:rsidRPr="00DD7BD1">
          <w:rPr>
            <w:rStyle w:val="Hyperlink"/>
            <w:rFonts w:ascii="Calibri" w:hAnsi="Calibri" w:cs="Calibri"/>
          </w:rPr>
          <w:t>AB 2499</w:t>
        </w:r>
      </w:hyperlink>
      <w:r w:rsidRPr="00DD7BD1">
        <w:rPr>
          <w:rFonts w:ascii="Calibri" w:hAnsi="Calibri" w:cs="Calibri"/>
        </w:rPr>
        <w:t> also moves jury and witness duty leave from the Labor Code to the Fair Employment and Housing Act (FEHA) meaning the California Civil Rights Department (CRD) will also have enforcement authority over this leave entitlement.</w:t>
      </w:r>
    </w:p>
    <w:p w14:paraId="185ED98D" w14:textId="77777777" w:rsidR="00CD70B8" w:rsidRPr="00DD7BD1" w:rsidRDefault="00CD70B8" w:rsidP="00CD70B8">
      <w:pPr>
        <w:spacing w:after="0" w:line="240" w:lineRule="auto"/>
        <w:rPr>
          <w:rFonts w:ascii="Calibri" w:hAnsi="Calibri" w:cs="Calibri"/>
          <w:sz w:val="16"/>
          <w:szCs w:val="16"/>
        </w:rPr>
      </w:pPr>
    </w:p>
    <w:p w14:paraId="09CCA8A7" w14:textId="24F3A3F8" w:rsidR="00CD70B8" w:rsidRPr="00DD7BD1" w:rsidRDefault="00CD70B8" w:rsidP="00CD70B8">
      <w:pPr>
        <w:pStyle w:val="Heading2"/>
        <w:spacing w:before="0" w:line="240" w:lineRule="auto"/>
        <w:jc w:val="center"/>
        <w:rPr>
          <w:rFonts w:ascii="Calibri" w:hAnsi="Calibri" w:cs="Calibri"/>
          <w:b/>
          <w:bCs/>
          <w:color w:val="auto"/>
          <w:sz w:val="28"/>
          <w:szCs w:val="28"/>
          <w:u w:val="single"/>
        </w:rPr>
      </w:pPr>
      <w:r w:rsidRPr="00DD7BD1">
        <w:rPr>
          <w:rFonts w:ascii="Calibri" w:eastAsiaTheme="minorHAnsi" w:hAnsi="Calibri" w:cs="Calibri"/>
          <w:b/>
          <w:bCs/>
          <w:color w:val="auto"/>
          <w:sz w:val="28"/>
          <w:szCs w:val="28"/>
          <w:shd w:val="clear" w:color="auto" w:fill="FFFFFF"/>
        </w:rPr>
        <w:t xml:space="preserve">State Passes </w:t>
      </w:r>
      <w:r w:rsidRPr="00DD7BD1">
        <w:rPr>
          <w:rFonts w:ascii="Calibri" w:hAnsi="Calibri" w:cs="Calibri"/>
          <w:b/>
          <w:bCs/>
          <w:color w:val="auto"/>
          <w:sz w:val="28"/>
          <w:szCs w:val="28"/>
        </w:rPr>
        <w:t xml:space="preserve">Captive Audience Ban </w:t>
      </w:r>
      <w:r w:rsidRPr="00DD7BD1">
        <w:rPr>
          <w:rFonts w:ascii="Calibri" w:eastAsiaTheme="minorHAnsi" w:hAnsi="Calibri" w:cs="Calibri"/>
          <w:b/>
          <w:bCs/>
          <w:color w:val="auto"/>
          <w:sz w:val="28"/>
          <w:szCs w:val="28"/>
          <w:shd w:val="clear" w:color="auto" w:fill="FFFFFF"/>
        </w:rPr>
        <w:t xml:space="preserve">– </w:t>
      </w:r>
      <w:r w:rsidRPr="00DD7BD1">
        <w:rPr>
          <w:rFonts w:ascii="Calibri" w:eastAsiaTheme="minorHAnsi" w:hAnsi="Calibri" w:cs="Calibri"/>
          <w:b/>
          <w:bCs/>
          <w:color w:val="C00000"/>
          <w:sz w:val="28"/>
          <w:szCs w:val="28"/>
          <w:shd w:val="clear" w:color="auto" w:fill="FFFFFF"/>
        </w:rPr>
        <w:t>Jan 1, 2025</w:t>
      </w:r>
    </w:p>
    <w:p w14:paraId="0B6ECB8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 xml:space="preserve">California passed the </w:t>
      </w:r>
      <w:hyperlink r:id="rId570" w:history="1">
        <w:r w:rsidRPr="00DD7BD1">
          <w:rPr>
            <w:rStyle w:val="Hyperlink"/>
            <w:rFonts w:ascii="Calibri" w:hAnsi="Calibri" w:cs="Calibri"/>
          </w:rPr>
          <w:t>California Worker Freedom from Employer Intimidation Act</w:t>
        </w:r>
      </w:hyperlink>
      <w:r w:rsidRPr="00DD7BD1">
        <w:rPr>
          <w:rFonts w:ascii="Calibri" w:hAnsi="Calibri" w:cs="Calibri"/>
        </w:rPr>
        <w:t xml:space="preserve">, </w:t>
      </w:r>
      <w:hyperlink r:id="rId571" w:tgtFrame="_blank" w:history="1">
        <w:r w:rsidRPr="00DD7BD1">
          <w:rPr>
            <w:rStyle w:val="Hyperlink"/>
            <w:rFonts w:ascii="Calibri" w:hAnsi="Calibri" w:cs="Calibri"/>
          </w:rPr>
          <w:t>CA S 399</w:t>
        </w:r>
      </w:hyperlink>
      <w:r w:rsidRPr="00DD7BD1">
        <w:rPr>
          <w:rFonts w:ascii="Calibri" w:hAnsi="Calibri" w:cs="Calibri"/>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However, under the law:</w:t>
      </w:r>
    </w:p>
    <w:p w14:paraId="001D014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Higher education institutions may communicate information on coursework, symposia or academic programs; </w:t>
      </w:r>
    </w:p>
    <w:p w14:paraId="1186DB0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Public entities may communicate information related to one of its policies or any law or regulation such entity is responsible for administering;</w:t>
      </w:r>
    </w:p>
    <w:p w14:paraId="7D8D96F2"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Religious entities may communicate information regarding relevant religious matters;</w:t>
      </w:r>
    </w:p>
    <w:p w14:paraId="3BE4C856"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Political organizations may communicate information regarding relevant political matters; and</w:t>
      </w:r>
    </w:p>
    <w:p w14:paraId="52E65FFC"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Employers who violate the law may be subject to civil penalties of $500 per employee for each violation, as well as injunctive relief and damages. </w:t>
      </w:r>
    </w:p>
    <w:p w14:paraId="0E514ACD" w14:textId="77777777" w:rsidR="00CD70B8" w:rsidRPr="00DD7BD1" w:rsidRDefault="00CD70B8" w:rsidP="00CD70B8">
      <w:pPr>
        <w:pStyle w:val="Bullet2"/>
        <w:spacing w:after="0" w:line="240" w:lineRule="auto"/>
        <w:ind w:left="0" w:firstLine="0"/>
        <w:rPr>
          <w:rFonts w:cs="Calibri"/>
          <w:color w:val="auto"/>
          <w:sz w:val="16"/>
          <w:szCs w:val="16"/>
        </w:rPr>
      </w:pPr>
    </w:p>
    <w:p w14:paraId="5FAF4F4C" w14:textId="663F4980" w:rsidR="00CD70B8" w:rsidRPr="00DD7BD1" w:rsidRDefault="00CD70B8" w:rsidP="00CD70B8">
      <w:pPr>
        <w:pStyle w:val="SubHeader"/>
        <w:spacing w:line="240" w:lineRule="auto"/>
        <w:jc w:val="center"/>
        <w:rPr>
          <w:rFonts w:cs="Calibri"/>
          <w:color w:val="auto"/>
        </w:rPr>
      </w:pPr>
      <w:r w:rsidRPr="00DD7BD1">
        <w:rPr>
          <w:rFonts w:cs="Calibri"/>
          <w:color w:val="auto"/>
        </w:rPr>
        <w:t>Expanded Use of CA Paid Sick Leave –</w:t>
      </w:r>
      <w:r w:rsidRPr="00DD7BD1">
        <w:rPr>
          <w:rFonts w:cs="Calibri"/>
          <w:color w:val="C00000"/>
        </w:rPr>
        <w:t xml:space="preserve"> Jan 1, 2025</w:t>
      </w:r>
    </w:p>
    <w:p w14:paraId="6381F29F" w14:textId="77777777" w:rsidR="00CD70B8" w:rsidRPr="00DD7BD1" w:rsidRDefault="00CD70B8" w:rsidP="00CD70B8">
      <w:pPr>
        <w:pStyle w:val="SubHeader"/>
        <w:rPr>
          <w:rFonts w:cs="Calibri"/>
          <w:b w:val="0"/>
          <w:color w:val="auto"/>
          <w:sz w:val="22"/>
          <w:szCs w:val="22"/>
        </w:rPr>
      </w:pPr>
      <w:r w:rsidRPr="00DD7BD1">
        <w:rPr>
          <w:rFonts w:cs="Calibri"/>
          <w:b w:val="0"/>
          <w:color w:val="auto"/>
          <w:sz w:val="22"/>
          <w:szCs w:val="22"/>
        </w:rPr>
        <w:t xml:space="preserve">Under </w:t>
      </w:r>
      <w:hyperlink r:id="rId572" w:tgtFrame="_blank" w:history="1">
        <w:r w:rsidRPr="00DD7BD1">
          <w:rPr>
            <w:rStyle w:val="Hyperlink"/>
            <w:rFonts w:cs="Calibri"/>
            <w:b w:val="0"/>
            <w:sz w:val="22"/>
            <w:szCs w:val="22"/>
          </w:rPr>
          <w:t>CA A 2499</w:t>
        </w:r>
      </w:hyperlink>
      <w:r w:rsidRPr="00DD7BD1">
        <w:rPr>
          <w:rFonts w:cs="Calibri"/>
          <w:b w:val="0"/>
          <w:color w:val="auto"/>
          <w:sz w:val="22"/>
          <w:szCs w:val="22"/>
        </w:rPr>
        <w:t>, employees will be able to use paid sick leave for the following:</w:t>
      </w:r>
    </w:p>
    <w:p w14:paraId="0B4599B4"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Jury duty</w:t>
      </w:r>
    </w:p>
    <w:p w14:paraId="08263D00"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To appear in court under a court order as a witness in a judicial proceeding</w:t>
      </w:r>
    </w:p>
    <w:p w14:paraId="3DFEDBBA"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For any reason covered under the victim leave law when they or their family member is a victim of a QAOV</w:t>
      </w:r>
    </w:p>
    <w:p w14:paraId="75404748" w14:textId="77777777" w:rsidR="00CD70B8" w:rsidRPr="00DD7BD1" w:rsidRDefault="00CD70B8" w:rsidP="00CD70B8">
      <w:pPr>
        <w:pStyle w:val="SubHeader"/>
        <w:spacing w:line="240" w:lineRule="auto"/>
        <w:rPr>
          <w:rFonts w:cs="Calibri"/>
          <w:b w:val="0"/>
          <w:color w:val="auto"/>
          <w:sz w:val="22"/>
          <w:szCs w:val="22"/>
        </w:rPr>
      </w:pPr>
    </w:p>
    <w:p w14:paraId="3DFB97C2" w14:textId="77777777" w:rsidR="00CD70B8" w:rsidRPr="00DD7BD1" w:rsidRDefault="00CD70B8" w:rsidP="00CD70B8">
      <w:pPr>
        <w:pStyle w:val="SubHeader"/>
        <w:spacing w:line="240" w:lineRule="auto"/>
        <w:rPr>
          <w:rFonts w:cs="Calibri"/>
          <w:b w:val="0"/>
          <w:color w:val="auto"/>
          <w:sz w:val="22"/>
          <w:szCs w:val="22"/>
        </w:rPr>
      </w:pPr>
      <w:r w:rsidRPr="00DD7BD1">
        <w:rPr>
          <w:rFonts w:cs="Calibri"/>
          <w:b w:val="0"/>
          <w:color w:val="auto"/>
          <w:sz w:val="22"/>
          <w:szCs w:val="22"/>
        </w:rPr>
        <w:t>ETC’s Updated State Handbook Addendums forthcoming.</w:t>
      </w:r>
    </w:p>
    <w:p w14:paraId="77F9B807" w14:textId="77777777" w:rsidR="00CD70B8" w:rsidRPr="00DD7BD1" w:rsidRDefault="00CD70B8" w:rsidP="00CD70B8">
      <w:pPr>
        <w:pStyle w:val="SubHeader"/>
        <w:spacing w:line="240" w:lineRule="auto"/>
        <w:rPr>
          <w:rFonts w:cs="Calibri"/>
          <w:b w:val="0"/>
          <w:color w:val="auto"/>
          <w:sz w:val="16"/>
          <w:szCs w:val="16"/>
        </w:rPr>
      </w:pPr>
    </w:p>
    <w:p w14:paraId="4215DA7B" w14:textId="77777777"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color w:val="C00000"/>
          <w:sz w:val="28"/>
          <w:szCs w:val="28"/>
        </w:rPr>
        <w:t>Reminder:</w:t>
      </w:r>
      <w:r w:rsidRPr="00DD7BD1">
        <w:rPr>
          <w:rFonts w:ascii="Calibri" w:hAnsi="Calibri" w:cs="Calibri"/>
          <w:color w:val="C00000"/>
        </w:rPr>
        <w:t xml:space="preserve"> </w:t>
      </w:r>
      <w:r w:rsidRPr="00DD7BD1">
        <w:rPr>
          <w:rFonts w:ascii="Calibri" w:hAnsi="Calibri" w:cs="Calibri"/>
          <w:b/>
          <w:bCs/>
          <w:sz w:val="28"/>
          <w:szCs w:val="28"/>
          <w:shd w:val="clear" w:color="auto" w:fill="FFFFFF"/>
        </w:rPr>
        <w:t xml:space="preserve">CA Employers Lose Option to Require Vacation Leave Before PFL – </w:t>
      </w:r>
      <w:r w:rsidRPr="00DD7BD1">
        <w:rPr>
          <w:rFonts w:ascii="Calibri" w:hAnsi="Calibri" w:cs="Calibri"/>
          <w:b/>
          <w:bCs/>
          <w:color w:val="C00000"/>
          <w:sz w:val="28"/>
          <w:szCs w:val="28"/>
          <w:shd w:val="clear" w:color="auto" w:fill="FFFFFF"/>
        </w:rPr>
        <w:t>Jan 1, 2025</w:t>
      </w:r>
    </w:p>
    <w:p w14:paraId="5B6B76ED" w14:textId="77777777" w:rsidR="00CD70B8" w:rsidRPr="00DD7BD1" w:rsidRDefault="00CD70B8" w:rsidP="00CD70B8">
      <w:pPr>
        <w:pStyle w:val="BodyText"/>
        <w:spacing w:after="0" w:line="240" w:lineRule="auto"/>
        <w:rPr>
          <w:rFonts w:cs="Calibri"/>
          <w:color w:val="auto"/>
        </w:rPr>
      </w:pPr>
      <w:r w:rsidRPr="00DD7BD1">
        <w:rPr>
          <w:rFonts w:cs="Calibri"/>
          <w:color w:val="auto"/>
        </w:rPr>
        <w:t xml:space="preserve">Effective Jan. 1, 2025, California employers will no longer be allowed to require their employees to take two weeks of accrued vacation leave before taking paid family leave under the state’s </w:t>
      </w:r>
      <w:hyperlink r:id="rId573" w:history="1">
        <w:r w:rsidRPr="00DD7BD1">
          <w:rPr>
            <w:rStyle w:val="Hyperlink"/>
            <w:rFonts w:cs="Calibri"/>
          </w:rPr>
          <w:t>family temporary disability insurance program</w:t>
        </w:r>
      </w:hyperlink>
      <w:r w:rsidRPr="00DD7BD1">
        <w:rPr>
          <w:rFonts w:cs="Calibri"/>
        </w:rPr>
        <w:t xml:space="preserve">. </w:t>
      </w:r>
      <w:r w:rsidRPr="00DD7BD1">
        <w:rPr>
          <w:rFonts w:cs="Calibri"/>
          <w:color w:val="auto"/>
        </w:rPr>
        <w:t xml:space="preserve">The change was brought about by </w:t>
      </w:r>
      <w:hyperlink r:id="rId574" w:history="1">
        <w:r w:rsidRPr="00DD7BD1">
          <w:rPr>
            <w:rStyle w:val="Hyperlink"/>
            <w:rFonts w:cs="Calibri"/>
          </w:rPr>
          <w:t>Assembly Bill (AB) 2123</w:t>
        </w:r>
      </w:hyperlink>
      <w:r w:rsidRPr="00DD7BD1">
        <w:rPr>
          <w:rFonts w:cs="Calibri"/>
        </w:rPr>
        <w:t xml:space="preserve">, </w:t>
      </w:r>
      <w:r w:rsidRPr="00DD7BD1">
        <w:rPr>
          <w:rFonts w:cs="Calibri"/>
          <w:color w:val="auto"/>
        </w:rPr>
        <w:t xml:space="preserve">enacted Sept. 29, 2024. </w:t>
      </w:r>
    </w:p>
    <w:p w14:paraId="44BE3E8F" w14:textId="77777777" w:rsidR="00CD70B8" w:rsidRPr="00DD7BD1" w:rsidRDefault="00CD70B8" w:rsidP="00CD70B8">
      <w:pPr>
        <w:pStyle w:val="SubHeader"/>
        <w:spacing w:line="240" w:lineRule="auto"/>
        <w:rPr>
          <w:rFonts w:cs="Calibri"/>
          <w:color w:val="auto"/>
          <w:sz w:val="22"/>
          <w:szCs w:val="22"/>
          <w:highlight w:val="lightGray"/>
        </w:rPr>
      </w:pPr>
    </w:p>
    <w:p w14:paraId="5172D355"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color w:val="auto"/>
          <w:sz w:val="22"/>
          <w:szCs w:val="22"/>
          <w:highlight w:val="lightGray"/>
        </w:rPr>
        <w:t>Employer Takeaway:</w:t>
      </w:r>
      <w:r w:rsidRPr="00DD7BD1">
        <w:rPr>
          <w:rFonts w:cs="Calibri"/>
          <w:color w:val="auto"/>
          <w:sz w:val="22"/>
          <w:szCs w:val="22"/>
        </w:rPr>
        <w:t xml:space="preserve"> </w:t>
      </w:r>
      <w:r w:rsidRPr="00DD7BD1">
        <w:rPr>
          <w:rFonts w:cs="Calibri"/>
          <w:b w:val="0"/>
          <w:bCs/>
          <w:color w:val="auto"/>
          <w:sz w:val="22"/>
          <w:szCs w:val="22"/>
        </w:rPr>
        <w:t xml:space="preserve">The above change allows the possibility of longer employee absences overall, as employees will be able to take their full amount of paid family leave </w:t>
      </w:r>
      <w:r w:rsidRPr="00DD7BD1">
        <w:rPr>
          <w:rFonts w:cs="Calibri"/>
          <w:b w:val="0"/>
          <w:bCs/>
          <w:color w:val="auto"/>
          <w:sz w:val="22"/>
          <w:szCs w:val="22"/>
          <w:u w:val="single"/>
        </w:rPr>
        <w:t>without</w:t>
      </w:r>
      <w:r w:rsidRPr="00DD7BD1">
        <w:rPr>
          <w:rFonts w:cs="Calibri"/>
          <w:b w:val="0"/>
          <w:bCs/>
          <w:color w:val="auto"/>
          <w:sz w:val="22"/>
          <w:szCs w:val="22"/>
        </w:rPr>
        <w:t xml:space="preserve"> first using any accrued vacation time. </w:t>
      </w:r>
    </w:p>
    <w:p w14:paraId="3D22467C" w14:textId="77777777" w:rsidR="00CD70B8" w:rsidRPr="00DD7BD1" w:rsidRDefault="00CD70B8" w:rsidP="00CD70B8">
      <w:pPr>
        <w:pStyle w:val="SubHeader"/>
        <w:spacing w:line="240" w:lineRule="auto"/>
        <w:rPr>
          <w:rFonts w:cs="Calibri"/>
          <w:b w:val="0"/>
          <w:bCs/>
          <w:color w:val="auto"/>
          <w:sz w:val="16"/>
          <w:szCs w:val="16"/>
        </w:rPr>
      </w:pPr>
    </w:p>
    <w:p w14:paraId="66F6DE62" w14:textId="64889169" w:rsidR="00CD70B8" w:rsidRPr="00DD7BD1" w:rsidRDefault="00CD70B8" w:rsidP="00CD70B8">
      <w:pPr>
        <w:pStyle w:val="SubHeader"/>
        <w:spacing w:line="240" w:lineRule="auto"/>
        <w:jc w:val="center"/>
        <w:rPr>
          <w:rFonts w:cs="Calibri"/>
          <w:color w:val="auto"/>
        </w:rPr>
      </w:pPr>
      <w:r w:rsidRPr="00DD7BD1">
        <w:rPr>
          <w:rFonts w:cs="Calibri"/>
          <w:color w:val="auto"/>
        </w:rPr>
        <w:t xml:space="preserve">Workplace Safety Enacted Provisions Effective </w:t>
      </w:r>
      <w:r w:rsidRPr="00DD7BD1">
        <w:rPr>
          <w:rFonts w:cs="Calibri"/>
          <w:color w:val="C00000"/>
        </w:rPr>
        <w:t>Jan 1, 2025</w:t>
      </w:r>
    </w:p>
    <w:p w14:paraId="27BE3F8D"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On January 1, 2025, certain provisions from last year's </w:t>
      </w:r>
      <w:hyperlink r:id="rId575" w:tgtFrame="_blank" w:history="1">
        <w:r w:rsidRPr="00DD7BD1">
          <w:rPr>
            <w:rStyle w:val="Hyperlink"/>
            <w:rFonts w:cs="Calibri"/>
            <w:b w:val="0"/>
            <w:bCs/>
            <w:sz w:val="22"/>
            <w:szCs w:val="22"/>
          </w:rPr>
          <w:t>SB 428</w:t>
        </w:r>
      </w:hyperlink>
      <w:r w:rsidRPr="00DD7BD1">
        <w:rPr>
          <w:rFonts w:cs="Calibri"/>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DD7BD1" w:rsidRDefault="00CD70B8" w:rsidP="00CD70B8">
      <w:pPr>
        <w:pStyle w:val="SubHeader"/>
        <w:spacing w:line="240" w:lineRule="auto"/>
        <w:rPr>
          <w:rFonts w:cs="Calibri"/>
          <w:b w:val="0"/>
          <w:bCs/>
          <w:color w:val="auto"/>
          <w:sz w:val="16"/>
          <w:szCs w:val="16"/>
        </w:rPr>
      </w:pPr>
    </w:p>
    <w:p w14:paraId="5D2ECC67" w14:textId="3A4E2FB2" w:rsidR="00CD70B8" w:rsidRPr="00DD7BD1" w:rsidRDefault="00CD70B8" w:rsidP="00CD70B8">
      <w:pPr>
        <w:pStyle w:val="SubHeader"/>
        <w:spacing w:line="240" w:lineRule="auto"/>
        <w:jc w:val="center"/>
        <w:rPr>
          <w:rFonts w:cs="Calibri"/>
          <w:color w:val="auto"/>
        </w:rPr>
      </w:pPr>
      <w:r w:rsidRPr="00DD7BD1">
        <w:rPr>
          <w:rFonts w:cs="Calibri"/>
          <w:color w:val="auto"/>
        </w:rPr>
        <w:t xml:space="preserve">CA Disability Insurance Updates – </w:t>
      </w:r>
      <w:r w:rsidRPr="00DD7BD1">
        <w:rPr>
          <w:rFonts w:cs="Calibri"/>
          <w:color w:val="C00000"/>
        </w:rPr>
        <w:t>Jan 1, 2025</w:t>
      </w:r>
    </w:p>
    <w:p w14:paraId="67646149" w14:textId="77777777" w:rsidR="00CD70B8" w:rsidRPr="00DD7BD1" w:rsidRDefault="00CD70B8" w:rsidP="00CD70B8">
      <w:pPr>
        <w:pStyle w:val="SubHeader"/>
        <w:rPr>
          <w:rFonts w:cs="Calibri"/>
          <w:b w:val="0"/>
          <w:sz w:val="22"/>
          <w:szCs w:val="22"/>
        </w:rPr>
      </w:pPr>
      <w:r w:rsidRPr="00DD7BD1">
        <w:rPr>
          <w:rFonts w:cs="Calibri"/>
          <w:b w:val="0"/>
          <w:color w:val="auto"/>
          <w:sz w:val="22"/>
          <w:szCs w:val="22"/>
        </w:rPr>
        <w:t>Effective January 1, 2025, the California State Disability Insurance (SDI) and Paid Family Leave (PFL) programs will undergo significant changes outlined in </w:t>
      </w:r>
      <w:hyperlink r:id="rId576" w:tgtFrame="_blank" w:history="1">
        <w:r w:rsidRPr="00DD7BD1">
          <w:rPr>
            <w:rStyle w:val="Hyperlink"/>
            <w:rFonts w:cs="Calibri"/>
            <w:b w:val="0"/>
            <w:sz w:val="22"/>
            <w:szCs w:val="22"/>
          </w:rPr>
          <w:t>CA S 1090</w:t>
        </w:r>
      </w:hyperlink>
      <w:r w:rsidRPr="00DD7BD1">
        <w:rPr>
          <w:rFonts w:cs="Calibri"/>
          <w:b w:val="0"/>
          <w:sz w:val="22"/>
          <w:szCs w:val="22"/>
        </w:rPr>
        <w:t xml:space="preserve">. </w:t>
      </w:r>
    </w:p>
    <w:p w14:paraId="10F50D82" w14:textId="77777777" w:rsidR="00CD70B8" w:rsidRPr="00DD7BD1" w:rsidRDefault="00CD70B8" w:rsidP="00CD70B8">
      <w:pPr>
        <w:pStyle w:val="SubHeader"/>
        <w:rPr>
          <w:rFonts w:cs="Calibri"/>
          <w:bCs/>
          <w:color w:val="auto"/>
          <w:sz w:val="22"/>
          <w:szCs w:val="22"/>
        </w:rPr>
      </w:pPr>
      <w:r w:rsidRPr="00DD7BD1">
        <w:rPr>
          <w:rFonts w:cs="Calibri"/>
          <w:bCs/>
          <w:color w:val="auto"/>
          <w:sz w:val="22"/>
          <w:szCs w:val="22"/>
        </w:rPr>
        <w:t>Key highlights include:</w:t>
      </w:r>
    </w:p>
    <w:p w14:paraId="2413DB7E"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t>Advanced claims filing: Employees can initiate their claims process up to 30 days in advance of their anticipated first compensable day.</w:t>
      </w:r>
    </w:p>
    <w:p w14:paraId="28D82B25"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Pr="00DD7BD1" w:rsidRDefault="00CD70B8" w:rsidP="00CD70B8">
      <w:pPr>
        <w:pStyle w:val="SubHeader"/>
        <w:ind w:left="720"/>
        <w:rPr>
          <w:rFonts w:cs="Calibri"/>
          <w:b w:val="0"/>
          <w:color w:val="auto"/>
          <w:sz w:val="22"/>
          <w:szCs w:val="22"/>
        </w:rPr>
      </w:pPr>
    </w:p>
    <w:p w14:paraId="675A5110" w14:textId="6A4A2A85" w:rsidR="00CD70B8" w:rsidRPr="00DD7BD1" w:rsidRDefault="00CD70B8" w:rsidP="00CD70B8">
      <w:pPr>
        <w:pStyle w:val="SubHeader"/>
        <w:jc w:val="center"/>
        <w:rPr>
          <w:rFonts w:cs="Calibri"/>
          <w:bCs/>
          <w:color w:val="auto"/>
        </w:rPr>
      </w:pPr>
      <w:r w:rsidRPr="00DD7BD1">
        <w:rPr>
          <w:rFonts w:cs="Calibri"/>
          <w:bCs/>
          <w:color w:val="auto"/>
        </w:rPr>
        <w:t xml:space="preserve">Small Employer Mediation Program – Permanent – </w:t>
      </w:r>
      <w:r w:rsidRPr="00DD7BD1">
        <w:rPr>
          <w:rFonts w:cs="Calibri"/>
          <w:bCs/>
          <w:color w:val="C00000"/>
        </w:rPr>
        <w:t>Jan 1, 2025</w:t>
      </w:r>
    </w:p>
    <w:p w14:paraId="0EE4C382" w14:textId="77777777" w:rsidR="00CD70B8" w:rsidRPr="00DD7BD1" w:rsidRDefault="00CD70B8" w:rsidP="00CD70B8">
      <w:pPr>
        <w:pStyle w:val="SubHeader"/>
        <w:rPr>
          <w:rFonts w:cs="Calibri"/>
          <w:b w:val="0"/>
          <w:color w:val="auto"/>
          <w:sz w:val="22"/>
          <w:szCs w:val="22"/>
        </w:rPr>
      </w:pPr>
      <w:hyperlink r:id="rId577" w:tgtFrame="_blank" w:history="1">
        <w:r w:rsidRPr="00DD7BD1">
          <w:rPr>
            <w:rStyle w:val="Hyperlink"/>
            <w:rFonts w:cs="Calibri"/>
            <w:b w:val="0"/>
            <w:sz w:val="22"/>
            <w:szCs w:val="22"/>
          </w:rPr>
          <w:t>AB 2011</w:t>
        </w:r>
      </w:hyperlink>
      <w:r w:rsidRPr="00DD7BD1">
        <w:rPr>
          <w:rFonts w:cs="Calibri"/>
          <w:b w:val="0"/>
          <w:color w:val="auto"/>
          <w:sz w:val="22"/>
          <w:szCs w:val="22"/>
        </w:rPr>
        <w:t xml:space="preserve"> passing now makes the CRD's Small Employer (5-19 Employees) Mediation Program permanent as it was scheduled to end this year. The program is expanded to cover reproductive loss leave disputes in addition to California Family Rights Act (CFRA) and bereavement leave disputes.  Access the </w:t>
      </w:r>
      <w:hyperlink r:id="rId578" w:history="1">
        <w:r w:rsidRPr="00DD7BD1">
          <w:rPr>
            <w:rStyle w:val="Hyperlink"/>
            <w:rFonts w:cs="Calibri"/>
            <w:b w:val="0"/>
            <w:sz w:val="22"/>
            <w:szCs w:val="22"/>
          </w:rPr>
          <w:t>CA Civil Rights Department’s</w:t>
        </w:r>
      </w:hyperlink>
      <w:r w:rsidRPr="00DD7BD1">
        <w:rPr>
          <w:rFonts w:cs="Calibri"/>
          <w:b w:val="0"/>
          <w:color w:val="auto"/>
          <w:sz w:val="22"/>
          <w:szCs w:val="22"/>
        </w:rPr>
        <w:t xml:space="preserve"> webpage to learn more.</w:t>
      </w:r>
    </w:p>
    <w:p w14:paraId="792D0CE4" w14:textId="77777777" w:rsidR="00CD70B8" w:rsidRPr="00DD7BD1" w:rsidRDefault="00CD70B8" w:rsidP="00CD70B8">
      <w:pPr>
        <w:pStyle w:val="SubHeader"/>
        <w:rPr>
          <w:rFonts w:cs="Calibri"/>
          <w:b w:val="0"/>
          <w:bCs/>
          <w:color w:val="auto"/>
          <w:sz w:val="22"/>
          <w:szCs w:val="22"/>
        </w:rPr>
      </w:pPr>
    </w:p>
    <w:p w14:paraId="50548FA6" w14:textId="613285F6" w:rsidR="00CD70B8" w:rsidRPr="00DD7BD1" w:rsidRDefault="00CD70B8" w:rsidP="00CD70B8">
      <w:pPr>
        <w:pStyle w:val="SubHeader"/>
        <w:jc w:val="center"/>
        <w:rPr>
          <w:rFonts w:eastAsiaTheme="minorHAnsi" w:cs="Calibri"/>
          <w:bCs/>
          <w:color w:val="auto"/>
          <w:shd w:val="clear" w:color="auto" w:fill="FFFFFF"/>
        </w:rPr>
      </w:pPr>
      <w:r w:rsidRPr="00DD7BD1">
        <w:rPr>
          <w:rFonts w:eastAsiaTheme="minorHAnsi" w:cs="Calibri"/>
          <w:bCs/>
          <w:color w:val="auto"/>
          <w:shd w:val="clear" w:color="auto" w:fill="FFFFFF"/>
        </w:rPr>
        <w:t>CA PAGA FAQ Published</w:t>
      </w:r>
    </w:p>
    <w:p w14:paraId="5717A0DB"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 xml:space="preserve">The California Labor &amp; Workforce Development Agency (LWDA) recently </w:t>
      </w:r>
      <w:r w:rsidRPr="00DD7BD1">
        <w:rPr>
          <w:rFonts w:cs="Calibri"/>
          <w:b w:val="0"/>
          <w:bCs/>
          <w:sz w:val="22"/>
          <w:szCs w:val="22"/>
        </w:rPr>
        <w:t xml:space="preserve">published </w:t>
      </w:r>
      <w:hyperlink r:id="rId579" w:history="1">
        <w:r w:rsidRPr="00DD7BD1">
          <w:rPr>
            <w:rStyle w:val="Hyperlink"/>
            <w:rFonts w:cs="Calibri"/>
            <w:b w:val="0"/>
            <w:bCs/>
            <w:sz w:val="22"/>
            <w:szCs w:val="22"/>
          </w:rPr>
          <w:t>answers to frequently asked questions</w:t>
        </w:r>
      </w:hyperlink>
      <w:r w:rsidRPr="00DD7BD1">
        <w:rPr>
          <w:rFonts w:cs="Calibri"/>
          <w:b w:val="0"/>
          <w:bCs/>
          <w:sz w:val="22"/>
          <w:szCs w:val="22"/>
        </w:rPr>
        <w:t xml:space="preserve"> </w:t>
      </w:r>
      <w:r w:rsidRPr="00DD7BD1">
        <w:rPr>
          <w:rFonts w:cs="Calibri"/>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DD7BD1" w:rsidRDefault="00CD70B8" w:rsidP="00CD70B8">
      <w:pPr>
        <w:pStyle w:val="SubHeader"/>
        <w:rPr>
          <w:rFonts w:cs="Calibri"/>
          <w:b w:val="0"/>
          <w:bCs/>
          <w:sz w:val="16"/>
          <w:szCs w:val="16"/>
        </w:rPr>
      </w:pPr>
    </w:p>
    <w:p w14:paraId="74BEF9DA" w14:textId="77777777" w:rsidR="00CD70B8" w:rsidRPr="00DD7BD1" w:rsidRDefault="00CD70B8" w:rsidP="00CD70B8">
      <w:pPr>
        <w:pStyle w:val="SubHeader"/>
        <w:rPr>
          <w:rFonts w:cs="Calibri"/>
          <w:color w:val="auto"/>
          <w:sz w:val="22"/>
          <w:szCs w:val="22"/>
        </w:rPr>
      </w:pPr>
      <w:r w:rsidRPr="00DD7BD1">
        <w:rPr>
          <w:rFonts w:cs="Calibri"/>
          <w:color w:val="auto"/>
          <w:sz w:val="22"/>
          <w:szCs w:val="22"/>
        </w:rPr>
        <w:t>What is PAGA?</w:t>
      </w:r>
    </w:p>
    <w:p w14:paraId="5D842411"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DD7BD1" w:rsidRDefault="00CD70B8" w:rsidP="00CD70B8">
      <w:pPr>
        <w:pStyle w:val="SubHeader"/>
        <w:rPr>
          <w:rFonts w:cs="Calibri"/>
          <w:b w:val="0"/>
          <w:bCs/>
          <w:color w:val="auto"/>
          <w:sz w:val="16"/>
          <w:szCs w:val="16"/>
        </w:rPr>
      </w:pPr>
    </w:p>
    <w:p w14:paraId="00BEE788"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Additional information can be found at:</w:t>
      </w:r>
    </w:p>
    <w:p w14:paraId="36C5050E" w14:textId="77777777" w:rsidR="00CD70B8" w:rsidRPr="00DD7BD1" w:rsidRDefault="00CD70B8" w:rsidP="00CD70B8">
      <w:pPr>
        <w:pStyle w:val="SubHeader"/>
        <w:rPr>
          <w:rFonts w:cs="Calibri"/>
          <w:b w:val="0"/>
          <w:bCs/>
          <w:sz w:val="22"/>
          <w:szCs w:val="22"/>
        </w:rPr>
      </w:pPr>
      <w:hyperlink r:id="rId580" w:history="1">
        <w:r w:rsidRPr="00DD7BD1">
          <w:rPr>
            <w:rStyle w:val="Hyperlink"/>
            <w:rFonts w:cs="Calibri"/>
            <w:b w:val="0"/>
            <w:bCs/>
            <w:sz w:val="22"/>
            <w:szCs w:val="22"/>
          </w:rPr>
          <w:t>Cal/OSHA</w:t>
        </w:r>
      </w:hyperlink>
      <w:r w:rsidRPr="00DD7BD1">
        <w:rPr>
          <w:rFonts w:cs="Calibri"/>
          <w:b w:val="0"/>
          <w:bCs/>
          <w:sz w:val="22"/>
          <w:szCs w:val="22"/>
        </w:rPr>
        <w:t xml:space="preserve"> </w:t>
      </w:r>
      <w:r w:rsidRPr="00DD7BD1">
        <w:rPr>
          <w:rFonts w:cs="Calibri"/>
          <w:b w:val="0"/>
          <w:bCs/>
          <w:color w:val="auto"/>
          <w:sz w:val="22"/>
          <w:szCs w:val="22"/>
        </w:rPr>
        <w:t>for health and safety violations</w:t>
      </w:r>
    </w:p>
    <w:p w14:paraId="3F5FA9DA" w14:textId="77777777" w:rsidR="00CD70B8" w:rsidRPr="00DD7BD1" w:rsidRDefault="00CD70B8" w:rsidP="00CD70B8">
      <w:pPr>
        <w:pStyle w:val="SubHeader"/>
        <w:rPr>
          <w:rFonts w:cs="Calibri"/>
          <w:b w:val="0"/>
          <w:bCs/>
          <w:sz w:val="22"/>
          <w:szCs w:val="22"/>
        </w:rPr>
      </w:pPr>
      <w:hyperlink r:id="rId581" w:history="1">
        <w:r w:rsidRPr="00DD7BD1">
          <w:rPr>
            <w:rStyle w:val="Hyperlink"/>
            <w:rFonts w:cs="Calibri"/>
            <w:b w:val="0"/>
            <w:bCs/>
            <w:sz w:val="22"/>
            <w:szCs w:val="22"/>
          </w:rPr>
          <w:t>Labor Commissioner’s Office</w:t>
        </w:r>
      </w:hyperlink>
      <w:r w:rsidRPr="00DD7BD1">
        <w:rPr>
          <w:rFonts w:cs="Calibri"/>
          <w:b w:val="0"/>
          <w:bCs/>
          <w:sz w:val="22"/>
          <w:szCs w:val="22"/>
        </w:rPr>
        <w:t xml:space="preserve"> </w:t>
      </w:r>
      <w:r w:rsidRPr="00DD7BD1">
        <w:rPr>
          <w:rFonts w:cs="Calibri"/>
          <w:b w:val="0"/>
          <w:bCs/>
          <w:color w:val="auto"/>
          <w:sz w:val="22"/>
          <w:szCs w:val="22"/>
        </w:rPr>
        <w:t>(LCO) for wage theft and retaliation claims</w:t>
      </w:r>
    </w:p>
    <w:p w14:paraId="5403E53D" w14:textId="77777777" w:rsidR="00CD70B8" w:rsidRPr="00DD7BD1" w:rsidRDefault="00CD70B8" w:rsidP="00CD70B8">
      <w:pPr>
        <w:pStyle w:val="SubHeader"/>
        <w:rPr>
          <w:rFonts w:cs="Calibri"/>
          <w:color w:val="auto"/>
          <w:sz w:val="16"/>
          <w:szCs w:val="16"/>
        </w:rPr>
      </w:pPr>
    </w:p>
    <w:p w14:paraId="347E3538"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b/>
          <w:bCs/>
          <w:shd w:val="clear" w:color="auto" w:fill="FFFFFF"/>
        </w:rPr>
        <w:t>AB 1034</w:t>
      </w:r>
      <w:r w:rsidRPr="00DD7BD1">
        <w:rPr>
          <w:rFonts w:ascii="Calibri" w:hAnsi="Calibri" w:cs="Calibri"/>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DD7BD1" w:rsidRDefault="00CD70B8" w:rsidP="00CD70B8">
      <w:pPr>
        <w:spacing w:after="0" w:line="240" w:lineRule="auto"/>
        <w:rPr>
          <w:rFonts w:ascii="Calibri" w:hAnsi="Calibri" w:cs="Calibri"/>
          <w:sz w:val="16"/>
          <w:szCs w:val="16"/>
          <w:shd w:val="clear" w:color="auto" w:fill="FFFFFF"/>
        </w:rPr>
      </w:pPr>
    </w:p>
    <w:p w14:paraId="076EC8CD"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In order to qualify for the exemption, the CBA must:</w:t>
      </w:r>
    </w:p>
    <w:p w14:paraId="401A276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Explicitly cover wages, hours of work, and working conditions.</w:t>
      </w:r>
    </w:p>
    <w:p w14:paraId="46678153"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Provide premium wage rates for all overtime hours worked.</w:t>
      </w:r>
    </w:p>
    <w:p w14:paraId="0BD9293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Ensure employees receive a regular hourly pay rate of at least 30% more than the state minimum wage.</w:t>
      </w:r>
    </w:p>
    <w:p w14:paraId="250FEC11"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Contain a grievance and binding arbitration procedure to address labor code violations.</w:t>
      </w:r>
    </w:p>
    <w:p w14:paraId="6EE01905" w14:textId="77777777" w:rsidR="00CD70B8" w:rsidRPr="00DD7BD1" w:rsidRDefault="00CD70B8" w:rsidP="00CD70B8">
      <w:pPr>
        <w:spacing w:after="0" w:line="240" w:lineRule="auto"/>
        <w:rPr>
          <w:rFonts w:ascii="Calibri" w:hAnsi="Calibri" w:cs="Calibri"/>
          <w:sz w:val="16"/>
          <w:szCs w:val="16"/>
          <w:shd w:val="clear" w:color="auto" w:fill="FFFFFF"/>
        </w:rPr>
      </w:pPr>
    </w:p>
    <w:p w14:paraId="262CD4A5"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DD7BD1" w:rsidRDefault="00CD70B8" w:rsidP="00CD70B8">
      <w:pPr>
        <w:spacing w:after="0" w:line="240" w:lineRule="auto"/>
        <w:rPr>
          <w:rFonts w:ascii="Calibri" w:hAnsi="Calibri" w:cs="Calibri"/>
          <w:b/>
          <w:bCs/>
          <w:color w:val="C00000"/>
          <w:shd w:val="clear" w:color="auto" w:fill="FFFFFF"/>
        </w:rPr>
      </w:pPr>
    </w:p>
    <w:p w14:paraId="48AD2D16" w14:textId="5DC81DF7" w:rsidR="00CD70B8" w:rsidRPr="00DD7BD1" w:rsidRDefault="00CD70B8" w:rsidP="00CD70B8">
      <w:pPr>
        <w:spacing w:after="0" w:line="240" w:lineRule="auto"/>
        <w:jc w:val="center"/>
        <w:rPr>
          <w:rFonts w:ascii="Calibri" w:hAnsi="Calibri" w:cs="Calibri"/>
          <w:b/>
          <w:bCs/>
          <w:sz w:val="28"/>
          <w:szCs w:val="28"/>
          <w:shd w:val="clear" w:color="auto" w:fill="FFFFFF"/>
        </w:rPr>
      </w:pPr>
      <w:bookmarkStart w:id="74" w:name="_Hlk181118806"/>
      <w:r w:rsidRPr="00DD7BD1">
        <w:rPr>
          <w:rFonts w:ascii="Calibri" w:hAnsi="Calibri" w:cs="Calibri"/>
          <w:b/>
          <w:bCs/>
          <w:sz w:val="28"/>
          <w:szCs w:val="28"/>
          <w:shd w:val="clear" w:color="auto" w:fill="FFFFFF"/>
        </w:rPr>
        <w:t>State Transparency Requirements-Child Labor Practices–</w:t>
      </w:r>
      <w:r w:rsidRPr="00DD7BD1">
        <w:rPr>
          <w:rFonts w:ascii="Calibri" w:hAnsi="Calibri" w:cs="Calibri"/>
          <w:b/>
          <w:bCs/>
          <w:color w:val="C00000"/>
          <w:sz w:val="28"/>
          <w:szCs w:val="28"/>
          <w:shd w:val="clear" w:color="auto" w:fill="FFFFFF"/>
        </w:rPr>
        <w:t>Jan 1, 2025</w:t>
      </w:r>
    </w:p>
    <w:p w14:paraId="36A78F77"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582"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into law, which imposes transparency requirements for employers who audit their child labor practices. The bill will take effect on January 1, 2025. To learn more, access the September HR WIRE</w:t>
      </w:r>
    </w:p>
    <w:bookmarkEnd w:id="74"/>
    <w:p w14:paraId="6494E072" w14:textId="77777777" w:rsidR="00CD70B8" w:rsidRPr="00DD7BD1" w:rsidRDefault="00CD70B8" w:rsidP="008561D0">
      <w:pPr>
        <w:spacing w:after="0" w:line="240" w:lineRule="auto"/>
        <w:rPr>
          <w:rFonts w:ascii="Calibri" w:hAnsi="Calibri" w:cs="Calibri"/>
          <w:b/>
          <w:bCs/>
          <w:color w:val="2E74B5" w:themeColor="accent5" w:themeShade="BF"/>
          <w:shd w:val="clear" w:color="auto" w:fill="FFFFFF"/>
          <w:lang w:val="en"/>
        </w:rPr>
      </w:pPr>
    </w:p>
    <w:p w14:paraId="6E4F8F19" w14:textId="77777777" w:rsidR="008273A7" w:rsidRPr="00DD7BD1" w:rsidRDefault="008273A7" w:rsidP="008273A7">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Law Imposes Transparency Requirements -  Child Labor Practices – </w:t>
      </w:r>
      <w:r w:rsidRPr="00DD7BD1">
        <w:rPr>
          <w:rFonts w:ascii="Calibri" w:hAnsi="Calibri" w:cs="Calibri"/>
          <w:b/>
          <w:bCs/>
          <w:color w:val="C00000"/>
          <w:sz w:val="28"/>
          <w:szCs w:val="28"/>
          <w:shd w:val="clear" w:color="auto" w:fill="FFFFFF"/>
        </w:rPr>
        <w:t>Jan 1 2025</w:t>
      </w:r>
    </w:p>
    <w:p w14:paraId="7D31B12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583"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into law, which imposes transparency requirements for employers who audit their child labor practices. The bill will take effect on January 1, 2025. </w:t>
      </w:r>
    </w:p>
    <w:p w14:paraId="76664E21" w14:textId="77777777" w:rsidR="008273A7" w:rsidRPr="00DD7BD1" w:rsidRDefault="008273A7" w:rsidP="008273A7">
      <w:pPr>
        <w:spacing w:after="0" w:line="240" w:lineRule="auto"/>
        <w:rPr>
          <w:rFonts w:ascii="Calibri" w:hAnsi="Calibri" w:cs="Calibri"/>
          <w:sz w:val="16"/>
          <w:szCs w:val="16"/>
          <w:shd w:val="clear" w:color="auto" w:fill="FFFFFF"/>
        </w:rPr>
      </w:pPr>
    </w:p>
    <w:p w14:paraId="4DD038E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are in compliance with state or federal labor laws, including wage-and-hour and health and safety regulations, including those regarding child labor.</w:t>
      </w:r>
    </w:p>
    <w:p w14:paraId="4823EBEE" w14:textId="77777777" w:rsidR="008273A7" w:rsidRPr="00DD7BD1" w:rsidRDefault="008273A7" w:rsidP="008273A7">
      <w:pPr>
        <w:spacing w:after="0" w:line="240" w:lineRule="auto"/>
        <w:rPr>
          <w:rFonts w:ascii="Calibri" w:hAnsi="Calibri" w:cs="Calibri"/>
          <w:b/>
          <w:bCs/>
          <w:sz w:val="16"/>
          <w:szCs w:val="16"/>
          <w:highlight w:val="lightGray"/>
          <w:shd w:val="clear" w:color="auto" w:fill="FFFFFF"/>
        </w:rPr>
      </w:pPr>
    </w:p>
    <w:p w14:paraId="251EE686" w14:textId="77777777" w:rsidR="008273A7" w:rsidRPr="00DD7BD1" w:rsidRDefault="008273A7" w:rsidP="008273A7">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2D7E6D16"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Pr="00DD7BD1" w:rsidRDefault="001A2C87" w:rsidP="001A2C87">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LA County – Fair Chance Ordinance – </w:t>
      </w:r>
      <w:r w:rsidRPr="00DD7BD1">
        <w:rPr>
          <w:rFonts w:ascii="Calibri" w:hAnsi="Calibri" w:cs="Calibri"/>
          <w:b/>
          <w:bCs/>
          <w:color w:val="C00000"/>
          <w:sz w:val="28"/>
          <w:szCs w:val="28"/>
          <w:shd w:val="clear" w:color="auto" w:fill="FFFFFF"/>
          <w:lang w:val="en"/>
        </w:rPr>
        <w:t>Eff Sept 3, 2024</w:t>
      </w:r>
    </w:p>
    <w:p w14:paraId="770B8E2C"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As previously reported in the HR WIRE, employers in the unincorporated areas of Los Angeles County must comply with the Los Angeles County Fair Chance Ordinance (FCO), which places restrictions on criminal background screening beyond those required by California’s Fair Chance Act (Fair Chance Act) as of September 3, 2024</w:t>
      </w:r>
    </w:p>
    <w:p w14:paraId="115A1B3C" w14:textId="77777777" w:rsidR="001A2C87" w:rsidRPr="00DD7BD1" w:rsidRDefault="001A2C87" w:rsidP="001A2C87">
      <w:pPr>
        <w:spacing w:after="0" w:line="240" w:lineRule="auto"/>
        <w:rPr>
          <w:rFonts w:ascii="Calibri" w:hAnsi="Calibri" w:cs="Calibri"/>
          <w:shd w:val="clear" w:color="auto" w:fill="FFFFFF"/>
        </w:rPr>
      </w:pPr>
    </w:p>
    <w:p w14:paraId="48D379FA"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DD7BD1" w:rsidRDefault="001A2C87" w:rsidP="001A2C87">
      <w:pPr>
        <w:spacing w:after="0" w:line="240" w:lineRule="auto"/>
        <w:rPr>
          <w:rFonts w:ascii="Calibri" w:hAnsi="Calibri" w:cs="Calibri"/>
          <w:sz w:val="16"/>
          <w:szCs w:val="16"/>
          <w:shd w:val="clear" w:color="auto" w:fill="FFFFFF"/>
        </w:rPr>
      </w:pPr>
    </w:p>
    <w:p w14:paraId="0CB73306" w14:textId="77777777" w:rsidR="001A2C87" w:rsidRPr="00DD7BD1" w:rsidRDefault="001A2C87" w:rsidP="001A2C87">
      <w:pPr>
        <w:spacing w:after="0" w:line="240" w:lineRule="auto"/>
        <w:rPr>
          <w:rFonts w:ascii="Calibri" w:hAnsi="Calibri" w:cs="Calibri"/>
          <w:shd w:val="clear" w:color="auto" w:fill="FFFFFF"/>
          <w:lang w:val="en"/>
        </w:rPr>
      </w:pPr>
      <w:r w:rsidRPr="00DD7BD1">
        <w:rPr>
          <w:rFonts w:ascii="Calibri" w:hAnsi="Calibri" w:cs="Calibri"/>
          <w:shd w:val="clear" w:color="auto" w:fill="FFFFFF"/>
        </w:rPr>
        <w:t>Additional information published by the California Civil Rights Department regarding the </w:t>
      </w:r>
      <w:hyperlink r:id="rId584" w:history="1">
        <w:r w:rsidRPr="00DD7BD1">
          <w:rPr>
            <w:rStyle w:val="Hyperlink"/>
            <w:rFonts w:ascii="Calibri" w:hAnsi="Calibri" w:cs="Calibri"/>
            <w:shd w:val="clear" w:color="auto" w:fill="FFFFFF"/>
          </w:rPr>
          <w:t>Fair Chance Act can be found online</w:t>
        </w:r>
      </w:hyperlink>
      <w:r w:rsidRPr="00DD7BD1">
        <w:rPr>
          <w:rFonts w:ascii="Calibri" w:hAnsi="Calibri" w:cs="Calibri"/>
          <w:shd w:val="clear" w:color="auto" w:fill="FFFFFF"/>
        </w:rPr>
        <w:t xml:space="preserve"> and Los Angeles County has </w:t>
      </w:r>
      <w:hyperlink r:id="rId585" w:history="1">
        <w:r w:rsidRPr="00DD7BD1">
          <w:rPr>
            <w:rStyle w:val="Hyperlink"/>
            <w:rFonts w:ascii="Calibri" w:hAnsi="Calibri" w:cs="Calibri"/>
            <w:shd w:val="clear" w:color="auto" w:fill="FFFFFF"/>
          </w:rPr>
          <w:t>published some useful FAQs online</w:t>
        </w:r>
      </w:hyperlink>
      <w:r w:rsidRPr="00DD7BD1">
        <w:rPr>
          <w:rFonts w:ascii="Calibri" w:hAnsi="Calibri" w:cs="Calibri"/>
          <w:shd w:val="clear" w:color="auto" w:fill="FFFFFF"/>
        </w:rPr>
        <w:t>.</w:t>
      </w:r>
    </w:p>
    <w:p w14:paraId="6BBE8132" w14:textId="77777777" w:rsidR="001A2C87" w:rsidRPr="00DD7BD1" w:rsidRDefault="001A2C87" w:rsidP="008561D0">
      <w:pPr>
        <w:spacing w:after="0" w:line="240" w:lineRule="auto"/>
        <w:rPr>
          <w:rFonts w:ascii="Calibri" w:hAnsi="Calibri" w:cs="Calibri"/>
          <w:b/>
          <w:bCs/>
          <w:color w:val="2E74B5" w:themeColor="accent5" w:themeShade="BF"/>
          <w:shd w:val="clear" w:color="auto" w:fill="FFFFFF"/>
          <w:lang w:val="en"/>
        </w:rPr>
      </w:pPr>
    </w:p>
    <w:p w14:paraId="2A996C19" w14:textId="77777777" w:rsidR="00ED58D7" w:rsidRPr="00DD7BD1" w:rsidRDefault="00ED58D7" w:rsidP="00ED58D7">
      <w:pPr>
        <w:spacing w:after="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San Francisco-Based Employees &amp; Health Care Expenditures May Be Required</w:t>
      </w:r>
    </w:p>
    <w:p w14:paraId="5AD4C3B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DD7BD1" w:rsidRDefault="00ED58D7" w:rsidP="00ED58D7">
      <w:pPr>
        <w:spacing w:after="0" w:line="240" w:lineRule="auto"/>
        <w:jc w:val="both"/>
        <w:rPr>
          <w:rFonts w:ascii="Calibri" w:eastAsia="Times New Roman" w:hAnsi="Calibri" w:cs="Calibri"/>
          <w:sz w:val="16"/>
          <w:szCs w:val="16"/>
        </w:rPr>
      </w:pPr>
    </w:p>
    <w:p w14:paraId="2CF2D352" w14:textId="77777777" w:rsidR="00ED58D7" w:rsidRPr="00DD7BD1" w:rsidRDefault="00ED58D7" w:rsidP="00ED58D7">
      <w:pPr>
        <w:spacing w:after="0" w:line="240" w:lineRule="auto"/>
        <w:jc w:val="both"/>
        <w:rPr>
          <w:rFonts w:ascii="Calibri" w:eastAsia="Times New Roman" w:hAnsi="Calibri" w:cs="Calibri"/>
          <w:b/>
          <w:bCs/>
        </w:rPr>
      </w:pPr>
      <w:r w:rsidRPr="00DD7BD1">
        <w:rPr>
          <w:rFonts w:ascii="Calibri" w:eastAsia="Times New Roman" w:hAnsi="Calibri" w:cs="Calibri"/>
          <w:b/>
          <w:bCs/>
          <w:highlight w:val="lightGray"/>
        </w:rPr>
        <w:t>Employer Take-aways:</w:t>
      </w:r>
      <w:r w:rsidRPr="00DD7BD1">
        <w:rPr>
          <w:rFonts w:ascii="Calibri" w:eastAsia="Times New Roman" w:hAnsi="Calibri" w:cs="Calibri"/>
          <w:b/>
          <w:bCs/>
        </w:rPr>
        <w:t xml:space="preserve"> </w:t>
      </w:r>
    </w:p>
    <w:p w14:paraId="7AA1B592"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Determine if organization is a Covered Employer</w:t>
      </w:r>
    </w:p>
    <w:p w14:paraId="28BF9881"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 xml:space="preserve">Determine Employer Spending Requirements </w:t>
      </w:r>
    </w:p>
    <w:p w14:paraId="594A4715"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Maintain Records</w:t>
      </w:r>
    </w:p>
    <w:p w14:paraId="1195CFA4"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Post the </w:t>
      </w:r>
      <w:hyperlink r:id="rId586" w:history="1">
        <w:r w:rsidRPr="00DD7BD1">
          <w:rPr>
            <w:rStyle w:val="Hyperlink"/>
            <w:rFonts w:ascii="Calibri" w:eastAsia="Times New Roman" w:hAnsi="Calibri" w:cs="Calibri"/>
          </w:rPr>
          <w:t>2024 HCSO Poster</w:t>
        </w:r>
      </w:hyperlink>
      <w:r w:rsidRPr="00DD7BD1">
        <w:rPr>
          <w:rFonts w:ascii="Calibri" w:eastAsia="Times New Roman" w:hAnsi="Calibri" w:cs="Calibri"/>
          <w:color w:val="222222"/>
        </w:rPr>
        <w:t> </w:t>
      </w:r>
      <w:r w:rsidRPr="00DD7BD1">
        <w:rPr>
          <w:rFonts w:ascii="Calibri" w:eastAsia="Times New Roman" w:hAnsi="Calibri" w:cs="Calibri"/>
        </w:rPr>
        <w:t>(effective January 1, 2024) in all workplaces with covered employees.</w:t>
      </w:r>
    </w:p>
    <w:p w14:paraId="3B4B8658"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Submit an HCSO Annual Reporting Form to the OLSE by April 30th of each year. </w:t>
      </w:r>
    </w:p>
    <w:p w14:paraId="5B6DA78C" w14:textId="77777777" w:rsidR="00ED58D7" w:rsidRPr="00DD7BD1" w:rsidRDefault="00ED58D7" w:rsidP="00ED58D7">
      <w:pPr>
        <w:spacing w:after="0" w:line="240" w:lineRule="auto"/>
        <w:jc w:val="both"/>
        <w:rPr>
          <w:rFonts w:ascii="Calibri" w:eastAsia="Times New Roman" w:hAnsi="Calibri" w:cs="Calibri"/>
          <w:sz w:val="16"/>
          <w:szCs w:val="16"/>
        </w:rPr>
      </w:pPr>
    </w:p>
    <w:p w14:paraId="18C18DF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 xml:space="preserve">Access the </w:t>
      </w:r>
      <w:hyperlink r:id="rId587" w:history="1">
        <w:r w:rsidRPr="00DD7BD1">
          <w:rPr>
            <w:rStyle w:val="Hyperlink"/>
            <w:rFonts w:ascii="Calibri" w:eastAsia="Times New Roman" w:hAnsi="Calibri" w:cs="Calibri"/>
          </w:rPr>
          <w:t>San Franscico. Gov Health care Security Ordinance website</w:t>
        </w:r>
      </w:hyperlink>
      <w:r w:rsidRPr="00DD7BD1">
        <w:rPr>
          <w:rFonts w:ascii="Calibri" w:eastAsia="Times New Roman" w:hAnsi="Calibri" w:cs="Calibri"/>
          <w:color w:val="222222"/>
        </w:rPr>
        <w:t xml:space="preserve"> </w:t>
      </w:r>
      <w:r w:rsidRPr="00DD7BD1">
        <w:rPr>
          <w:rFonts w:ascii="Calibri" w:eastAsia="Times New Roman" w:hAnsi="Calibri" w:cs="Calibri"/>
        </w:rPr>
        <w:t xml:space="preserve">to learn more, access training, administrative Code &amp; FAQs </w:t>
      </w:r>
    </w:p>
    <w:p w14:paraId="6BD02146" w14:textId="77777777" w:rsidR="00ED58D7" w:rsidRPr="00DD7BD1" w:rsidRDefault="00ED58D7" w:rsidP="008561D0">
      <w:pPr>
        <w:spacing w:after="0" w:line="240" w:lineRule="auto"/>
        <w:rPr>
          <w:rFonts w:ascii="Calibri" w:hAnsi="Calibri" w:cs="Calibri"/>
          <w:b/>
          <w:bCs/>
          <w:color w:val="2E74B5" w:themeColor="accent5" w:themeShade="BF"/>
          <w:sz w:val="16"/>
          <w:szCs w:val="16"/>
          <w:shd w:val="clear" w:color="auto" w:fill="FFFFFF"/>
          <w:lang w:val="en"/>
        </w:rPr>
      </w:pPr>
    </w:p>
    <w:p w14:paraId="3E0C6C68" w14:textId="16B7080E"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7DA7AF97" w14:textId="77777777" w:rsidR="008C6649" w:rsidRPr="00DD7BD1" w:rsidRDefault="008C6649" w:rsidP="008C6649">
      <w:pPr>
        <w:spacing w:after="0" w:line="240" w:lineRule="auto"/>
        <w:jc w:val="both"/>
        <w:rPr>
          <w:rFonts w:ascii="Calibri" w:hAnsi="Calibri" w:cs="Calibri"/>
          <w:color w:val="282828"/>
          <w:shd w:val="clear" w:color="auto" w:fill="FFFFFF"/>
        </w:rPr>
      </w:pPr>
      <w:r w:rsidRPr="00DD7BD1">
        <w:rPr>
          <w:rStyle w:val="Strong"/>
          <w:rFonts w:ascii="Calibri" w:hAnsi="Calibri" w:cs="Calibri"/>
          <w:shd w:val="clear" w:color="auto" w:fill="FFFFFF"/>
        </w:rPr>
        <w:t xml:space="preserve">MINIMUM WAGE FOR HEALTHCARE WORKERS DELAYED - </w:t>
      </w:r>
      <w:r w:rsidRPr="00DD7BD1">
        <w:rPr>
          <w:rFonts w:ascii="Calibri" w:hAnsi="Calibri" w:cs="Calibri"/>
          <w:shd w:val="clear" w:color="auto" w:fill="FFFFFF"/>
        </w:rPr>
        <w:t xml:space="preserve">The new minimum wage rates and salary threshold will now take effect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(instead of June 1)</w:t>
      </w:r>
    </w:p>
    <w:p w14:paraId="25081D9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43639BF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r w:rsidRPr="00DD7BD1">
        <w:rPr>
          <w:rFonts w:ascii="Calibri" w:hAnsi="Calibri" w:cs="Calibri"/>
          <w:sz w:val="22"/>
          <w:szCs w:val="22"/>
        </w:rPr>
        <w:br/>
        <w:t>On July 1, 2024, numerous cities and counties across California will increase their hourly minimum wage. The new rates are as follows:</w:t>
      </w:r>
    </w:p>
    <w:p w14:paraId="5F64485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Alameda: $17</w:t>
      </w:r>
    </w:p>
    <w:p w14:paraId="253764F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Berkeley: $18.67</w:t>
      </w:r>
    </w:p>
    <w:p w14:paraId="5928C57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Emeryville: $19.36</w:t>
      </w:r>
    </w:p>
    <w:p w14:paraId="0C2B9A5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Fremont: $17.30</w:t>
      </w:r>
    </w:p>
    <w:p w14:paraId="7FCC6247"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Long Beach hotels with 100+ guest rooms: $18.16</w:t>
      </w:r>
    </w:p>
    <w:p w14:paraId="5EE32EDC"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Los Angeles City: $17.28</w:t>
      </w:r>
      <w:r w:rsidRPr="00DD7BD1">
        <w:rPr>
          <w:rFonts w:ascii="Calibri" w:hAnsi="Calibri" w:cs="Calibri"/>
          <w:sz w:val="22"/>
          <w:szCs w:val="22"/>
        </w:rPr>
        <w:br/>
        <w:t>Los Angeles City hotels with 60+ guest rooms: $20.32</w:t>
      </w:r>
    </w:p>
    <w:p w14:paraId="4C898B8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Unincorporated Los Angeles County: $17.27</w:t>
      </w:r>
    </w:p>
    <w:p w14:paraId="53B9CF0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Malibu: $17.27</w:t>
      </w:r>
    </w:p>
    <w:p w14:paraId="1A48CA8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Milpitas: $17.70</w:t>
      </w:r>
    </w:p>
    <w:p w14:paraId="758DE48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Pasadena: $17.50</w:t>
      </w:r>
    </w:p>
    <w:p w14:paraId="3519E900" w14:textId="5F85AA58" w:rsidR="008C6649" w:rsidRPr="00DD7BD1" w:rsidRDefault="008C6649" w:rsidP="008C6649">
      <w:pPr>
        <w:spacing w:after="0" w:line="240" w:lineRule="auto"/>
        <w:rPr>
          <w:rFonts w:ascii="Calibri" w:hAnsi="Calibri" w:cs="Calibri"/>
        </w:rPr>
      </w:pPr>
      <w:r w:rsidRPr="00DD7BD1">
        <w:rPr>
          <w:rFonts w:ascii="Calibri" w:hAnsi="Calibri" w:cs="Calibri"/>
        </w:rPr>
        <w:t>San Francisco: $18.67</w:t>
      </w:r>
    </w:p>
    <w:p w14:paraId="272D238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Santa Monica: $17.27</w:t>
      </w:r>
      <w:r w:rsidRPr="00DD7BD1">
        <w:rPr>
          <w:rFonts w:ascii="Calibri" w:hAnsi="Calibri" w:cs="Calibri"/>
          <w:sz w:val="22"/>
          <w:szCs w:val="22"/>
        </w:rPr>
        <w:br/>
        <w:t>Santa Monica hotels: $20.32</w:t>
      </w:r>
    </w:p>
    <w:p w14:paraId="0DD45E2A" w14:textId="6EE75DA5"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West Hollywood hotels: $19.61</w:t>
      </w:r>
    </w:p>
    <w:p w14:paraId="5395039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4685F653" w14:textId="33D12706" w:rsidR="008C6649" w:rsidRPr="00DD7BD1" w:rsidRDefault="008C6649" w:rsidP="008C664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Cal/OSHA Passes Indoor Heat Regulation</w:t>
      </w:r>
    </w:p>
    <w:p w14:paraId="1C479902" w14:textId="77777777" w:rsidR="008C6649" w:rsidRPr="00DD7BD1" w:rsidRDefault="008C6649" w:rsidP="008C6649">
      <w:pPr>
        <w:pStyle w:val="NormalWeb"/>
        <w:shd w:val="clear" w:color="auto" w:fill="FFFFFF"/>
        <w:spacing w:before="0" w:beforeAutospacing="0" w:after="0" w:afterAutospacing="0"/>
        <w:jc w:val="both"/>
        <w:rPr>
          <w:rFonts w:ascii="Calibri" w:hAnsi="Calibri" w:cs="Calibri"/>
          <w:color w:val="333333"/>
          <w:sz w:val="22"/>
          <w:szCs w:val="22"/>
          <w:shd w:val="clear" w:color="auto" w:fill="FFFFFF"/>
        </w:rPr>
      </w:pPr>
      <w:r w:rsidRPr="00DD7BD1">
        <w:rPr>
          <w:rFonts w:ascii="Calibri" w:hAnsi="Calibri" w:cs="Calibri"/>
          <w:sz w:val="22"/>
          <w:szCs w:val="22"/>
        </w:rPr>
        <w:t>On June 20, 2024, the California Occupational Safety and Health Standards Board (Cal/OSHA) unanimously</w:t>
      </w:r>
      <w:r w:rsidRPr="00DD7BD1">
        <w:rPr>
          <w:rFonts w:ascii="Calibri" w:hAnsi="Calibri" w:cs="Calibri"/>
          <w:color w:val="333333"/>
          <w:sz w:val="22"/>
          <w:szCs w:val="22"/>
          <w:shd w:val="clear" w:color="auto" w:fill="FFFFFF"/>
        </w:rPr>
        <w:t> </w:t>
      </w:r>
      <w:hyperlink r:id="rId588" w:tgtFrame="_blank" w:history="1">
        <w:r w:rsidRPr="00DD7BD1">
          <w:rPr>
            <w:rStyle w:val="Hyperlink"/>
            <w:rFonts w:ascii="Calibri" w:hAnsi="Calibri" w:cs="Calibri"/>
            <w:sz w:val="22"/>
            <w:szCs w:val="22"/>
          </w:rPr>
          <w:t>adopted a new standard for Heat Illness Prevention in Indoor Places of Employment</w:t>
        </w:r>
      </w:hyperlink>
      <w:r w:rsidRPr="00DD7BD1">
        <w:rPr>
          <w:rStyle w:val="Hyperlink"/>
          <w:rFonts w:ascii="Calibri" w:hAnsi="Calibri" w:cs="Calibri"/>
          <w:sz w:val="22"/>
          <w:szCs w:val="22"/>
        </w:rPr>
        <w:t>.</w:t>
      </w:r>
      <w:r w:rsidRPr="00DD7BD1">
        <w:rPr>
          <w:rFonts w:ascii="Calibri" w:hAnsi="Calibri" w:cs="Calibri"/>
          <w:color w:val="333333"/>
          <w:sz w:val="22"/>
          <w:szCs w:val="22"/>
          <w:shd w:val="clear" w:color="auto" w:fill="FFFFFF"/>
        </w:rPr>
        <w:t> </w:t>
      </w:r>
    </w:p>
    <w:p w14:paraId="01C5A6D1"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 Obligations</w:t>
      </w:r>
    </w:p>
    <w:p w14:paraId="169D3F2C"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For workplaces subject to the regulations employers will be required to do some or all of the following depending on the heat index at the workplace:</w:t>
      </w:r>
    </w:p>
    <w:p w14:paraId="298D4B03"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Provide drinking water. Where drinking water is not plumbed or otherwise continuously supplied, employers shall provide sufficient quantities at the start of the shift to provide one quart per employee per hour of drinking for the entire shift.</w:t>
      </w:r>
    </w:p>
    <w:p w14:paraId="2C837C4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Provide access to cool-down areas which are defined as an indoor or outdoor area that are blocked from direct sunlight and shielded from other high radiant heat sources.</w:t>
      </w:r>
    </w:p>
    <w:p w14:paraId="4B433629"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Assess temperature and heat index and evaluate risk factors of heat illness.</w:t>
      </w:r>
    </w:p>
    <w:p w14:paraId="6C81AD97"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Establish and maintain accurate records of either the temperature or heat index measurements.</w:t>
      </w:r>
    </w:p>
    <w:p w14:paraId="45ED6CDF"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Use control measures to minimize the risk of heat illness including engineering controls, and administrative controls.</w:t>
      </w:r>
    </w:p>
    <w:p w14:paraId="407679F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Develop emergency response procedures and conduct employee training.</w:t>
      </w:r>
    </w:p>
    <w:p w14:paraId="1C3188C5" w14:textId="77777777" w:rsidR="008C6649" w:rsidRPr="00DD7BD1" w:rsidRDefault="008C6649" w:rsidP="008C6649">
      <w:pPr>
        <w:shd w:val="clear" w:color="auto" w:fill="FFFFFF"/>
        <w:spacing w:after="0" w:line="240" w:lineRule="auto"/>
        <w:jc w:val="both"/>
        <w:rPr>
          <w:rFonts w:ascii="Calibri" w:eastAsia="Times New Roman" w:hAnsi="Calibri" w:cs="Calibri"/>
          <w:color w:val="333333"/>
        </w:rPr>
      </w:pPr>
      <w:r w:rsidRPr="00DD7BD1">
        <w:rPr>
          <w:rFonts w:ascii="Calibri" w:eastAsia="Times New Roman" w:hAnsi="Calibri" w:cs="Calibri"/>
        </w:rPr>
        <w:t>The Cal/OSHA Board has requested that the Office of Administrative Law (OAL) expedite its effective date. If this happens the standard will take effect in early </w:t>
      </w:r>
      <w:r w:rsidRPr="00DD7BD1">
        <w:rPr>
          <w:rFonts w:ascii="Calibri" w:eastAsia="Times New Roman" w:hAnsi="Calibri" w:cs="Calibri"/>
          <w:b/>
          <w:bCs/>
          <w:color w:val="C00000"/>
        </w:rPr>
        <w:t>August 2024</w:t>
      </w:r>
      <w:r w:rsidRPr="00DD7BD1">
        <w:rPr>
          <w:rFonts w:ascii="Calibri" w:eastAsia="Times New Roman" w:hAnsi="Calibri" w:cs="Calibri"/>
          <w:b/>
          <w:bCs/>
        </w:rPr>
        <w:t>.</w:t>
      </w:r>
      <w:r w:rsidRPr="00DD7BD1">
        <w:rPr>
          <w:rFonts w:ascii="Calibri" w:eastAsia="Times New Roman" w:hAnsi="Calibri" w:cs="Calibri"/>
        </w:rPr>
        <w:t> If the rule is not expedited, then it will take effect on </w:t>
      </w:r>
      <w:r w:rsidRPr="00DD7BD1">
        <w:rPr>
          <w:rFonts w:ascii="Calibri" w:eastAsia="Times New Roman" w:hAnsi="Calibri" w:cs="Calibri"/>
          <w:b/>
          <w:bCs/>
          <w:color w:val="C00000"/>
        </w:rPr>
        <w:t>October 1, 2024</w:t>
      </w:r>
      <w:r w:rsidRPr="00DD7BD1">
        <w:rPr>
          <w:rFonts w:ascii="Calibri" w:eastAsia="Times New Roman" w:hAnsi="Calibri" w:cs="Calibri"/>
          <w:color w:val="333333"/>
        </w:rPr>
        <w:t>.</w:t>
      </w:r>
    </w:p>
    <w:p w14:paraId="33589C19" w14:textId="77777777" w:rsidR="008C6649" w:rsidRPr="00DD7BD1" w:rsidRDefault="008C6649" w:rsidP="008C6649">
      <w:pPr>
        <w:spacing w:after="0" w:line="240" w:lineRule="auto"/>
        <w:jc w:val="both"/>
        <w:rPr>
          <w:rFonts w:ascii="Calibri" w:hAnsi="Calibri" w:cs="Calibri"/>
          <w:b/>
          <w:bCs/>
          <w:color w:val="2E74B5" w:themeColor="accent5" w:themeShade="BF"/>
          <w:sz w:val="16"/>
          <w:szCs w:val="16"/>
          <w:shd w:val="clear" w:color="auto" w:fill="FFFFFF"/>
          <w:lang w:val="en"/>
        </w:rPr>
      </w:pPr>
    </w:p>
    <w:p w14:paraId="69693D34" w14:textId="3F40CBA4" w:rsidR="008C6649" w:rsidRPr="00DD7BD1" w:rsidRDefault="008C6649" w:rsidP="008C6649">
      <w:pPr>
        <w:pStyle w:val="Heading1"/>
        <w:shd w:val="clear" w:color="auto" w:fill="FFFFFF"/>
        <w:spacing w:before="0" w:beforeAutospacing="0" w:after="0" w:afterAutospacing="0"/>
        <w:jc w:val="center"/>
        <w:rPr>
          <w:rFonts w:ascii="Calibri" w:hAnsi="Calibri" w:cs="Calibri"/>
          <w:color w:val="515151"/>
          <w:sz w:val="28"/>
          <w:szCs w:val="28"/>
        </w:rPr>
      </w:pPr>
      <w:r w:rsidRPr="00DD7BD1">
        <w:rPr>
          <w:rFonts w:ascii="Calibri" w:hAnsi="Calibri" w:cs="Calibri"/>
          <w:sz w:val="28"/>
          <w:szCs w:val="28"/>
        </w:rPr>
        <w:t>Cal/OSHA Issues Guidance &amp; Model Workplace Violence Prevention Plan-</w:t>
      </w:r>
      <w:r w:rsidRPr="00DD7BD1">
        <w:rPr>
          <w:rFonts w:ascii="Calibri" w:hAnsi="Calibri" w:cs="Calibri"/>
          <w:color w:val="C00000"/>
          <w:sz w:val="28"/>
          <w:szCs w:val="28"/>
        </w:rPr>
        <w:t>July 1</w:t>
      </w:r>
    </w:p>
    <w:p w14:paraId="055DD0BB"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previously communicated, starting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California employers across all industries must have a written Workplace Violence Prevention Plan (“WVPP”) in place. </w:t>
      </w:r>
    </w:p>
    <w:p w14:paraId="7B1D4B6E"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2DE3AF5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On March 18, 2024, California’s Division of Occupational Safety and Health (“Cal/OSHA”), the agency responsible for enforcing the new law’s requirements, announced the creation of its </w:t>
      </w:r>
      <w:hyperlink r:id="rId589" w:tgtFrame="_blank" w:history="1">
        <w:r w:rsidRPr="00DD7BD1">
          <w:rPr>
            <w:rStyle w:val="Hyperlink"/>
            <w:rFonts w:ascii="Calibri" w:eastAsia="Times New Roman" w:hAnsi="Calibri" w:cs="Calibri"/>
          </w:rPr>
          <w:t>Cal/OSHA Workplace Violence Prevention Guidance and Resources webpage</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The webpage contains guidance and educational materials on the new law and workplace violence prevention, a </w:t>
      </w:r>
      <w:hyperlink r:id="rId590" w:tgtFrame="_blank" w:history="1">
        <w:r w:rsidRPr="00DD7BD1">
          <w:rPr>
            <w:rStyle w:val="Hyperlink"/>
            <w:rFonts w:ascii="Calibri" w:eastAsia="Times New Roman" w:hAnsi="Calibri" w:cs="Calibri"/>
          </w:rPr>
          <w:t>model WVPP</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fact sheets, and other resources for employers and employees.</w:t>
      </w:r>
    </w:p>
    <w:p w14:paraId="12C9E071"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65B407FF"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DD7BD1" w:rsidRDefault="008C6649" w:rsidP="008C6649">
      <w:pPr>
        <w:spacing w:after="0" w:line="240" w:lineRule="auto"/>
        <w:jc w:val="both"/>
        <w:rPr>
          <w:rFonts w:ascii="Calibri" w:hAnsi="Calibri" w:cs="Calibri"/>
          <w:b/>
          <w:bCs/>
          <w:color w:val="333333"/>
          <w:sz w:val="16"/>
          <w:szCs w:val="16"/>
          <w:highlight w:val="lightGray"/>
          <w:shd w:val="clear" w:color="auto" w:fill="FFFFFF"/>
        </w:rPr>
      </w:pPr>
    </w:p>
    <w:p w14:paraId="0DD565E4"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xml:space="preserve"> Although the provided model WVPP reflects the procedures required by section 6401.9, employer likely need to customize to their industry and worksite-specifics to ensure compliance. </w:t>
      </w:r>
    </w:p>
    <w:p w14:paraId="6592A9B8" w14:textId="77777777" w:rsidR="008C6649" w:rsidRPr="00DD7BD1" w:rsidRDefault="008C6649" w:rsidP="00EF3557">
      <w:pPr>
        <w:spacing w:after="0" w:line="240" w:lineRule="auto"/>
        <w:jc w:val="center"/>
        <w:rPr>
          <w:rStyle w:val="Strong"/>
          <w:rFonts w:ascii="Calibri" w:hAnsi="Calibri" w:cs="Calibri"/>
          <w:sz w:val="20"/>
          <w:szCs w:val="20"/>
        </w:rPr>
      </w:pPr>
    </w:p>
    <w:p w14:paraId="4109F3F8" w14:textId="223EFD93" w:rsidR="00EF3557" w:rsidRPr="00DD7BD1" w:rsidRDefault="00EF3557" w:rsidP="00EF3557">
      <w:pPr>
        <w:spacing w:after="0" w:line="240" w:lineRule="auto"/>
        <w:jc w:val="center"/>
        <w:rPr>
          <w:rStyle w:val="Strong"/>
          <w:rFonts w:ascii="Calibri" w:hAnsi="Calibri" w:cs="Calibri"/>
          <w:color w:val="C00000"/>
          <w:sz w:val="28"/>
          <w:szCs w:val="28"/>
        </w:rPr>
      </w:pPr>
      <w:r w:rsidRPr="00DD7BD1">
        <w:rPr>
          <w:rStyle w:val="Strong"/>
          <w:rFonts w:ascii="Calibri" w:hAnsi="Calibri" w:cs="Calibri"/>
          <w:sz w:val="28"/>
          <w:szCs w:val="28"/>
        </w:rPr>
        <w:t>CA Pay Data Reporting filing Deadline May 2024</w:t>
      </w:r>
    </w:p>
    <w:p w14:paraId="35E14AA2" w14:textId="77777777" w:rsidR="00EF3557" w:rsidRPr="00DD7BD1" w:rsidRDefault="00EF3557" w:rsidP="00EF3557">
      <w:pPr>
        <w:spacing w:after="0" w:line="240" w:lineRule="auto"/>
        <w:jc w:val="both"/>
        <w:rPr>
          <w:rFonts w:ascii="Calibri" w:hAnsi="Calibri" w:cs="Calibri"/>
          <w:shd w:val="clear" w:color="auto" w:fill="FFFFFF"/>
        </w:rPr>
      </w:pPr>
      <w:r w:rsidRPr="00DD7BD1">
        <w:rPr>
          <w:rFonts w:ascii="Calibri" w:hAnsi="Calibri" w:cs="Calibri"/>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DD7BD1" w:rsidRDefault="00EF3557" w:rsidP="00EF3557">
      <w:pPr>
        <w:spacing w:after="0" w:line="240" w:lineRule="auto"/>
        <w:jc w:val="both"/>
        <w:rPr>
          <w:rFonts w:ascii="Calibri" w:eastAsia="Times New Roman" w:hAnsi="Calibri" w:cs="Calibri"/>
          <w:sz w:val="12"/>
          <w:szCs w:val="12"/>
        </w:rPr>
      </w:pPr>
    </w:p>
    <w:p w14:paraId="52422DF6" w14:textId="77777777" w:rsidR="00EF3557" w:rsidRPr="00DD7BD1" w:rsidRDefault="00EF3557" w:rsidP="00EF3557">
      <w:pPr>
        <w:spacing w:after="0" w:line="240" w:lineRule="auto"/>
        <w:rPr>
          <w:rFonts w:ascii="Calibri" w:eastAsia="Times New Roman" w:hAnsi="Calibri" w:cs="Calibri"/>
        </w:rPr>
      </w:pPr>
      <w:r w:rsidRPr="00DD7BD1">
        <w:rPr>
          <w:rFonts w:ascii="Calibri" w:eastAsia="Times New Roman" w:hAnsi="Calibri" w:cs="Calibri"/>
          <w:b/>
          <w:bCs/>
        </w:rPr>
        <w:t>Portal Opens:</w:t>
      </w:r>
      <w:r w:rsidRPr="00DD7BD1">
        <w:rPr>
          <w:rFonts w:ascii="Calibri" w:eastAsia="Times New Roman" w:hAnsi="Calibri" w:cs="Calibri"/>
        </w:rPr>
        <w:t xml:space="preserve"> 2/2024       </w:t>
      </w:r>
    </w:p>
    <w:p w14:paraId="4FEA2975" w14:textId="77777777" w:rsidR="00EF3557" w:rsidRPr="00DD7BD1" w:rsidRDefault="00EF3557" w:rsidP="00EF3557">
      <w:pPr>
        <w:spacing w:after="0" w:line="240" w:lineRule="auto"/>
        <w:rPr>
          <w:rFonts w:ascii="Calibri" w:eastAsia="Times New Roman" w:hAnsi="Calibri" w:cs="Calibri"/>
          <w:b/>
          <w:bCs/>
          <w:color w:val="C00000"/>
        </w:rPr>
      </w:pPr>
      <w:r w:rsidRPr="00DD7BD1">
        <w:rPr>
          <w:rFonts w:ascii="Calibri" w:eastAsia="Times New Roman" w:hAnsi="Calibri" w:cs="Calibri"/>
          <w:b/>
          <w:bCs/>
        </w:rPr>
        <w:t>Filing Deadline</w:t>
      </w:r>
      <w:r w:rsidRPr="00DD7BD1">
        <w:rPr>
          <w:rFonts w:ascii="Calibri" w:eastAsia="Times New Roman" w:hAnsi="Calibri" w:cs="Calibri"/>
        </w:rPr>
        <w:t xml:space="preserve">: </w:t>
      </w:r>
      <w:r w:rsidRPr="00DD7BD1">
        <w:rPr>
          <w:rFonts w:ascii="Calibri" w:eastAsia="Times New Roman" w:hAnsi="Calibri" w:cs="Calibri"/>
          <w:b/>
          <w:bCs/>
          <w:u w:val="single"/>
        </w:rPr>
        <w:t>5/8/24</w:t>
      </w:r>
    </w:p>
    <w:p w14:paraId="65454757" w14:textId="77777777" w:rsidR="00EF3557" w:rsidRPr="00DD7BD1" w:rsidRDefault="00EF3557" w:rsidP="00EF3557">
      <w:pPr>
        <w:pStyle w:val="NormalWeb"/>
        <w:shd w:val="clear" w:color="auto" w:fill="FFFFFF"/>
        <w:spacing w:before="0" w:beforeAutospacing="0" w:after="0" w:afterAutospacing="0"/>
        <w:rPr>
          <w:rFonts w:ascii="Calibri" w:hAnsi="Calibri" w:cs="Calibri"/>
          <w:sz w:val="12"/>
          <w:szCs w:val="12"/>
        </w:rPr>
      </w:pPr>
    </w:p>
    <w:p w14:paraId="2DCECCA4" w14:textId="77777777" w:rsidR="00EF3557" w:rsidRPr="00DD7BD1" w:rsidRDefault="00EF3557" w:rsidP="00EF355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CRD has published “important announcements” regarding changes to this year’s reporting requirements, including the following (March 2024):</w:t>
      </w:r>
    </w:p>
    <w:p w14:paraId="718D88F7" w14:textId="77777777" w:rsidR="00EF3557" w:rsidRPr="00DD7BD1" w:rsidRDefault="00EF3557">
      <w:pPr>
        <w:numPr>
          <w:ilvl w:val="0"/>
          <w:numId w:val="33"/>
        </w:numPr>
        <w:shd w:val="clear" w:color="auto" w:fill="FFFFFF"/>
        <w:spacing w:after="0" w:line="240" w:lineRule="auto"/>
        <w:rPr>
          <w:rFonts w:ascii="Calibri" w:hAnsi="Calibri" w:cs="Calibri"/>
        </w:rPr>
      </w:pPr>
      <w:r w:rsidRPr="00DD7BD1">
        <w:rPr>
          <w:rStyle w:val="Strong"/>
          <w:rFonts w:ascii="Calibri" w:hAnsi="Calibri" w:cs="Calibri"/>
        </w:rPr>
        <w:t>New data fields for remote workers</w:t>
      </w:r>
      <w:r w:rsidRPr="00DD7BD1">
        <w:rPr>
          <w:rFonts w:ascii="Calibri" w:hAnsi="Calibri" w:cs="Calibri"/>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DD7BD1" w:rsidRDefault="00EF3557">
      <w:pPr>
        <w:numPr>
          <w:ilvl w:val="0"/>
          <w:numId w:val="33"/>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Race, ethnicity, sex for Labor Contractor Employee Reports</w:t>
      </w:r>
      <w:r w:rsidRPr="00DD7BD1">
        <w:rPr>
          <w:rFonts w:ascii="Calibri" w:hAnsi="Calibri" w:cs="Calibri"/>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DD7BD1">
        <w:rPr>
          <w:rStyle w:val="Emphasis"/>
          <w:rFonts w:ascii="Calibri" w:hAnsi="Calibri" w:cs="Calibri"/>
        </w:rPr>
        <w:t>number</w:t>
      </w:r>
      <w:r w:rsidRPr="00DD7BD1">
        <w:rPr>
          <w:rFonts w:ascii="Calibri" w:hAnsi="Calibri" w:cs="Calibri"/>
        </w:rPr>
        <w:t>] individuals in this grouping is being reported based on observer perception.”).</w:t>
      </w:r>
    </w:p>
    <w:p w14:paraId="0497F58C" w14:textId="77777777" w:rsidR="00EF3557" w:rsidRPr="00DD7BD1" w:rsidRDefault="00EF3557">
      <w:pPr>
        <w:numPr>
          <w:ilvl w:val="0"/>
          <w:numId w:val="33"/>
        </w:numPr>
        <w:shd w:val="clear" w:color="auto" w:fill="FFFFFF"/>
        <w:spacing w:after="0" w:line="240" w:lineRule="auto"/>
        <w:rPr>
          <w:rFonts w:ascii="Calibri" w:hAnsi="Calibri" w:cs="Calibri"/>
          <w:color w:val="333333"/>
        </w:rPr>
      </w:pPr>
      <w:r w:rsidRPr="00DD7BD1">
        <w:rPr>
          <w:rStyle w:val="Strong"/>
          <w:rFonts w:ascii="Calibri" w:hAnsi="Calibri" w:cs="Calibri"/>
        </w:rPr>
        <w:t>Filing deadline</w:t>
      </w:r>
      <w:r w:rsidRPr="00DD7BD1">
        <w:rPr>
          <w:rFonts w:ascii="Calibri" w:hAnsi="Calibri" w:cs="Calibri"/>
        </w:rPr>
        <w:t>: Reports are due by May 8, 2024. Unlike last year’s reporting period, it does not appear that the CRD will be accepting or granting any pay reporting submission deferral requests.</w:t>
      </w:r>
    </w:p>
    <w:p w14:paraId="54B3A179" w14:textId="77777777" w:rsidR="00EF3557" w:rsidRPr="00DD7BD1" w:rsidRDefault="00EF3557" w:rsidP="00EF355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Employers are well-advised to use this year’s reporting templates and consult the updated User Guide available</w:t>
      </w:r>
      <w:r w:rsidRPr="00DD7BD1">
        <w:rPr>
          <w:rStyle w:val="Hyperlink"/>
          <w:rFonts w:ascii="Calibri" w:eastAsiaTheme="minorHAnsi" w:hAnsi="Calibri" w:cs="Calibri"/>
          <w:color w:val="auto"/>
          <w:sz w:val="22"/>
          <w:szCs w:val="22"/>
        </w:rPr>
        <w:t> </w:t>
      </w:r>
      <w:hyperlink r:id="rId591" w:tgtFrame="_blank" w:history="1">
        <w:r w:rsidRPr="00DD7BD1">
          <w:rPr>
            <w:rStyle w:val="Hyperlink"/>
            <w:rFonts w:ascii="Calibri" w:eastAsiaTheme="minorHAnsi" w:hAnsi="Calibri" w:cs="Calibri"/>
            <w:sz w:val="22"/>
            <w:szCs w:val="22"/>
          </w:rPr>
          <w:t>here</w:t>
        </w:r>
      </w:hyperlink>
      <w:r w:rsidRPr="00DD7BD1">
        <w:rPr>
          <w:rFonts w:ascii="Calibri" w:hAnsi="Calibri" w:cs="Calibri"/>
          <w:color w:val="333333"/>
          <w:sz w:val="22"/>
          <w:szCs w:val="22"/>
        </w:rPr>
        <w:t xml:space="preserve">. </w:t>
      </w:r>
      <w:r w:rsidRPr="00DD7BD1">
        <w:rPr>
          <w:rFonts w:ascii="Calibri" w:hAnsi="Calibri" w:cs="Calibri"/>
          <w:sz w:val="22"/>
          <w:szCs w:val="22"/>
        </w:rPr>
        <w:t>California employers also may wish to consult the </w:t>
      </w:r>
      <w:hyperlink r:id="rId592" w:tgtFrame="_blank" w:history="1">
        <w:r w:rsidRPr="00DD7BD1">
          <w:rPr>
            <w:rStyle w:val="Hyperlink"/>
            <w:rFonts w:ascii="Calibri" w:eastAsiaTheme="minorHAnsi" w:hAnsi="Calibri" w:cs="Calibri"/>
            <w:sz w:val="22"/>
            <w:szCs w:val="22"/>
          </w:rPr>
          <w:t>CRD’s Updated FAQs</w:t>
        </w:r>
      </w:hyperlink>
    </w:p>
    <w:p w14:paraId="70FD5099" w14:textId="57C5E156" w:rsidR="00EF3557" w:rsidRPr="00DD7BD1" w:rsidRDefault="00EF3557" w:rsidP="00EF3557">
      <w:pPr>
        <w:spacing w:after="0" w:line="240" w:lineRule="auto"/>
        <w:jc w:val="both"/>
        <w:rPr>
          <w:rStyle w:val="Strong"/>
          <w:rFonts w:ascii="Calibri" w:eastAsia="Times New Roman" w:hAnsi="Calibri" w:cs="Calibri"/>
          <w:b w:val="0"/>
          <w:bCs w:val="0"/>
        </w:rPr>
      </w:pPr>
      <w:r w:rsidRPr="00DD7BD1">
        <w:rPr>
          <w:rFonts w:ascii="Calibri" w:eastAsia="Times New Roman" w:hAnsi="Calibri" w:cs="Calibri"/>
        </w:rPr>
        <w:t>See also ETC’s February HR WIRE supplemental publication released Friday, February 9th for additional details and links to resources.</w:t>
      </w:r>
    </w:p>
    <w:p w14:paraId="743F22F6" w14:textId="77777777" w:rsidR="001221BB" w:rsidRPr="00DD7BD1" w:rsidRDefault="001221BB" w:rsidP="008561D0">
      <w:pPr>
        <w:spacing w:after="0" w:line="240" w:lineRule="auto"/>
        <w:rPr>
          <w:rFonts w:ascii="Calibri" w:hAnsi="Calibri" w:cs="Calibri"/>
          <w:b/>
          <w:bCs/>
          <w:color w:val="2E74B5" w:themeColor="accent5" w:themeShade="BF"/>
          <w:sz w:val="12"/>
          <w:szCs w:val="12"/>
          <w:shd w:val="clear" w:color="auto" w:fill="FFFFFF"/>
          <w:lang w:val="en"/>
        </w:rPr>
      </w:pPr>
    </w:p>
    <w:p w14:paraId="156AD526" w14:textId="77777777" w:rsidR="00427CA7" w:rsidRPr="00DD7BD1" w:rsidRDefault="00427CA7" w:rsidP="00427CA7">
      <w:pPr>
        <w:pStyle w:val="Heading1"/>
        <w:shd w:val="clear" w:color="auto" w:fill="FFFFFF"/>
        <w:spacing w:before="0" w:beforeAutospacing="0" w:after="0" w:afterAutospacing="0" w:line="264" w:lineRule="atLeast"/>
        <w:jc w:val="center"/>
        <w:rPr>
          <w:rStyle w:val="Strong"/>
          <w:rFonts w:ascii="Calibri" w:hAnsi="Calibri" w:cs="Calibri"/>
          <w:b/>
          <w:bCs/>
          <w:color w:val="000000"/>
        </w:rPr>
      </w:pPr>
      <w:r w:rsidRPr="00DD7BD1">
        <w:rPr>
          <w:rFonts w:ascii="Calibri" w:hAnsi="Calibri" w:cs="Calibri"/>
          <w:color w:val="000000"/>
          <w:sz w:val="28"/>
          <w:szCs w:val="28"/>
        </w:rPr>
        <w:t xml:space="preserve">CA Supreme Court Clarifies Whether Employers Must Pay for Certain </w:t>
      </w:r>
      <w:r w:rsidRPr="00DD7BD1">
        <w:rPr>
          <w:rFonts w:ascii="Calibri" w:hAnsi="Calibri" w:cs="Calibri"/>
          <w:color w:val="000000"/>
          <w:sz w:val="28"/>
          <w:szCs w:val="28"/>
          <w:u w:val="single"/>
        </w:rPr>
        <w:t>Pre-Shift Activities</w:t>
      </w:r>
    </w:p>
    <w:p w14:paraId="3E7FC96E" w14:textId="77777777" w:rsidR="00427CA7" w:rsidRPr="00DD7BD1" w:rsidRDefault="00427CA7" w:rsidP="00427CA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In </w:t>
      </w:r>
      <w:r w:rsidRPr="00DD7BD1">
        <w:rPr>
          <w:rFonts w:ascii="Calibri" w:hAnsi="Calibri" w:cs="Calibri"/>
          <w:i/>
          <w:iCs/>
          <w:spacing w:val="3"/>
        </w:rPr>
        <w:t>Huerta v. CSI Electrical Contractors</w:t>
      </w:r>
      <w:r w:rsidRPr="00DD7BD1">
        <w:rPr>
          <w:rFonts w:ascii="Calibri" w:hAnsi="Calibri" w:cs="Calibri"/>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DD7BD1" w:rsidRDefault="00503F70" w:rsidP="00503F70">
      <w:pPr>
        <w:pStyle w:val="ListParagraph"/>
        <w:spacing w:after="0" w:line="240" w:lineRule="auto"/>
        <w:jc w:val="both"/>
        <w:rPr>
          <w:rFonts w:ascii="Calibri" w:hAnsi="Calibri" w:cs="Calibri"/>
          <w:spacing w:val="3"/>
          <w:shd w:val="clear" w:color="auto" w:fill="FFFFFF"/>
        </w:rPr>
      </w:pPr>
    </w:p>
    <w:p w14:paraId="7CFA5FBA"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b/>
          <w:bCs/>
          <w:spacing w:val="3"/>
          <w:sz w:val="22"/>
          <w:szCs w:val="22"/>
          <w:shd w:val="clear" w:color="auto" w:fill="FFFFFF"/>
        </w:rPr>
      </w:pPr>
      <w:r w:rsidRPr="00DD7BD1">
        <w:rPr>
          <w:rFonts w:ascii="Calibri" w:hAnsi="Calibri" w:cs="Calibri"/>
          <w:b/>
          <w:bCs/>
          <w:spacing w:val="3"/>
          <w:sz w:val="22"/>
          <w:szCs w:val="22"/>
          <w:highlight w:val="lightGray"/>
          <w:shd w:val="clear" w:color="auto" w:fill="FFFFFF"/>
        </w:rPr>
        <w:t>Employer Takeaways:</w:t>
      </w:r>
      <w:r w:rsidRPr="00DD7BD1">
        <w:rPr>
          <w:rFonts w:ascii="Calibri" w:hAnsi="Calibri" w:cs="Calibri"/>
          <w:b/>
          <w:bCs/>
          <w:spacing w:val="3"/>
          <w:sz w:val="22"/>
          <w:szCs w:val="22"/>
          <w:shd w:val="clear" w:color="auto" w:fill="FFFFFF"/>
        </w:rPr>
        <w:t xml:space="preserve"> </w:t>
      </w:r>
    </w:p>
    <w:p w14:paraId="2C376BC4"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DD7BD1">
        <w:rPr>
          <w:rFonts w:ascii="Calibri" w:hAnsi="Calibri" w:cs="Calibri"/>
          <w:sz w:val="23"/>
          <w:szCs w:val="23"/>
          <w:shd w:val="clear" w:color="auto" w:fill="FFFFFF"/>
        </w:rPr>
        <w:t xml:space="preserve">the </w:t>
      </w:r>
      <w:r w:rsidRPr="00DD7BD1">
        <w:rPr>
          <w:rFonts w:ascii="Calibri" w:hAnsi="Calibri" w:cs="Calibri"/>
          <w:b/>
          <w:bCs/>
          <w:sz w:val="22"/>
          <w:szCs w:val="22"/>
          <w:shd w:val="clear" w:color="auto" w:fill="FFFFFF"/>
        </w:rPr>
        <w:t>Court concluded:</w:t>
      </w:r>
    </w:p>
    <w:p w14:paraId="652E0828"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2"/>
          <w:szCs w:val="22"/>
          <w:shd w:val="clear" w:color="auto" w:fill="FFFFFF"/>
        </w:rPr>
        <w:t xml:space="preserve"> that when an employee is required to spend time on the employer’s premises waiting to undergo an employer-mandated security procedure, that time is compensable</w:t>
      </w:r>
      <w:r w:rsidRPr="00DD7BD1">
        <w:rPr>
          <w:rFonts w:ascii="Calibri" w:hAnsi="Calibri" w:cs="Calibri"/>
          <w:sz w:val="23"/>
          <w:szCs w:val="23"/>
          <w:shd w:val="clear" w:color="auto" w:fill="FFFFFF"/>
        </w:rPr>
        <w:t xml:space="preserve">. </w:t>
      </w:r>
    </w:p>
    <w:p w14:paraId="31FBCB16"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DD7BD1">
        <w:rPr>
          <w:rFonts w:ascii="Calibri" w:hAnsi="Calibri" w:cs="Calibri"/>
          <w:sz w:val="23"/>
          <w:szCs w:val="23"/>
          <w:shd w:val="clear" w:color="auto" w:fill="FFFFFF"/>
        </w:rPr>
        <w:t>.</w:t>
      </w:r>
    </w:p>
    <w:p w14:paraId="23AADBB1"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DD7BD1">
        <w:rPr>
          <w:rFonts w:ascii="Calibri" w:hAnsi="Calibri" w:cs="Calibri"/>
          <w:i/>
          <w:iCs/>
          <w:spacing w:val="3"/>
          <w:sz w:val="22"/>
          <w:szCs w:val="22"/>
          <w:shd w:val="clear" w:color="auto" w:fill="FFFFFF"/>
        </w:rPr>
        <w:t>Huerta </w:t>
      </w:r>
      <w:r w:rsidRPr="00DD7BD1">
        <w:rPr>
          <w:rFonts w:ascii="Calibri" w:hAnsi="Calibri" w:cs="Calibri"/>
          <w:spacing w:val="3"/>
          <w:sz w:val="22"/>
          <w:szCs w:val="22"/>
          <w:shd w:val="clear" w:color="auto" w:fill="FFFFFF"/>
        </w:rPr>
        <w:t>said were insufficient to make on-site travel compensable.</w:t>
      </w:r>
    </w:p>
    <w:p w14:paraId="6CBAE0D3"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DD7BD1" w:rsidRDefault="00427CA7" w:rsidP="00427CA7">
      <w:pPr>
        <w:spacing w:after="0" w:line="240" w:lineRule="auto"/>
        <w:jc w:val="center"/>
        <w:rPr>
          <w:rStyle w:val="Strong"/>
          <w:rFonts w:ascii="Calibri" w:hAnsi="Calibri" w:cs="Calibri"/>
          <w:color w:val="C00000"/>
          <w:sz w:val="16"/>
          <w:szCs w:val="16"/>
        </w:rPr>
      </w:pPr>
    </w:p>
    <w:p w14:paraId="107AE31A" w14:textId="6323C4E7" w:rsidR="00427CA7" w:rsidRPr="00DD7BD1" w:rsidRDefault="00427CA7" w:rsidP="00427CA7">
      <w:pPr>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 xml:space="preserve">California </w:t>
      </w:r>
      <w:r w:rsidRPr="00DD7BD1">
        <w:rPr>
          <w:rStyle w:val="Strong"/>
          <w:rFonts w:ascii="Calibri" w:hAnsi="Calibri" w:cs="Calibri"/>
          <w:sz w:val="28"/>
          <w:szCs w:val="28"/>
          <w:u w:val="single"/>
        </w:rPr>
        <w:t>Fast Food</w:t>
      </w:r>
      <w:r w:rsidRPr="00DD7BD1">
        <w:rPr>
          <w:rStyle w:val="Strong"/>
          <w:rFonts w:ascii="Calibri" w:hAnsi="Calibri" w:cs="Calibri"/>
          <w:sz w:val="28"/>
          <w:szCs w:val="28"/>
        </w:rPr>
        <w:t xml:space="preserve"> Minimum Wage Exemptions</w:t>
      </w:r>
    </w:p>
    <w:p w14:paraId="55671072"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California Department of Industrial Relations initially updated its </w:t>
      </w:r>
      <w:hyperlink r:id="rId593" w:tgtFrame="_blank" w:history="1">
        <w:r w:rsidRPr="00DD7BD1">
          <w:rPr>
            <w:rStyle w:val="Hyperlink"/>
            <w:rFonts w:ascii="Calibri" w:eastAsiaTheme="minorHAnsi" w:hAnsi="Calibri" w:cs="Calibri"/>
            <w:sz w:val="22"/>
            <w:szCs w:val="22"/>
          </w:rPr>
          <w:t>FAQs</w:t>
        </w:r>
      </w:hyperlink>
      <w:r w:rsidRPr="00DD7BD1">
        <w:rPr>
          <w:rFonts w:ascii="Calibri" w:hAnsi="Calibri" w:cs="Calibri"/>
          <w:color w:val="282828"/>
          <w:sz w:val="22"/>
          <w:szCs w:val="22"/>
        </w:rPr>
        <w:t> </w:t>
      </w:r>
      <w:r w:rsidRPr="00DD7BD1">
        <w:rPr>
          <w:rFonts w:ascii="Calibri" w:hAnsi="Calibri" w:cs="Calibri"/>
          <w:sz w:val="22"/>
          <w:szCs w:val="22"/>
        </w:rPr>
        <w:t>to indicate that the April 1 minimum wage increase for fast food workers will also increase the </w:t>
      </w:r>
      <w:r w:rsidRPr="00DD7BD1">
        <w:rPr>
          <w:rFonts w:ascii="Calibri" w:hAnsi="Calibri" w:cs="Calibri"/>
          <w:i/>
          <w:iCs/>
          <w:sz w:val="22"/>
          <w:szCs w:val="22"/>
        </w:rPr>
        <w:t>minimum salary threshold</w:t>
      </w:r>
      <w:r w:rsidRPr="00DD7BD1">
        <w:rPr>
          <w:rFonts w:ascii="Calibri" w:hAnsi="Calibri" w:cs="Calibri"/>
          <w:sz w:val="22"/>
          <w:szCs w:val="22"/>
        </w:rPr>
        <w:t> for exempt executive, administrative, and professional (EAP) employees in fast food restaurants. </w:t>
      </w:r>
    </w:p>
    <w:p w14:paraId="6DEEC180"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new minimum salary for these employees will be $83,200 per year. This increase is happening because under California </w:t>
      </w:r>
      <w:r w:rsidRPr="00DD7BD1">
        <w:rPr>
          <w:rStyle w:val="il"/>
          <w:rFonts w:ascii="Calibri" w:hAnsi="Calibri" w:cs="Calibri"/>
          <w:sz w:val="22"/>
          <w:szCs w:val="22"/>
        </w:rPr>
        <w:t>law</w:t>
      </w:r>
      <w:r w:rsidRPr="00DD7BD1">
        <w:rPr>
          <w:rFonts w:ascii="Calibri" w:hAnsi="Calibri" w:cs="Calibri"/>
          <w:sz w:val="22"/>
          <w:szCs w:val="22"/>
        </w:rPr>
        <w:t>, EAP employees must earn a monthly salary of at least two times the </w:t>
      </w:r>
      <w:r w:rsidRPr="00DD7BD1">
        <w:rPr>
          <w:rFonts w:ascii="Calibri" w:hAnsi="Calibri" w:cs="Calibri"/>
          <w:i/>
          <w:iCs/>
          <w:sz w:val="22"/>
          <w:szCs w:val="22"/>
        </w:rPr>
        <w:t>state minimum wage</w:t>
      </w:r>
      <w:r w:rsidRPr="00DD7BD1">
        <w:rPr>
          <w:rFonts w:ascii="Calibri" w:hAnsi="Calibri" w:cs="Calibri"/>
          <w:sz w:val="22"/>
          <w:szCs w:val="22"/>
        </w:rPr>
        <w:t>, and the new $20 rate will function as the </w:t>
      </w:r>
      <w:r w:rsidRPr="00DD7BD1">
        <w:rPr>
          <w:rFonts w:ascii="Calibri" w:hAnsi="Calibri" w:cs="Calibri"/>
          <w:i/>
          <w:iCs/>
          <w:sz w:val="22"/>
          <w:szCs w:val="22"/>
        </w:rPr>
        <w:t>state minimum wage</w:t>
      </w:r>
      <w:r w:rsidRPr="00DD7BD1">
        <w:rPr>
          <w:rFonts w:ascii="Calibri" w:hAnsi="Calibri" w:cs="Calibri"/>
          <w:sz w:val="22"/>
          <w:szCs w:val="22"/>
        </w:rPr>
        <w:t> for fast food restaurant employees.</w:t>
      </w:r>
    </w:p>
    <w:p w14:paraId="7B822E67"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Impacted employers have two options:</w:t>
      </w:r>
    </w:p>
    <w:p w14:paraId="4C3B1CA1"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Ensure that employees in EAP positions are paid $83,200 per year, or</w:t>
      </w:r>
    </w:p>
    <w:p w14:paraId="12C62608"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Reclassify these employees as nonexempt and provide them with the rights and benefits that nonexempt employees are entitled to (overtime, breaks, lunches, and reporting time pay, to name a few)</w:t>
      </w:r>
    </w:p>
    <w:p w14:paraId="56ADB6B4"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1470143"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Required Notice</w:t>
      </w:r>
      <w:r w:rsidRPr="00DD7BD1">
        <w:rPr>
          <w:rFonts w:ascii="Calibri" w:hAnsi="Calibri" w:cs="Calibri"/>
          <w:sz w:val="22"/>
          <w:szCs w:val="22"/>
        </w:rPr>
        <w:br/>
        <w:t>Employers with covered employees are required to post a </w:t>
      </w:r>
      <w:hyperlink r:id="rId594" w:tgtFrame="_blank" w:history="1">
        <w:r w:rsidRPr="00DD7BD1">
          <w:rPr>
            <w:rStyle w:val="Hyperlink"/>
            <w:rFonts w:ascii="Calibri" w:eastAsiaTheme="minorHAnsi" w:hAnsi="Calibri" w:cs="Calibri"/>
            <w:sz w:val="22"/>
            <w:szCs w:val="22"/>
          </w:rPr>
          <w:t>supplement to the minimum wage order</w:t>
        </w:r>
      </w:hyperlink>
      <w:r w:rsidRPr="00DD7BD1">
        <w:rPr>
          <w:rFonts w:ascii="Calibri" w:hAnsi="Calibri" w:cs="Calibri"/>
          <w:color w:val="282828"/>
          <w:sz w:val="22"/>
          <w:szCs w:val="22"/>
        </w:rPr>
        <w:t> </w:t>
      </w:r>
      <w:r w:rsidRPr="00DD7BD1">
        <w:rPr>
          <w:rFonts w:ascii="Calibri" w:hAnsi="Calibri" w:cs="Calibri"/>
          <w:sz w:val="22"/>
          <w:szCs w:val="22"/>
        </w:rPr>
        <w:t>in a place where employees will frequently see it.</w:t>
      </w:r>
    </w:p>
    <w:p w14:paraId="7C085A6D"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78207CC"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Future Increases</w:t>
      </w:r>
      <w:r w:rsidRPr="00DD7BD1">
        <w:rPr>
          <w:rFonts w:ascii="Calibri" w:hAnsi="Calibri" w:cs="Calibri"/>
          <w:sz w:val="22"/>
          <w:szCs w:val="22"/>
        </w:rPr>
        <w:br/>
        <w:t>The newly created Fast Food Council will have the authority to raise this minimum wage annually beginning January 1, 2025</w:t>
      </w:r>
    </w:p>
    <w:p w14:paraId="02721539"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Then with a mere seven days before the new minimum wage for employees of </w:t>
      </w:r>
      <w:r w:rsidRPr="00DD7BD1">
        <w:rPr>
          <w:rFonts w:ascii="Calibri" w:hAnsi="Calibri" w:cs="Calibri"/>
          <w:i/>
          <w:iCs/>
          <w:sz w:val="22"/>
          <w:szCs w:val="22"/>
        </w:rPr>
        <w:t>fast food restaurants </w:t>
      </w:r>
      <w:r w:rsidRPr="00DD7BD1">
        <w:rPr>
          <w:rFonts w:ascii="Calibri" w:hAnsi="Calibri" w:cs="Calibri"/>
          <w:sz w:val="22"/>
          <w:szCs w:val="22"/>
        </w:rPr>
        <w:t>is set to take effect in California, the legislature added new exemptions to the law. In addition to the original exemptions for certain bakeries and restaurants inside grocery stores, the law will </w:t>
      </w:r>
      <w:r w:rsidRPr="00DD7BD1">
        <w:rPr>
          <w:rStyle w:val="Strong"/>
          <w:rFonts w:ascii="Calibri" w:hAnsi="Calibri" w:cs="Calibri"/>
          <w:sz w:val="22"/>
          <w:szCs w:val="22"/>
        </w:rPr>
        <w:t>not </w:t>
      </w:r>
      <w:r w:rsidRPr="00DD7BD1">
        <w:rPr>
          <w:rFonts w:ascii="Calibri" w:hAnsi="Calibri" w:cs="Calibri"/>
          <w:sz w:val="22"/>
          <w:szCs w:val="22"/>
        </w:rPr>
        <w:t>apply to restaurants that are any of the following: </w:t>
      </w:r>
    </w:p>
    <w:p w14:paraId="6DA4E5B3"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 airport  </w:t>
      </w:r>
    </w:p>
    <w:p w14:paraId="6A0CF47F"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Connected to or operated in conjunction with a hotel, event center, theme park, museum, or gambling establishment </w:t>
      </w:r>
    </w:p>
    <w:p w14:paraId="0E0C8F4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on land owned by the government and operated pursuant to a concession or food service contract </w:t>
      </w:r>
    </w:p>
    <w:p w14:paraId="5E349A9B"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Please note that each of these exemptions has a more detailed definition under the law, which you should make sure applies before considering your establishment exempt. </w:t>
      </w:r>
    </w:p>
    <w:p w14:paraId="231C02A1"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Due to the most recent change, the </w:t>
      </w:r>
      <w:hyperlink r:id="rId595" w:tgtFrame="_blank" w:history="1">
        <w:r w:rsidRPr="00DD7BD1">
          <w:rPr>
            <w:rStyle w:val="Hyperlink"/>
            <w:rFonts w:ascii="Calibri" w:hAnsi="Calibri" w:cs="Calibri"/>
            <w:sz w:val="22"/>
            <w:szCs w:val="22"/>
          </w:rPr>
          <w:t>state’s FAQs</w:t>
        </w:r>
      </w:hyperlink>
      <w:r w:rsidRPr="00DD7BD1">
        <w:rPr>
          <w:rFonts w:ascii="Calibri" w:hAnsi="Calibri" w:cs="Calibri"/>
          <w:color w:val="282828"/>
          <w:sz w:val="22"/>
          <w:szCs w:val="22"/>
        </w:rPr>
        <w:t> </w:t>
      </w:r>
      <w:r w:rsidRPr="00DD7BD1">
        <w:rPr>
          <w:rFonts w:ascii="Calibri" w:hAnsi="Calibri" w:cs="Calibri"/>
          <w:sz w:val="22"/>
          <w:szCs w:val="22"/>
        </w:rPr>
        <w:t>have not been updated yet, but we expect that they will be shortly.</w:t>
      </w:r>
    </w:p>
    <w:p w14:paraId="049D978F" w14:textId="77777777" w:rsidR="00427CA7" w:rsidRPr="00DD7BD1" w:rsidRDefault="00427CA7" w:rsidP="00427CA7">
      <w:pPr>
        <w:pStyle w:val="NormalWeb"/>
        <w:shd w:val="clear" w:color="auto" w:fill="FFFFFF"/>
        <w:spacing w:before="0" w:beforeAutospacing="0" w:after="0" w:afterAutospacing="0"/>
        <w:rPr>
          <w:rFonts w:ascii="Calibri" w:hAnsi="Calibri" w:cs="Calibri"/>
          <w:sz w:val="16"/>
          <w:szCs w:val="16"/>
        </w:rPr>
      </w:pPr>
    </w:p>
    <w:p w14:paraId="2CCBFDDA" w14:textId="6F491E7E" w:rsidR="00427CA7" w:rsidRPr="00DD7BD1" w:rsidRDefault="00427CA7" w:rsidP="00427CA7">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u w:val="single"/>
        </w:rPr>
        <w:t>LA County</w:t>
      </w:r>
      <w:r w:rsidRPr="00DD7BD1">
        <w:rPr>
          <w:rFonts w:ascii="Calibri" w:hAnsi="Calibri" w:cs="Calibri"/>
          <w:color w:val="000000"/>
          <w:sz w:val="28"/>
          <w:szCs w:val="28"/>
        </w:rPr>
        <w:t xml:space="preserve"> Fair Chance Ordinance Applicable to Unincorporated Areas </w:t>
      </w:r>
    </w:p>
    <w:p w14:paraId="28D650D0"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Fair Chance Ordinance (FCO) applies to employers with </w:t>
      </w:r>
      <w:r w:rsidRPr="00DD7BD1">
        <w:rPr>
          <w:rStyle w:val="Strong"/>
          <w:rFonts w:ascii="Calibri" w:hAnsi="Calibri" w:cs="Calibri"/>
          <w:spacing w:val="3"/>
          <w:sz w:val="22"/>
          <w:szCs w:val="22"/>
        </w:rPr>
        <w:t>5 or more employees</w:t>
      </w:r>
      <w:r w:rsidRPr="00DD7BD1">
        <w:rPr>
          <w:rFonts w:ascii="Calibri" w:hAnsi="Calibri" w:cs="Calibri"/>
          <w:spacing w:val="3"/>
          <w:sz w:val="22"/>
          <w:szCs w:val="22"/>
        </w:rPr>
        <w:t> in </w:t>
      </w:r>
      <w:r w:rsidRPr="00DD7BD1">
        <w:rPr>
          <w:rStyle w:val="Strong"/>
          <w:rFonts w:ascii="Calibri" w:hAnsi="Calibri" w:cs="Calibri"/>
          <w:spacing w:val="3"/>
          <w:sz w:val="22"/>
          <w:szCs w:val="22"/>
        </w:rPr>
        <w:t>unincorporated areas of Los Angeles County</w:t>
      </w:r>
      <w:r w:rsidRPr="00DD7BD1">
        <w:rPr>
          <w:rFonts w:ascii="Calibri" w:hAnsi="Calibri" w:cs="Calibri"/>
          <w:spacing w:val="3"/>
          <w:sz w:val="22"/>
          <w:szCs w:val="22"/>
        </w:rPr>
        <w:t>.</w:t>
      </w:r>
    </w:p>
    <w:p w14:paraId="7BDF4594"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spacing w:val="3"/>
          <w:sz w:val="22"/>
          <w:szCs w:val="22"/>
        </w:rPr>
        <w:t>The ordinance takes effect </w:t>
      </w:r>
      <w:r w:rsidRPr="00DD7BD1">
        <w:rPr>
          <w:rStyle w:val="Strong"/>
          <w:rFonts w:ascii="Calibri" w:hAnsi="Calibri" w:cs="Calibri"/>
          <w:spacing w:val="3"/>
          <w:sz w:val="22"/>
          <w:szCs w:val="22"/>
        </w:rPr>
        <w:t>March 28, 2024</w:t>
      </w:r>
      <w:r w:rsidRPr="00DD7BD1">
        <w:rPr>
          <w:rFonts w:ascii="Calibri" w:hAnsi="Calibri" w:cs="Calibri"/>
          <w:spacing w:val="3"/>
          <w:sz w:val="22"/>
          <w:szCs w:val="22"/>
        </w:rPr>
        <w:t>, and is operative </w:t>
      </w:r>
      <w:r w:rsidRPr="00DD7BD1">
        <w:rPr>
          <w:rStyle w:val="Strong"/>
          <w:rFonts w:ascii="Calibri" w:hAnsi="Calibri" w:cs="Calibri"/>
          <w:spacing w:val="3"/>
          <w:sz w:val="22"/>
          <w:szCs w:val="22"/>
        </w:rPr>
        <w:t>September 3, 2024</w:t>
      </w:r>
      <w:r w:rsidRPr="00DD7BD1">
        <w:rPr>
          <w:rFonts w:ascii="Calibri" w:hAnsi="Calibri" w:cs="Calibri"/>
          <w:spacing w:val="3"/>
          <w:sz w:val="22"/>
          <w:szCs w:val="22"/>
        </w:rPr>
        <w:t>.</w:t>
      </w:r>
    </w:p>
    <w:p w14:paraId="3F7D3AB3"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The ordinance’s requirements impacts:</w:t>
      </w:r>
    </w:p>
    <w:p w14:paraId="4241A94A"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Job Postings</w:t>
      </w:r>
    </w:p>
    <w:p w14:paraId="6C084190"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Background Checks</w:t>
      </w:r>
    </w:p>
    <w:p w14:paraId="13C82EAC" w14:textId="77777777" w:rsidR="00427CA7" w:rsidRPr="00DD7BD1" w:rsidRDefault="00427CA7">
      <w:pPr>
        <w:pStyle w:val="NormalWeb"/>
        <w:numPr>
          <w:ilvl w:val="0"/>
          <w:numId w:val="37"/>
        </w:numPr>
        <w:shd w:val="clear" w:color="auto" w:fill="FFFFFF"/>
        <w:spacing w:before="0" w:beforeAutospacing="0" w:after="0" w:afterAutospacing="0"/>
        <w:rPr>
          <w:rStyle w:val="Strong"/>
          <w:rFonts w:ascii="Calibri" w:hAnsi="Calibri" w:cs="Calibri"/>
          <w:b w:val="0"/>
          <w:bCs w:val="0"/>
          <w:spacing w:val="3"/>
          <w:sz w:val="22"/>
          <w:szCs w:val="22"/>
          <w:shd w:val="clear" w:color="auto" w:fill="FFFFFF"/>
        </w:rPr>
      </w:pPr>
      <w:r w:rsidRPr="00DD7BD1">
        <w:rPr>
          <w:rStyle w:val="Strong"/>
          <w:rFonts w:ascii="Calibri" w:hAnsi="Calibri" w:cs="Calibri"/>
          <w:b w:val="0"/>
          <w:bCs w:val="0"/>
          <w:spacing w:val="3"/>
          <w:sz w:val="22"/>
          <w:szCs w:val="22"/>
          <w:shd w:val="clear" w:color="auto" w:fill="FFFFFF"/>
        </w:rPr>
        <w:t>Preliminary Notice and Notice of Adverse Action</w:t>
      </w:r>
    </w:p>
    <w:p w14:paraId="01B32B9E"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rPr>
      </w:pPr>
      <w:r w:rsidRPr="00DD7BD1">
        <w:rPr>
          <w:rStyle w:val="Strong"/>
          <w:rFonts w:ascii="Calibri" w:hAnsi="Calibri" w:cs="Calibri"/>
          <w:b w:val="0"/>
          <w:bCs w:val="0"/>
          <w:spacing w:val="3"/>
          <w:sz w:val="22"/>
          <w:szCs w:val="22"/>
          <w:shd w:val="clear" w:color="auto" w:fill="FFFFFF"/>
        </w:rPr>
        <w:t>Recordkeeping</w:t>
      </w:r>
    </w:p>
    <w:p w14:paraId="28AC1D6E"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Impacted employer should access the March 13</w:t>
      </w:r>
      <w:r w:rsidRPr="00DD7BD1">
        <w:rPr>
          <w:rFonts w:ascii="Calibri" w:hAnsi="Calibri" w:cs="Calibri"/>
          <w:sz w:val="22"/>
          <w:szCs w:val="22"/>
          <w:vertAlign w:val="superscript"/>
        </w:rPr>
        <w:t>th</w:t>
      </w:r>
      <w:r w:rsidRPr="00DD7BD1">
        <w:rPr>
          <w:rFonts w:ascii="Calibri" w:hAnsi="Calibri" w:cs="Calibri"/>
          <w:sz w:val="22"/>
          <w:szCs w:val="22"/>
        </w:rPr>
        <w:t xml:space="preserve"> Jakson Lewis publication </w:t>
      </w:r>
      <w:hyperlink r:id="rId596"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or the LA County government website </w:t>
      </w:r>
      <w:hyperlink r:id="rId597"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to learn more.</w:t>
      </w:r>
    </w:p>
    <w:p w14:paraId="3BAFFCD9" w14:textId="2C9D46A6" w:rsidR="009040C5" w:rsidRPr="00DD7BD1" w:rsidRDefault="00BC2995" w:rsidP="00427CA7">
      <w:pPr>
        <w:pStyle w:val="NormalWeb"/>
        <w:shd w:val="clear" w:color="auto" w:fill="FFFFFF"/>
        <w:spacing w:before="0" w:beforeAutospacing="0" w:after="0" w:afterAutospacing="0"/>
        <w:rPr>
          <w:rFonts w:ascii="Calibri" w:hAnsi="Calibri" w:cs="Calibri"/>
          <w:color w:val="282828"/>
          <w:sz w:val="16"/>
          <w:szCs w:val="16"/>
        </w:rPr>
      </w:pPr>
      <w:r w:rsidRPr="00DD7BD1">
        <w:rPr>
          <w:rFonts w:ascii="Calibri" w:hAnsi="Calibri" w:cs="Calibri"/>
          <w:b/>
          <w:bCs/>
          <w:color w:val="2E74B5" w:themeColor="accent5" w:themeShade="BF"/>
          <w:sz w:val="28"/>
          <w:szCs w:val="28"/>
          <w:shd w:val="clear" w:color="auto" w:fill="FFFFFF"/>
          <w:lang w:val="en"/>
        </w:rPr>
        <w:t xml:space="preserve">   </w:t>
      </w:r>
    </w:p>
    <w:p w14:paraId="0254C6B7"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Style w:val="Strong"/>
          <w:rFonts w:ascii="Calibri" w:eastAsiaTheme="minorHAnsi" w:hAnsi="Calibri" w:cs="Calibri"/>
          <w:b/>
          <w:bCs/>
          <w:kern w:val="0"/>
          <w:sz w:val="28"/>
          <w:szCs w:val="28"/>
        </w:rPr>
        <w:t>Employers Must Notify California Employees of Void Non-Competes</w:t>
      </w:r>
    </w:p>
    <w:p w14:paraId="095804F8"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color w:val="292929"/>
          <w:spacing w:val="3"/>
          <w:highlight w:val="lightGray"/>
          <w:shd w:val="clear" w:color="auto" w:fill="FFFFFF"/>
        </w:rPr>
        <w:t>Employer Takeaway:</w:t>
      </w:r>
      <w:r w:rsidRPr="00DD7BD1">
        <w:rPr>
          <w:rFonts w:ascii="Calibri" w:hAnsi="Calibri" w:cs="Calibri"/>
          <w:b/>
          <w:bCs/>
          <w:color w:val="292929"/>
          <w:spacing w:val="3"/>
          <w:shd w:val="clear" w:color="auto" w:fill="FFFFFF"/>
        </w:rPr>
        <w:t xml:space="preserve"> </w:t>
      </w:r>
      <w:r w:rsidRPr="00DD7BD1">
        <w:rPr>
          <w:rFonts w:ascii="Calibri" w:hAnsi="Calibri" w:cs="Calibri"/>
          <w:spacing w:val="3"/>
          <w:shd w:val="clear" w:color="auto" w:fill="FFFFFF"/>
        </w:rPr>
        <w:t>Deadline for employers to give their California employees a notice that any non-compete agreements are void was February 14, 2024. (Employers who fail to give the notice could face $2,500 per violation plus sanctions.)</w:t>
      </w:r>
    </w:p>
    <w:p w14:paraId="10C35133" w14:textId="77777777" w:rsidR="009040C5" w:rsidRPr="00DD7BD1" w:rsidRDefault="009040C5" w:rsidP="009040C5">
      <w:pPr>
        <w:spacing w:after="0" w:line="240" w:lineRule="auto"/>
        <w:jc w:val="both"/>
        <w:rPr>
          <w:rFonts w:ascii="Calibri" w:hAnsi="Calibri" w:cs="Calibri"/>
          <w:b/>
          <w:bCs/>
          <w:color w:val="292929"/>
          <w:spacing w:val="3"/>
          <w:sz w:val="12"/>
          <w:szCs w:val="12"/>
          <w:highlight w:val="lightGray"/>
          <w:shd w:val="clear" w:color="auto" w:fill="FFFFFF"/>
        </w:rPr>
      </w:pPr>
    </w:p>
    <w:p w14:paraId="300ED75A"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spacing w:val="3"/>
          <w:highlight w:val="lightGray"/>
          <w:shd w:val="clear" w:color="auto" w:fill="FFFFFF"/>
        </w:rPr>
        <w:t>Learn More:</w:t>
      </w:r>
    </w:p>
    <w:p w14:paraId="44686D60" w14:textId="77777777" w:rsidR="009040C5" w:rsidRPr="00DD7BD1" w:rsidRDefault="009040C5" w:rsidP="009040C5">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DD7BD1">
        <w:rPr>
          <w:rFonts w:ascii="Calibri" w:hAnsi="Calibri" w:cs="Calibri"/>
          <w:spacing w:val="3"/>
          <w:u w:val="single"/>
          <w:shd w:val="clear" w:color="auto" w:fill="FFFFFF"/>
        </w:rPr>
        <w:t>any agreement which restrains someone “from engaging in a lawful profession, trade, or business” is against public policy and statutorily void</w:t>
      </w:r>
      <w:r w:rsidRPr="00DD7BD1">
        <w:rPr>
          <w:rFonts w:ascii="Calibri" w:hAnsi="Calibri" w:cs="Calibri"/>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DD7BD1" w:rsidRDefault="009040C5" w:rsidP="009040C5">
      <w:pPr>
        <w:spacing w:after="0" w:line="240" w:lineRule="auto"/>
        <w:jc w:val="both"/>
        <w:rPr>
          <w:rFonts w:ascii="Calibri" w:hAnsi="Calibri" w:cs="Calibri"/>
          <w:spacing w:val="3"/>
          <w:shd w:val="clear" w:color="auto" w:fill="FFFFFF"/>
        </w:rPr>
      </w:pPr>
    </w:p>
    <w:p w14:paraId="219AE18C" w14:textId="77777777" w:rsidR="009040C5" w:rsidRPr="00DD7BD1" w:rsidRDefault="009040C5" w:rsidP="009040C5">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DD7BD1" w:rsidRDefault="009040C5" w:rsidP="009040C5">
      <w:pPr>
        <w:pStyle w:val="Heading1"/>
        <w:shd w:val="clear" w:color="auto" w:fill="FFFFFF"/>
        <w:spacing w:before="0" w:beforeAutospacing="0" w:after="0" w:afterAutospacing="0"/>
        <w:rPr>
          <w:rFonts w:ascii="Calibri" w:hAnsi="Calibri" w:cs="Calibri"/>
          <w:color w:val="C00000"/>
          <w:sz w:val="16"/>
          <w:szCs w:val="16"/>
        </w:rPr>
      </w:pPr>
    </w:p>
    <w:p w14:paraId="76B49EF4" w14:textId="47CEED67" w:rsidR="009040C5" w:rsidRPr="00DD7BD1" w:rsidRDefault="009040C5" w:rsidP="009040C5">
      <w:pPr>
        <w:pStyle w:val="Heading1"/>
        <w:shd w:val="clear" w:color="auto" w:fill="FFFFFF"/>
        <w:spacing w:before="0" w:beforeAutospacing="0" w:after="0" w:afterAutospacing="0"/>
        <w:jc w:val="center"/>
        <w:rPr>
          <w:rStyle w:val="Strong"/>
          <w:rFonts w:ascii="Calibri" w:hAnsi="Calibri" w:cs="Calibri"/>
          <w:b/>
          <w:bCs/>
          <w:kern w:val="0"/>
          <w:sz w:val="28"/>
          <w:szCs w:val="28"/>
        </w:rPr>
      </w:pPr>
      <w:r w:rsidRPr="00DD7BD1">
        <w:rPr>
          <w:rFonts w:ascii="Calibri" w:hAnsi="Calibri" w:cs="Calibri"/>
          <w:sz w:val="28"/>
          <w:szCs w:val="28"/>
        </w:rPr>
        <w:t>N</w:t>
      </w:r>
      <w:r w:rsidRPr="00DD7BD1">
        <w:rPr>
          <w:rStyle w:val="Strong"/>
          <w:rFonts w:ascii="Calibri" w:hAnsi="Calibri" w:cs="Calibri"/>
          <w:b/>
          <w:bCs/>
          <w:kern w:val="0"/>
          <w:sz w:val="28"/>
          <w:szCs w:val="28"/>
        </w:rPr>
        <w:t>ew Workplace Violence Prevention Mandate</w:t>
      </w:r>
    </w:p>
    <w:p w14:paraId="0A42E7F0" w14:textId="77777777" w:rsidR="009040C5" w:rsidRPr="00DD7BD1" w:rsidRDefault="009040C5" w:rsidP="009040C5">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 To learn more, access a recent McDermott, Will &amp; Emery Legal White Paper &amp; Special Report </w:t>
      </w:r>
      <w:hyperlink r:id="rId598" w:history="1">
        <w:r w:rsidRPr="00DD7BD1">
          <w:rPr>
            <w:rStyle w:val="Hyperlink"/>
            <w:rFonts w:ascii="Calibri" w:hAnsi="Calibri" w:cs="Calibri"/>
            <w:shd w:val="clear" w:color="auto" w:fill="FFFFFF"/>
          </w:rPr>
          <w:t>HERE</w:t>
        </w:r>
      </w:hyperlink>
    </w:p>
    <w:p w14:paraId="2BCC529D" w14:textId="5FDE40B0" w:rsidR="002006C2" w:rsidRPr="00DD7BD1" w:rsidRDefault="00BC2995" w:rsidP="008C6649">
      <w:pPr>
        <w:spacing w:after="0" w:line="240" w:lineRule="auto"/>
        <w:rPr>
          <w:rStyle w:val="Strong"/>
          <w:rFonts w:ascii="Calibri" w:hAnsi="Calibri" w:cs="Calibri"/>
          <w:color w:val="2E74B5" w:themeColor="accent5" w:themeShade="BF"/>
          <w:sz w:val="16"/>
          <w:szCs w:val="16"/>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                 </w:t>
      </w:r>
    </w:p>
    <w:p w14:paraId="7D8426F8" w14:textId="52088467" w:rsidR="00022BF0" w:rsidRPr="00DD7BD1" w:rsidRDefault="00022BF0" w:rsidP="008561D0">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Style w:val="Strong"/>
          <w:rFonts w:ascii="Calibri" w:eastAsia="Times New Roman" w:hAnsi="Calibri" w:cs="Calibri"/>
          <w:sz w:val="28"/>
          <w:szCs w:val="28"/>
        </w:rPr>
        <w:t>CA Labor Notice Reminders</w:t>
      </w:r>
    </w:p>
    <w:p w14:paraId="51D7E590" w14:textId="77777777" w:rsidR="00022BF0" w:rsidRPr="00DD7BD1" w:rsidRDefault="00022BF0" w:rsidP="00B06DBE">
      <w:pPr>
        <w:spacing w:after="0" w:line="240" w:lineRule="auto"/>
        <w:jc w:val="both"/>
        <w:rPr>
          <w:rFonts w:ascii="Calibri" w:hAnsi="Calibri" w:cs="Calibri"/>
          <w:color w:val="000000"/>
          <w:sz w:val="23"/>
          <w:szCs w:val="23"/>
          <w:shd w:val="clear" w:color="auto" w:fill="FFFFFF"/>
        </w:rPr>
      </w:pPr>
      <w:r w:rsidRPr="00DD7BD1">
        <w:rPr>
          <w:rStyle w:val="Strong"/>
          <w:rFonts w:ascii="Calibri" w:eastAsia="Times New Roman" w:hAnsi="Calibri" w:cs="Calibri"/>
          <w:sz w:val="23"/>
          <w:szCs w:val="23"/>
        </w:rPr>
        <w:t>Updated § 2810.5 Notice</w:t>
      </w:r>
    </w:p>
    <w:p w14:paraId="628EADB0" w14:textId="77777777" w:rsidR="00022BF0"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March 1, 2024. The current notice is located </w:t>
      </w:r>
      <w:hyperlink r:id="rId599"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hyperlink r:id="rId600" w:tgtFrame="_blank" w:history="1">
        <w:r w:rsidRPr="00DD7BD1">
          <w:rPr>
            <w:rStyle w:val="Hyperlink"/>
            <w:rFonts w:ascii="Calibri" w:hAnsi="Calibri" w:cs="Calibri"/>
            <w:sz w:val="22"/>
            <w:szCs w:val="22"/>
          </w:rPr>
          <w:t>CA AB 636</w:t>
        </w:r>
      </w:hyperlink>
      <w:r w:rsidRPr="00DD7BD1">
        <w:rPr>
          <w:rFonts w:ascii="Calibri" w:hAnsi="Calibri" w:cs="Calibri"/>
          <w:color w:val="282828"/>
          <w:sz w:val="22"/>
          <w:szCs w:val="22"/>
        </w:rPr>
        <w:t> </w:t>
      </w:r>
      <w:r w:rsidRPr="00DD7BD1">
        <w:rPr>
          <w:rFonts w:ascii="Calibri" w:hAnsi="Calibri" w:cs="Calibri"/>
          <w:sz w:val="22"/>
          <w:szCs w:val="22"/>
        </w:rPr>
        <w:t>was signed by the governor on October 8, 2023)</w:t>
      </w:r>
    </w:p>
    <w:p w14:paraId="33D66439" w14:textId="77777777" w:rsidR="008561D0" w:rsidRPr="00DD7BD1" w:rsidRDefault="008561D0" w:rsidP="008561D0">
      <w:pPr>
        <w:pStyle w:val="NormalWeb"/>
        <w:shd w:val="clear" w:color="auto" w:fill="FFFFFF"/>
        <w:spacing w:before="0" w:beforeAutospacing="0" w:after="0" w:afterAutospacing="0"/>
        <w:jc w:val="both"/>
        <w:rPr>
          <w:rFonts w:ascii="Calibri" w:hAnsi="Calibri" w:cs="Calibri"/>
          <w:sz w:val="16"/>
          <w:szCs w:val="16"/>
        </w:rPr>
      </w:pPr>
    </w:p>
    <w:p w14:paraId="16AA13C1" w14:textId="77777777" w:rsidR="00022BF0" w:rsidRPr="00DD7BD1" w:rsidRDefault="00022BF0" w:rsidP="008561D0">
      <w:pPr>
        <w:pStyle w:val="Heading1"/>
        <w:shd w:val="clear" w:color="auto" w:fill="FFFFFF"/>
        <w:spacing w:before="0" w:beforeAutospacing="0" w:after="0" w:afterAutospacing="0"/>
        <w:rPr>
          <w:rStyle w:val="Strong"/>
          <w:rFonts w:ascii="Calibri" w:hAnsi="Calibri" w:cs="Calibri"/>
          <w:b/>
          <w:bCs/>
          <w:kern w:val="0"/>
          <w:sz w:val="23"/>
          <w:szCs w:val="23"/>
        </w:rPr>
      </w:pPr>
      <w:r w:rsidRPr="00DD7BD1">
        <w:rPr>
          <w:rStyle w:val="Strong"/>
          <w:rFonts w:ascii="Calibri" w:hAnsi="Calibri" w:cs="Calibri"/>
          <w:b/>
          <w:bCs/>
          <w:kern w:val="0"/>
          <w:sz w:val="23"/>
          <w:szCs w:val="23"/>
        </w:rPr>
        <w:t>New Notice Requirement for New Hires</w:t>
      </w:r>
    </w:p>
    <w:p w14:paraId="538A7135" w14:textId="4CDC8CB8" w:rsidR="001A2C87"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601" w:tgtFrame="_blank" w:history="1">
        <w:r w:rsidRPr="00DD7BD1">
          <w:rPr>
            <w:rStyle w:val="Hyperlink"/>
            <w:rFonts w:ascii="Calibri" w:hAnsi="Calibri" w:cs="Calibri"/>
            <w:sz w:val="22"/>
            <w:szCs w:val="22"/>
          </w:rPr>
          <w:t>NOTICE TO EMPLOYEE</w:t>
        </w:r>
      </w:hyperlink>
      <w:r w:rsidRPr="00DD7BD1">
        <w:rPr>
          <w:rFonts w:ascii="Calibri" w:hAnsi="Calibri" w:cs="Calibri"/>
          <w:color w:val="282828"/>
          <w:sz w:val="22"/>
          <w:szCs w:val="22"/>
        </w:rPr>
        <w:t> </w:t>
      </w:r>
      <w:r w:rsidRPr="00DD7BD1">
        <w:rPr>
          <w:rFonts w:ascii="Calibri" w:hAnsi="Calibri" w:cs="Calibri"/>
          <w:sz w:val="22"/>
          <w:szCs w:val="22"/>
        </w:rPr>
        <w:t>template.</w:t>
      </w:r>
    </w:p>
    <w:p w14:paraId="304696B3" w14:textId="77777777" w:rsidR="00022BF0" w:rsidRPr="00DD7BD1" w:rsidRDefault="00022BF0" w:rsidP="00022BF0">
      <w:pPr>
        <w:pStyle w:val="NormalWeb"/>
        <w:shd w:val="clear" w:color="auto" w:fill="FFFFFF"/>
        <w:spacing w:before="0" w:beforeAutospacing="0" w:after="0" w:afterAutospacing="0"/>
        <w:rPr>
          <w:rFonts w:ascii="Calibri" w:hAnsi="Calibri" w:cs="Calibri"/>
          <w:sz w:val="12"/>
          <w:szCs w:val="12"/>
        </w:rPr>
      </w:pPr>
    </w:p>
    <w:p w14:paraId="1F102420" w14:textId="04F19A23" w:rsidR="00022BF0" w:rsidRPr="00DD7BD1" w:rsidRDefault="00022BF0" w:rsidP="00022BF0">
      <w:pPr>
        <w:shd w:val="clear" w:color="auto" w:fill="FFFFFF"/>
        <w:spacing w:after="0" w:line="240" w:lineRule="auto"/>
        <w:jc w:val="center"/>
        <w:rPr>
          <w:rStyle w:val="typographytype-sc-ws1d2d-0"/>
          <w:rFonts w:ascii="Calibri" w:hAnsi="Calibri" w:cs="Calibri"/>
          <w:color w:val="282828"/>
        </w:rPr>
      </w:pPr>
      <w:r w:rsidRPr="00DD7BD1">
        <w:rPr>
          <w:rStyle w:val="Strong"/>
          <w:rFonts w:ascii="Calibri" w:eastAsia="Times New Roman" w:hAnsi="Calibri" w:cs="Calibri"/>
          <w:sz w:val="28"/>
          <w:szCs w:val="28"/>
        </w:rPr>
        <w:t>California Updates Criminal History Regulations</w:t>
      </w:r>
    </w:p>
    <w:p w14:paraId="4946A3F6"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If an applicant voluntarily discloses their criminal history, employers can’t consider that information until after a conditional job offer is made (assuming the record can be considered at all).  </w:t>
      </w:r>
    </w:p>
    <w:p w14:paraId="0BBF26F4"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 but don’t have to, use the </w:t>
      </w:r>
      <w:hyperlink r:id="rId602" w:tgtFrame="_blank" w:history="1">
        <w:r w:rsidRPr="00DD7BD1">
          <w:rPr>
            <w:rStyle w:val="Hyperlink"/>
            <w:rFonts w:ascii="Calibri" w:eastAsia="Times New Roman" w:hAnsi="Calibri" w:cs="Calibri"/>
          </w:rPr>
          <w:t>sample notices</w:t>
        </w:r>
      </w:hyperlink>
      <w:r w:rsidRPr="00DD7BD1">
        <w:rPr>
          <w:rFonts w:ascii="Calibri" w:hAnsi="Calibri" w:cs="Calibri"/>
          <w:color w:val="282828"/>
        </w:rPr>
        <w:t> </w:t>
      </w:r>
      <w:r w:rsidRPr="00DD7BD1">
        <w:rPr>
          <w:rFonts w:ascii="Calibri" w:hAnsi="Calibri" w:cs="Calibri"/>
        </w:rPr>
        <w:t>provided by the California Civil Rights Department when communicating with applicants about employment decisions based on criminal history. </w:t>
      </w:r>
    </w:p>
    <w:p w14:paraId="7CFB6889"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603"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p>
    <w:p w14:paraId="2CA762F1"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1CB9ECD7" w14:textId="77777777" w:rsidR="00CD70B8" w:rsidRPr="00DD7BD1" w:rsidRDefault="00CD70B8"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63AB3E0D" w14:textId="3738819E" w:rsidR="00997DBE" w:rsidRPr="00DD7BD1" w:rsidRDefault="00022BF0" w:rsidP="00997DBE">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Colorado</w:t>
      </w:r>
    </w:p>
    <w:p w14:paraId="279900F7" w14:textId="77777777" w:rsidR="0086081F" w:rsidRPr="00DD7BD1" w:rsidRDefault="0086081F" w:rsidP="0086081F">
      <w:pPr>
        <w:pStyle w:val="bodytext0"/>
        <w:ind w:left="1080"/>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Rules on Pay During Paid Sick Leave – </w:t>
      </w:r>
      <w:r w:rsidRPr="00DD7BD1">
        <w:rPr>
          <w:rFonts w:ascii="Calibri" w:hAnsi="Calibri" w:cs="Calibri"/>
          <w:b/>
          <w:bCs/>
          <w:color w:val="C00000"/>
          <w:sz w:val="28"/>
          <w:szCs w:val="28"/>
          <w:shd w:val="clear" w:color="auto" w:fill="FFFFFF"/>
          <w:lang w:val="en"/>
        </w:rPr>
        <w:t>Eff Feb 1, 2026</w:t>
      </w:r>
    </w:p>
    <w:p w14:paraId="33C6C106"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Colorado Department of Labor and Employment has revised the</w:t>
      </w:r>
      <w:r w:rsidRPr="00DD7BD1">
        <w:rPr>
          <w:rFonts w:cs="Calibri"/>
          <w:szCs w:val="22"/>
        </w:rPr>
        <w:t xml:space="preserve"> </w:t>
      </w:r>
      <w:hyperlink r:id="rId604" w:history="1">
        <w:r w:rsidRPr="00DD7BD1">
          <w:rPr>
            <w:rStyle w:val="Hyperlink"/>
            <w:rFonts w:cs="Calibri"/>
            <w:szCs w:val="22"/>
          </w:rPr>
          <w:t>rules</w:t>
        </w:r>
      </w:hyperlink>
      <w:r w:rsidRPr="00DD7BD1">
        <w:rPr>
          <w:rFonts w:cs="Calibri"/>
          <w:szCs w:val="22"/>
        </w:rPr>
        <w:t xml:space="preserve"> </w:t>
      </w:r>
      <w:r w:rsidRPr="00DD7BD1">
        <w:rPr>
          <w:rFonts w:cs="Calibri"/>
          <w:color w:val="auto"/>
          <w:szCs w:val="22"/>
        </w:rPr>
        <w:t xml:space="preserve">for calculating pay during employee leave under the Healthy Families and Workplaces Act (HFWA), the state’s paid sick leave law and clarifies the pay rate for different employee groups. The amended rules address specific scenarios, such as when employees are paid by </w:t>
      </w:r>
      <w:r w:rsidRPr="00DD7BD1">
        <w:rPr>
          <w:rFonts w:cs="Calibri"/>
          <w:color w:val="auto"/>
          <w:szCs w:val="22"/>
          <w:u w:val="single"/>
        </w:rPr>
        <w:t>commission, piece rate, salary or a combination, and when employees work at multiple rates</w:t>
      </w:r>
      <w:r w:rsidRPr="00DD7BD1">
        <w:rPr>
          <w:rFonts w:cs="Calibri"/>
          <w:color w:val="auto"/>
          <w:szCs w:val="22"/>
        </w:rPr>
        <w:t>.</w:t>
      </w:r>
    </w:p>
    <w:p w14:paraId="6AE7CCFB" w14:textId="77777777" w:rsidR="0086081F" w:rsidRPr="00DD7BD1" w:rsidRDefault="0086081F" w:rsidP="0086081F">
      <w:pPr>
        <w:pStyle w:val="BodyText"/>
        <w:spacing w:after="0" w:line="240" w:lineRule="auto"/>
        <w:ind w:left="90"/>
        <w:rPr>
          <w:rFonts w:cs="Calibri"/>
          <w:noProof/>
          <w:color w:val="auto"/>
          <w:szCs w:val="22"/>
        </w:rPr>
      </w:pPr>
      <w:r w:rsidRPr="00DD7BD1">
        <w:rPr>
          <w:rFonts w:cs="Calibri"/>
          <w:noProof/>
          <w:color w:val="auto"/>
          <w:szCs w:val="22"/>
        </w:rPr>
        <w:t xml:space="preserve">The HFWA statute states that leave must be paid at the same rate the employee normally earns during hours worked, not including overtime premiums, bonuses or holiday pay. </w:t>
      </w:r>
    </w:p>
    <w:p w14:paraId="59AFB62A"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rules provide implementation guidance, with the amendments addressing specific groups of employees, as follows:</w:t>
      </w:r>
    </w:p>
    <w:p w14:paraId="44EC4233"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paid solely on a salary, commission or piece-rate basis</w:t>
      </w:r>
      <w:r w:rsidRPr="00DD7BD1">
        <w:rPr>
          <w:rFonts w:cs="Calibri"/>
          <w:color w:val="auto"/>
          <w:szCs w:val="22"/>
        </w:rPr>
        <w:t>: These workers do not earn additional compensation solely for using leave, if the leave does not impact their total salary, commissions or piece pay;</w:t>
      </w:r>
    </w:p>
    <w:p w14:paraId="36B4694F"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who receive a wage plus commissions</w:t>
      </w:r>
      <w:r w:rsidRPr="00DD7BD1">
        <w:rPr>
          <w:rFonts w:cs="Calibri"/>
          <w:color w:val="auto"/>
          <w:szCs w:val="22"/>
        </w:rPr>
        <w:t>: The sick leave pay rate does not include commissions for these workers;</w:t>
      </w:r>
    </w:p>
    <w:p w14:paraId="4238B9D1" w14:textId="77777777" w:rsidR="0086081F" w:rsidRPr="00DD7BD1" w:rsidRDefault="0086081F" w:rsidP="0086081F">
      <w:pPr>
        <w:pStyle w:val="Bullet"/>
        <w:spacing w:line="240" w:lineRule="auto"/>
        <w:ind w:left="810"/>
        <w:rPr>
          <w:rFonts w:cs="Calibri"/>
          <w:color w:val="auto"/>
          <w:szCs w:val="22"/>
        </w:rPr>
      </w:pPr>
      <w:r w:rsidRPr="00DD7BD1">
        <w:rPr>
          <w:rStyle w:val="BodyTextChar"/>
          <w:rFonts w:cs="Calibri"/>
          <w:color w:val="auto"/>
          <w:szCs w:val="22"/>
        </w:rPr>
        <w:t>Employees who work at multiple rates (including shift differentials and separate jobs for the same employer): These employees are paid the rate they would have earned during the period of leave</w:t>
      </w:r>
      <w:r w:rsidRPr="00DD7BD1">
        <w:rPr>
          <w:rFonts w:cs="Calibri"/>
          <w:color w:val="auto"/>
          <w:szCs w:val="22"/>
        </w:rPr>
        <w:t>;</w:t>
      </w:r>
    </w:p>
    <w:p w14:paraId="153D50A8"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for whom the pay rate for the period of leave is unknown:</w:t>
      </w:r>
      <w:r w:rsidRPr="00DD7BD1">
        <w:rPr>
          <w:rFonts w:cs="Calibri"/>
          <w:color w:val="auto"/>
          <w:szCs w:val="22"/>
        </w:rPr>
        <w:t xml:space="preserve"> This rate is calculated based on:</w:t>
      </w:r>
    </w:p>
    <w:p w14:paraId="6C4C0CAD" w14:textId="77777777" w:rsidR="0086081F" w:rsidRPr="00DD7BD1" w:rsidRDefault="0086081F" w:rsidP="0086081F">
      <w:pPr>
        <w:pStyle w:val="Bullet"/>
        <w:numPr>
          <w:ilvl w:val="1"/>
          <w:numId w:val="1"/>
        </w:numPr>
        <w:spacing w:line="240" w:lineRule="auto"/>
        <w:ind w:left="1260"/>
        <w:rPr>
          <w:rStyle w:val="BulletChar"/>
          <w:rFonts w:cs="Calibri"/>
          <w:color w:val="auto"/>
          <w:szCs w:val="22"/>
        </w:rPr>
      </w:pPr>
      <w:r w:rsidRPr="00DD7BD1">
        <w:rPr>
          <w:rFonts w:cs="Calibri"/>
          <w:color w:val="auto"/>
          <w:szCs w:val="22"/>
        </w:rPr>
        <w:t xml:space="preserve">The employee’s pay over a “lookback” period of </w:t>
      </w:r>
      <w:r w:rsidRPr="00DD7BD1">
        <w:rPr>
          <w:rStyle w:val="BulletChar"/>
          <w:rFonts w:cs="Calibri"/>
          <w:color w:val="auto"/>
          <w:szCs w:val="22"/>
        </w:rPr>
        <w:t>the 30 calendar days preceding the leave;</w:t>
      </w:r>
    </w:p>
    <w:p w14:paraId="3C8F4C46"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 xml:space="preserve">(At the employer’s option), the most recent full pay period; or </w:t>
      </w:r>
    </w:p>
    <w:p w14:paraId="606DE3FB"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Workweeks totaling 28 to 31 days.</w:t>
      </w:r>
    </w:p>
    <w:p w14:paraId="667813B5" w14:textId="6F0FC1E5" w:rsidR="0086081F" w:rsidRPr="00DD7BD1" w:rsidRDefault="0086081F" w:rsidP="0086081F">
      <w:pPr>
        <w:pStyle w:val="Bullet"/>
        <w:numPr>
          <w:ilvl w:val="0"/>
          <w:numId w:val="0"/>
        </w:numPr>
        <w:spacing w:line="240" w:lineRule="auto"/>
        <w:ind w:left="1260"/>
        <w:rPr>
          <w:rFonts w:cs="Calibri"/>
          <w:color w:val="auto"/>
          <w:szCs w:val="22"/>
        </w:rPr>
      </w:pPr>
      <w:r w:rsidRPr="00DD7BD1">
        <w:rPr>
          <w:rFonts w:cs="Calibri"/>
          <w:color w:val="auto"/>
          <w:szCs w:val="22"/>
        </w:rPr>
        <w:t>The pay rate calculation for these workers includes hourly or salary rates, shift differentials, tip credits and commissions (except where excluded per above), but not overtime premiums, bonuses or holiday leave pay. If an employee has not yet worked a full lookback period, then the period consists of all days worked before the leave.</w:t>
      </w:r>
    </w:p>
    <w:p w14:paraId="506E0111" w14:textId="77777777" w:rsidR="0086081F" w:rsidRPr="00DD7BD1" w:rsidRDefault="0086081F" w:rsidP="0086081F">
      <w:pPr>
        <w:pStyle w:val="Bullet"/>
        <w:numPr>
          <w:ilvl w:val="0"/>
          <w:numId w:val="0"/>
        </w:numPr>
        <w:spacing w:line="240" w:lineRule="auto"/>
        <w:ind w:left="1260"/>
        <w:rPr>
          <w:rFonts w:cs="Calibri"/>
          <w:color w:val="auto"/>
          <w:szCs w:val="22"/>
        </w:rPr>
      </w:pPr>
    </w:p>
    <w:p w14:paraId="32D00B07" w14:textId="6453307D" w:rsidR="00847198" w:rsidRPr="00DD7BD1" w:rsidRDefault="00847198" w:rsidP="0084719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FAMLI Headcount Report Filing</w:t>
      </w:r>
      <w:r w:rsidRPr="00DD7BD1">
        <w:rPr>
          <w:rFonts w:ascii="Calibri" w:hAnsi="Calibri" w:cs="Calibri"/>
          <w:b/>
          <w:bCs/>
          <w:color w:val="C00000"/>
          <w:sz w:val="28"/>
          <w:szCs w:val="28"/>
          <w:shd w:val="clear" w:color="auto" w:fill="FFFFFF"/>
          <w:lang w:val="en"/>
        </w:rPr>
        <w:t xml:space="preserve"> Due Feb 28, 2026</w:t>
      </w:r>
    </w:p>
    <w:p w14:paraId="7243DA24" w14:textId="77777777" w:rsidR="00847198" w:rsidRPr="00DD7BD1" w:rsidRDefault="00847198" w:rsidP="00847198">
      <w:pPr>
        <w:ind w:right="-90"/>
        <w:rPr>
          <w:rFonts w:ascii="Calibri" w:hAnsi="Calibri" w:cs="Calibri"/>
        </w:rPr>
      </w:pPr>
      <w:r w:rsidRPr="00DD7BD1">
        <w:rPr>
          <w:rFonts w:ascii="Calibri" w:hAnsi="Calibri" w:cs="Calibri"/>
        </w:rPr>
        <w:t xml:space="preserve">Employers with employees in the state of Colorado are required to register with Colorado FAMLI (Family and Medical Leave Insurance) and </w:t>
      </w:r>
      <w:r w:rsidRPr="00DD7BD1">
        <w:rPr>
          <w:rFonts w:ascii="Calibri" w:hAnsi="Calibri" w:cs="Calibri"/>
          <w:shd w:val="clear" w:color="auto" w:fill="FFFFFF"/>
        </w:rPr>
        <w:t>update their total employee headcount every year with the State to ensure they are accurately paying Colorado FAMLI premium rates.</w:t>
      </w:r>
      <w:r w:rsidRPr="00DD7BD1">
        <w:rPr>
          <w:rFonts w:ascii="Calibri" w:hAnsi="Calibri" w:cs="Calibri"/>
        </w:rPr>
        <w:t xml:space="preserve">  </w:t>
      </w:r>
    </w:p>
    <w:p w14:paraId="301485AC" w14:textId="77777777" w:rsidR="00847198" w:rsidRPr="00DD7BD1" w:rsidRDefault="00847198" w:rsidP="00847198">
      <w:pPr>
        <w:ind w:right="-90"/>
        <w:rPr>
          <w:rFonts w:ascii="Calibri" w:hAnsi="Calibri" w:cs="Calibri"/>
          <w:sz w:val="16"/>
          <w:szCs w:val="16"/>
        </w:rPr>
      </w:pPr>
    </w:p>
    <w:p w14:paraId="55C44819" w14:textId="2D56CE65" w:rsidR="00847198" w:rsidRPr="00DD7BD1" w:rsidRDefault="00847198" w:rsidP="00847198">
      <w:pPr>
        <w:ind w:right="-90"/>
        <w:rPr>
          <w:rFonts w:ascii="Calibri" w:hAnsi="Calibri" w:cs="Calibri"/>
          <w:shd w:val="clear" w:color="auto" w:fill="FFFFFF"/>
        </w:rPr>
      </w:pPr>
      <w:r w:rsidRPr="00DD7BD1">
        <w:rPr>
          <w:rFonts w:ascii="Calibri" w:hAnsi="Calibri" w:cs="Calibri"/>
          <w:shd w:val="clear" w:color="auto" w:fill="FFFFFF"/>
        </w:rPr>
        <w:t xml:space="preserve">If your Annual Total Employee headcount is not updated by February 28, the FAMLI Division will </w:t>
      </w:r>
      <w:r w:rsidRPr="00DD7BD1">
        <w:rPr>
          <w:rFonts w:ascii="Calibri" w:hAnsi="Calibri" w:cs="Calibri"/>
          <w:u w:val="single"/>
          <w:shd w:val="clear" w:color="auto" w:fill="FFFFFF"/>
        </w:rPr>
        <w:t>assume you have 10 or more employees</w:t>
      </w:r>
      <w:r w:rsidRPr="00DD7BD1">
        <w:rPr>
          <w:rFonts w:ascii="Calibri" w:hAnsi="Calibri" w:cs="Calibri"/>
          <w:shd w:val="clear" w:color="auto" w:fill="FFFFFF"/>
        </w:rPr>
        <w:t>, and be required to send in the applicable percentage of wages each quarter. </w:t>
      </w:r>
    </w:p>
    <w:p w14:paraId="660ED05B" w14:textId="77777777" w:rsidR="00847198" w:rsidRPr="00DD7BD1" w:rsidRDefault="00847198" w:rsidP="00847198">
      <w:pPr>
        <w:ind w:right="-90"/>
        <w:rPr>
          <w:rFonts w:ascii="Calibri" w:hAnsi="Calibri" w:cs="Calibri"/>
          <w:b/>
          <w:bCs/>
          <w:shd w:val="clear" w:color="auto" w:fill="FFFFFF"/>
        </w:rPr>
      </w:pPr>
      <w:r w:rsidRPr="00DD7BD1">
        <w:rPr>
          <w:rFonts w:ascii="Calibri" w:hAnsi="Calibri" w:cs="Calibri"/>
          <w:b/>
          <w:bCs/>
          <w:shd w:val="clear" w:color="auto" w:fill="FFFFFF"/>
        </w:rPr>
        <w:t>Counting Employees:</w:t>
      </w:r>
    </w:p>
    <w:p w14:paraId="615C14C3" w14:textId="77777777" w:rsidR="00847198" w:rsidRPr="00DD7BD1" w:rsidRDefault="00847198" w:rsidP="00847198">
      <w:pPr>
        <w:ind w:right="-90"/>
        <w:jc w:val="center"/>
        <w:rPr>
          <w:rFonts w:ascii="Calibri" w:hAnsi="Calibri" w:cs="Calibri"/>
          <w:shd w:val="clear" w:color="auto" w:fill="FFFFFF"/>
        </w:rPr>
      </w:pPr>
      <w:r w:rsidRPr="00DD7BD1">
        <w:rPr>
          <w:rFonts w:ascii="Calibri" w:hAnsi="Calibri" w:cs="Calibri"/>
          <w:noProof/>
          <w:shd w:val="clear" w:color="auto" w:fill="FFFFFF"/>
        </w:rPr>
        <w:drawing>
          <wp:inline distT="0" distB="0" distL="0" distR="0" wp14:anchorId="50E90325" wp14:editId="162A7BAF">
            <wp:extent cx="4941672" cy="2537138"/>
            <wp:effectExtent l="0" t="0" r="0" b="0"/>
            <wp:docPr id="947636921" name="Picture 1" descr="A poster with different types of work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6921" name="Picture 1" descr="A poster with different types of workers&#10;&#10;AI-generated content may be incorrect."/>
                    <pic:cNvPicPr/>
                  </pic:nvPicPr>
                  <pic:blipFill>
                    <a:blip r:embed="rId605"/>
                    <a:stretch>
                      <a:fillRect/>
                    </a:stretch>
                  </pic:blipFill>
                  <pic:spPr>
                    <a:xfrm>
                      <a:off x="0" y="0"/>
                      <a:ext cx="4968975" cy="2551156"/>
                    </a:xfrm>
                    <a:prstGeom prst="rect">
                      <a:avLst/>
                    </a:prstGeom>
                  </pic:spPr>
                </pic:pic>
              </a:graphicData>
            </a:graphic>
          </wp:inline>
        </w:drawing>
      </w:r>
    </w:p>
    <w:p w14:paraId="249577A6" w14:textId="77777777" w:rsidR="00847198" w:rsidRPr="00DD7BD1" w:rsidRDefault="00847198" w:rsidP="00847198">
      <w:pPr>
        <w:ind w:right="-90"/>
        <w:rPr>
          <w:rFonts w:ascii="Calibri" w:hAnsi="Calibri" w:cs="Calibri"/>
          <w:b/>
          <w:bCs/>
          <w:shd w:val="clear" w:color="auto" w:fill="FFFFFF"/>
          <w:lang w:val="en"/>
        </w:rPr>
      </w:pPr>
    </w:p>
    <w:p w14:paraId="151BE9FB" w14:textId="25E95165" w:rsidR="00847198" w:rsidRPr="00DD7BD1" w:rsidRDefault="00847198" w:rsidP="00847198">
      <w:pPr>
        <w:ind w:right="-90"/>
        <w:rPr>
          <w:rFonts w:ascii="Calibri" w:hAnsi="Calibri" w:cs="Calibri"/>
          <w:b/>
          <w:bCs/>
          <w:color w:val="C00000"/>
          <w:shd w:val="clear" w:color="auto" w:fill="FFFFFF"/>
          <w:lang w:val="en"/>
        </w:rPr>
      </w:pPr>
      <w:r w:rsidRPr="00DD7BD1">
        <w:rPr>
          <w:rFonts w:ascii="Calibri" w:hAnsi="Calibri" w:cs="Calibri"/>
          <w:b/>
          <w:bCs/>
          <w:shd w:val="clear" w:color="auto" w:fill="FFFFFF"/>
          <w:lang w:val="en"/>
        </w:rPr>
        <w:t xml:space="preserve">Complete the Reporting Requirements on the State’s Portal </w:t>
      </w:r>
      <w:r w:rsidRPr="00DD7BD1">
        <w:rPr>
          <w:rFonts w:ascii="Calibri" w:hAnsi="Calibri" w:cs="Calibri"/>
        </w:rPr>
        <w:t xml:space="preserve">  </w:t>
      </w:r>
      <w:hyperlink r:id="rId606" w:tgtFrame="_blank" w:tooltip="https://famli.colorado.gov/employers" w:history="1">
        <w:r w:rsidRPr="00DD7BD1">
          <w:rPr>
            <w:rStyle w:val="Hyperlink"/>
            <w:rFonts w:ascii="Calibri" w:hAnsi="Calibri" w:cs="Calibri"/>
          </w:rPr>
          <w:t>https://famli.colorado.gov/employers</w:t>
        </w:r>
      </w:hyperlink>
    </w:p>
    <w:p w14:paraId="6AEC1161" w14:textId="4A3A7CE7" w:rsidR="00847198" w:rsidRPr="00DD7BD1" w:rsidRDefault="00847198" w:rsidP="00847198">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Updated FAMLI Notice Released &amp; Upcoming Coverage of Neonatal Care</w:t>
      </w:r>
    </w:p>
    <w:p w14:paraId="7D63B636" w14:textId="77777777" w:rsidR="00847198" w:rsidRPr="00DD7BD1" w:rsidRDefault="00847198" w:rsidP="00847198">
      <w:pPr>
        <w:pStyle w:val="BodyText"/>
        <w:rPr>
          <w:rFonts w:cs="Calibri"/>
          <w:color w:val="auto"/>
          <w:szCs w:val="22"/>
        </w:rPr>
      </w:pPr>
      <w:r w:rsidRPr="00DD7BD1">
        <w:rPr>
          <w:rFonts w:cs="Calibri"/>
          <w:color w:val="auto"/>
          <w:szCs w:val="22"/>
        </w:rPr>
        <w:t xml:space="preserve">Colorado has posted an updated </w:t>
      </w:r>
      <w:hyperlink r:id="rId607"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2026 for its paid family and medical leave program, called FAMLI. The most significant change in the updated notice is that it now reflects the addition of neonatal care leave.</w:t>
      </w:r>
    </w:p>
    <w:p w14:paraId="75523F1C" w14:textId="77777777" w:rsidR="00847198" w:rsidRPr="00DD7BD1" w:rsidRDefault="00847198" w:rsidP="00847198">
      <w:pPr>
        <w:pStyle w:val="SubHeader"/>
        <w:rPr>
          <w:rFonts w:cs="Calibri"/>
          <w:color w:val="auto"/>
          <w:sz w:val="22"/>
          <w:szCs w:val="22"/>
        </w:rPr>
      </w:pPr>
      <w:r w:rsidRPr="00DD7BD1">
        <w:rPr>
          <w:rFonts w:cs="Calibri"/>
          <w:color w:val="auto"/>
          <w:sz w:val="22"/>
          <w:szCs w:val="22"/>
        </w:rPr>
        <w:t>Neonatal Care Leave</w:t>
      </w:r>
    </w:p>
    <w:p w14:paraId="68BCECA9" w14:textId="4F7B5A0D" w:rsidR="00847198" w:rsidRPr="00DD7BD1" w:rsidRDefault="00847198" w:rsidP="00847198">
      <w:pPr>
        <w:pStyle w:val="BodyText"/>
        <w:rPr>
          <w:rFonts w:cs="Calibri"/>
          <w:color w:val="auto"/>
          <w:szCs w:val="22"/>
        </w:rPr>
      </w:pPr>
      <w:r w:rsidRPr="00DD7BD1">
        <w:rPr>
          <w:rFonts w:cs="Calibri"/>
          <w:color w:val="auto"/>
          <w:szCs w:val="22"/>
        </w:rPr>
        <w:t xml:space="preserve">Last spring, Colorado amended the FAMLI law to add an extra 12 weeks of leave for parents with a child receiving inpatient care in a neonatal intensive care unit, effective Jan. 1, 2026. The notice now includes information about neonatal care leave. </w:t>
      </w:r>
      <w:r w:rsidRPr="00DD7BD1">
        <w:rPr>
          <w:rFonts w:cs="Calibri"/>
          <w:b/>
          <w:bCs/>
          <w:color w:val="auto"/>
          <w:szCs w:val="22"/>
          <w:u w:val="single"/>
        </w:rPr>
        <w:t>NOTE:</w:t>
      </w:r>
      <w:r w:rsidRPr="00DD7BD1">
        <w:rPr>
          <w:rFonts w:cs="Calibri"/>
          <w:color w:val="auto"/>
          <w:szCs w:val="22"/>
        </w:rPr>
        <w:t xml:space="preserve"> ETC has released the updated Colorado State Handbook Addendum addressing coverage for Neonatal care July 2025.</w:t>
      </w:r>
    </w:p>
    <w:p w14:paraId="3CDDD8D4" w14:textId="77777777" w:rsidR="00757443" w:rsidRPr="00DD7BD1" w:rsidRDefault="00757443" w:rsidP="00757443">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Increases – </w:t>
      </w:r>
      <w:r w:rsidRPr="00DD7BD1">
        <w:rPr>
          <w:rFonts w:ascii="Calibri" w:hAnsi="Calibri" w:cs="Calibri"/>
          <w:b/>
          <w:bCs/>
          <w:color w:val="C00000"/>
          <w:sz w:val="28"/>
          <w:szCs w:val="28"/>
          <w:shd w:val="clear" w:color="auto" w:fill="FFFFFF"/>
          <w:lang w:val="en"/>
        </w:rPr>
        <w:t>Jan 1, 2026</w:t>
      </w:r>
    </w:p>
    <w:p w14:paraId="25D40493" w14:textId="77777777" w:rsidR="00757443" w:rsidRPr="00DD7BD1" w:rsidRDefault="00757443" w:rsidP="00757443">
      <w:pPr>
        <w:rPr>
          <w:rFonts w:ascii="Calibri" w:hAnsi="Calibri" w:cs="Calibri"/>
          <w:shd w:val="clear" w:color="auto" w:fill="FFFFFF"/>
        </w:rPr>
      </w:pPr>
      <w:r w:rsidRPr="00DD7BD1">
        <w:rPr>
          <w:rFonts w:ascii="Calibri" w:hAnsi="Calibri" w:cs="Calibri"/>
          <w:shd w:val="clear" w:color="auto" w:fill="FFFFFF"/>
        </w:rPr>
        <w:t>Minimum wage rates in Colorado will increase as follows:</w:t>
      </w:r>
    </w:p>
    <w:p w14:paraId="51C040C9"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Statewide (Proposed)</w:t>
      </w:r>
      <w:r w:rsidRPr="00DD7BD1">
        <w:rPr>
          <w:rFonts w:ascii="Calibri" w:hAnsi="Calibri" w:cs="Calibri"/>
          <w:shd w:val="clear" w:color="auto" w:fill="FFFFFF"/>
        </w:rPr>
        <w:br/>
        <w:t>Colorado has proposed increasing its minimum wage to $15.16 per hour and the minimum wage for tipped employees to $12.14. The proposed minimum salary for exempt executive, administrative, or professional employees would increase to $1,111.23 per week, or $57,784 per year. The minimum annual salary for the highly compensated employee exemption would increase to $130,014 per year. The minimum rate for exempt computer employees who are paid on an hourly basis would increase to $34.85 per hour.</w:t>
      </w:r>
    </w:p>
    <w:p w14:paraId="57824080"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Denver</w:t>
      </w:r>
      <w:r w:rsidRPr="00DD7BD1">
        <w:rPr>
          <w:rFonts w:ascii="Calibri" w:hAnsi="Calibri" w:cs="Calibri"/>
          <w:shd w:val="clear" w:color="auto" w:fill="FFFFFF"/>
        </w:rPr>
        <w:br/>
        <w:t>Denver’s city and county minimum wage will increase to $19.29 per hour. The minimum base wage for tipped employees will increase to $16.27 per hour.</w:t>
      </w:r>
    </w:p>
    <w:p w14:paraId="3AF15467"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Edgewater</w:t>
      </w:r>
      <w:r w:rsidRPr="00DD7BD1">
        <w:rPr>
          <w:rFonts w:ascii="Calibri" w:hAnsi="Calibri" w:cs="Calibri"/>
          <w:shd w:val="clear" w:color="auto" w:fill="FFFFFF"/>
        </w:rPr>
        <w:br/>
        <w:t>Edgewater’s minimum wage will increase to $18.17 per hour. The minimum base wage for tipped employees will increase to $15.15 per hour.</w:t>
      </w:r>
    </w:p>
    <w:p w14:paraId="573FCE74"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Unincorporated Boulder County</w:t>
      </w:r>
      <w:r w:rsidRPr="00DD7BD1">
        <w:rPr>
          <w:rFonts w:ascii="Calibri" w:hAnsi="Calibri" w:cs="Calibri"/>
          <w:shd w:val="clear" w:color="auto" w:fill="FFFFFF"/>
        </w:rPr>
        <w:br/>
        <w:t>Unincorporated Boulder County’s minimum wage is currently set to increase to $16.82 per hour while the minimum base wage for tipped employees is set to increase to $13.80 per hour. For a list of unincorporated areas where this minimum wage law applies, see Boulder County’s </w:t>
      </w:r>
      <w:hyperlink r:id="rId608" w:tgtFrame="_blank" w:history="1">
        <w:r w:rsidRPr="00DD7BD1">
          <w:rPr>
            <w:rStyle w:val="Hyperlink"/>
            <w:rFonts w:ascii="Calibri" w:hAnsi="Calibri" w:cs="Calibri"/>
            <w:color w:val="auto"/>
            <w:shd w:val="clear" w:color="auto" w:fill="FFFFFF"/>
          </w:rPr>
          <w:t>website</w:t>
        </w:r>
      </w:hyperlink>
      <w:r w:rsidRPr="00DD7BD1">
        <w:rPr>
          <w:rFonts w:ascii="Calibri" w:hAnsi="Calibri" w:cs="Calibri"/>
          <w:shd w:val="clear" w:color="auto" w:fill="FFFFFF"/>
        </w:rPr>
        <w:t>.</w:t>
      </w:r>
    </w:p>
    <w:p w14:paraId="6163631A" w14:textId="09D097C0"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City of Boulder</w:t>
      </w:r>
      <w:r w:rsidRPr="00DD7BD1">
        <w:rPr>
          <w:rFonts w:ascii="Calibri" w:hAnsi="Calibri" w:cs="Calibri"/>
          <w:shd w:val="clear" w:color="auto" w:fill="FFFFFF"/>
        </w:rPr>
        <w:br/>
        <w:t>The hourly minimum wage in the City of Boulder will increase to $16.82. The minimum base wage for tipped employees will increase to $13.80 per hour.</w:t>
      </w:r>
    </w:p>
    <w:p w14:paraId="5BC3F2EA" w14:textId="0B454846" w:rsidR="002D4DF9" w:rsidRPr="00DD7BD1" w:rsidRDefault="002D4DF9" w:rsidP="002D4DF9">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074AF37F"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609"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616C059C" w14:textId="77777777" w:rsidR="002D4DF9" w:rsidRPr="00DD7BD1" w:rsidRDefault="002D4DF9" w:rsidP="002D4DF9">
      <w:pPr>
        <w:pStyle w:val="SubHeader"/>
        <w:spacing w:line="240" w:lineRule="auto"/>
        <w:rPr>
          <w:rFonts w:cs="Calibri"/>
          <w:color w:val="auto"/>
          <w:sz w:val="16"/>
          <w:szCs w:val="16"/>
        </w:rPr>
      </w:pPr>
    </w:p>
    <w:p w14:paraId="08200D8A" w14:textId="77777777" w:rsidR="002D4DF9" w:rsidRPr="00DD7BD1" w:rsidRDefault="002D4DF9" w:rsidP="002D4DF9">
      <w:pPr>
        <w:pStyle w:val="SubHeader"/>
        <w:spacing w:line="240" w:lineRule="auto"/>
        <w:rPr>
          <w:rFonts w:cs="Calibri"/>
          <w:color w:val="auto"/>
          <w:sz w:val="22"/>
          <w:szCs w:val="22"/>
        </w:rPr>
      </w:pPr>
      <w:r w:rsidRPr="00DD7BD1">
        <w:rPr>
          <w:rFonts w:cs="Calibri"/>
          <w:color w:val="auto"/>
          <w:sz w:val="22"/>
          <w:szCs w:val="22"/>
        </w:rPr>
        <w:t>NICU Leave</w:t>
      </w:r>
    </w:p>
    <w:p w14:paraId="50B40EC5"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26A778C7"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 xml:space="preserve">12 weeks annually; plus </w:t>
      </w:r>
    </w:p>
    <w:p w14:paraId="01D142A3"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4 weeks for pregnancy or childbirth complications.</w:t>
      </w:r>
    </w:p>
    <w:p w14:paraId="53F6209C"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244DDFC3" w14:textId="77777777" w:rsidR="002D4DF9" w:rsidRPr="00DD7BD1" w:rsidRDefault="002D4DF9" w:rsidP="002D4DF9">
      <w:pPr>
        <w:pStyle w:val="BodyText"/>
        <w:spacing w:after="0" w:line="240" w:lineRule="auto"/>
        <w:rPr>
          <w:rFonts w:cs="Calibri"/>
          <w:color w:val="auto"/>
          <w:sz w:val="16"/>
          <w:szCs w:val="16"/>
        </w:rPr>
      </w:pPr>
    </w:p>
    <w:p w14:paraId="5A8DF336"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ETC released the updated CO State Handbook Addendum inclusive of language addressing NICU Leave July 2025.</w:t>
      </w:r>
    </w:p>
    <w:p w14:paraId="12B84160" w14:textId="77777777" w:rsidR="002D4DF9" w:rsidRPr="00DD7BD1" w:rsidRDefault="002D4DF9" w:rsidP="002D4DF9">
      <w:pPr>
        <w:pStyle w:val="BodyText"/>
        <w:spacing w:after="0" w:line="240" w:lineRule="auto"/>
        <w:rPr>
          <w:rFonts w:cs="Calibri"/>
          <w:b/>
          <w:bCs/>
          <w:color w:val="auto"/>
          <w:sz w:val="16"/>
          <w:szCs w:val="16"/>
        </w:rPr>
      </w:pPr>
    </w:p>
    <w:p w14:paraId="41B0C2C9" w14:textId="77777777" w:rsidR="002D4DF9" w:rsidRPr="00DD7BD1" w:rsidRDefault="002D4DF9" w:rsidP="002D4DF9">
      <w:pPr>
        <w:pStyle w:val="BodyText"/>
        <w:spacing w:after="0" w:line="240" w:lineRule="auto"/>
        <w:rPr>
          <w:rFonts w:cs="Calibri"/>
          <w:b/>
          <w:bCs/>
          <w:color w:val="auto"/>
          <w:szCs w:val="22"/>
        </w:rPr>
      </w:pPr>
      <w:r w:rsidRPr="00DD7BD1">
        <w:rPr>
          <w:rFonts w:cs="Calibri"/>
          <w:b/>
          <w:bCs/>
          <w:color w:val="auto"/>
          <w:szCs w:val="22"/>
        </w:rPr>
        <w:t>2026 FAMLI Premiums</w:t>
      </w:r>
    </w:p>
    <w:p w14:paraId="352D7ABA"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68A13FF5" w14:textId="77777777" w:rsidR="00883CEA" w:rsidRPr="00DD7BD1" w:rsidRDefault="00883CEA" w:rsidP="002D4DF9">
      <w:pPr>
        <w:pStyle w:val="BodyText"/>
        <w:spacing w:after="0" w:line="240" w:lineRule="auto"/>
        <w:rPr>
          <w:rFonts w:cs="Calibri"/>
          <w:color w:val="auto"/>
          <w:sz w:val="16"/>
          <w:szCs w:val="16"/>
        </w:rPr>
      </w:pPr>
    </w:p>
    <w:p w14:paraId="2CCA0604"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0DD692AD" w14:textId="77777777" w:rsidR="00883CEA" w:rsidRPr="00DD7BD1" w:rsidRDefault="00883CEA" w:rsidP="002D4DF9">
      <w:pPr>
        <w:pStyle w:val="BodyText"/>
        <w:spacing w:after="0" w:line="240" w:lineRule="auto"/>
        <w:rPr>
          <w:rFonts w:cs="Calibri"/>
          <w:color w:val="auto"/>
          <w:sz w:val="16"/>
          <w:szCs w:val="16"/>
        </w:rPr>
      </w:pPr>
    </w:p>
    <w:p w14:paraId="5970E9BE" w14:textId="3111A65A" w:rsidR="002D4DF9" w:rsidRPr="00DD7BD1" w:rsidRDefault="002D4DF9" w:rsidP="00E3610D">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564277E" w14:textId="77777777" w:rsidR="00E3610D" w:rsidRPr="00DD7BD1" w:rsidRDefault="00E3610D" w:rsidP="00E3610D">
      <w:pPr>
        <w:pStyle w:val="BodyText"/>
        <w:spacing w:after="0" w:line="240" w:lineRule="auto"/>
        <w:rPr>
          <w:rFonts w:cs="Calibri"/>
          <w:color w:val="auto"/>
          <w:sz w:val="28"/>
          <w:szCs w:val="28"/>
        </w:rPr>
      </w:pPr>
    </w:p>
    <w:p w14:paraId="6A075570" w14:textId="5E901B37" w:rsidR="00434AFC" w:rsidRPr="00DD7BD1" w:rsidRDefault="00434AFC" w:rsidP="00434AFC">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Significant Wage &amp; Hour Amendments </w:t>
      </w:r>
      <w:r w:rsidRPr="00DD7BD1">
        <w:rPr>
          <w:rFonts w:ascii="Calibri" w:hAnsi="Calibri" w:cs="Calibri"/>
          <w:b/>
          <w:bCs/>
          <w:color w:val="C00000"/>
          <w:sz w:val="28"/>
          <w:szCs w:val="28"/>
          <w:shd w:val="clear" w:color="auto" w:fill="FFFFFF"/>
          <w:lang w:val="en"/>
        </w:rPr>
        <w:t>– Eff Aug 6, 2025</w:t>
      </w:r>
    </w:p>
    <w:p w14:paraId="36659A02" w14:textId="77777777" w:rsidR="00434AFC" w:rsidRPr="00DD7BD1" w:rsidRDefault="00434AFC" w:rsidP="00434AFC">
      <w:pPr>
        <w:pStyle w:val="BodyText"/>
        <w:rPr>
          <w:rFonts w:cs="Calibri"/>
          <w:color w:val="auto"/>
          <w:szCs w:val="22"/>
        </w:rPr>
      </w:pPr>
      <w:r w:rsidRPr="00DD7BD1">
        <w:rPr>
          <w:rFonts w:cs="Calibri"/>
          <w:color w:val="auto"/>
          <w:szCs w:val="22"/>
        </w:rPr>
        <w:t xml:space="preserve">On May 22, 2025, Colorado </w:t>
      </w:r>
      <w:hyperlink r:id="rId610"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72D1FCEA" w14:textId="77777777" w:rsidR="00434AFC" w:rsidRPr="00DD7BD1" w:rsidRDefault="00434AFC" w:rsidP="00434AFC">
      <w:pPr>
        <w:pStyle w:val="Bullet"/>
        <w:rPr>
          <w:rFonts w:cs="Calibri"/>
          <w:color w:val="auto"/>
          <w:szCs w:val="22"/>
        </w:rPr>
      </w:pPr>
      <w:r w:rsidRPr="00DD7BD1">
        <w:rPr>
          <w:rFonts w:cs="Calibri"/>
          <w:color w:val="auto"/>
          <w:szCs w:val="22"/>
        </w:rPr>
        <w:t xml:space="preserve">Modify the definition of employer; </w:t>
      </w:r>
    </w:p>
    <w:p w14:paraId="7CE09411" w14:textId="77777777" w:rsidR="00434AFC" w:rsidRPr="00DD7BD1" w:rsidRDefault="00434AFC" w:rsidP="00434AFC">
      <w:pPr>
        <w:pStyle w:val="Bullet"/>
        <w:rPr>
          <w:rFonts w:cs="Calibri"/>
          <w:color w:val="auto"/>
          <w:szCs w:val="22"/>
        </w:rPr>
      </w:pPr>
      <w:r w:rsidRPr="00DD7BD1">
        <w:rPr>
          <w:rFonts w:cs="Calibri"/>
          <w:color w:val="auto"/>
          <w:szCs w:val="22"/>
        </w:rPr>
        <w:t>Prohibit payroll deductions beyond an employee’s applicable minimum wage;</w:t>
      </w:r>
    </w:p>
    <w:p w14:paraId="4E9D4224" w14:textId="77777777" w:rsidR="00434AFC" w:rsidRPr="00DD7BD1" w:rsidRDefault="00434AFC" w:rsidP="00434AFC">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1FF4390" w14:textId="77777777" w:rsidR="00434AFC" w:rsidRPr="00DD7BD1" w:rsidRDefault="00434AFC" w:rsidP="00434AFC">
      <w:pPr>
        <w:pStyle w:val="Bullet"/>
        <w:rPr>
          <w:rFonts w:cs="Calibri"/>
          <w:color w:val="auto"/>
          <w:szCs w:val="22"/>
        </w:rPr>
      </w:pPr>
      <w:r w:rsidRPr="00DD7BD1">
        <w:rPr>
          <w:rFonts w:cs="Calibri"/>
          <w:color w:val="auto"/>
          <w:szCs w:val="22"/>
        </w:rPr>
        <w:t>Revise attorney fee award requirements for employers;</w:t>
      </w:r>
    </w:p>
    <w:p w14:paraId="38CF8EAE" w14:textId="77777777" w:rsidR="00434AFC" w:rsidRPr="00DD7BD1" w:rsidRDefault="00434AFC" w:rsidP="00434AFC">
      <w:pPr>
        <w:pStyle w:val="Bullet"/>
        <w:rPr>
          <w:rFonts w:cs="Calibri"/>
          <w:color w:val="auto"/>
          <w:szCs w:val="22"/>
        </w:rPr>
      </w:pPr>
      <w:r w:rsidRPr="00DD7BD1">
        <w:rPr>
          <w:rFonts w:cs="Calibri"/>
          <w:color w:val="auto"/>
          <w:szCs w:val="22"/>
        </w:rPr>
        <w:t xml:space="preserve">Update enforcement thresholds; </w:t>
      </w:r>
    </w:p>
    <w:p w14:paraId="0DA178DE" w14:textId="77777777" w:rsidR="00434AFC" w:rsidRPr="00DD7BD1" w:rsidRDefault="00434AFC" w:rsidP="00434AFC">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06A683FD" w14:textId="77777777" w:rsidR="00434AFC" w:rsidRPr="00DD7BD1" w:rsidRDefault="00434AFC" w:rsidP="00434AFC">
      <w:pPr>
        <w:pStyle w:val="Bullet"/>
        <w:rPr>
          <w:rFonts w:cs="Calibri"/>
          <w:color w:val="auto"/>
          <w:szCs w:val="22"/>
        </w:rPr>
      </w:pPr>
      <w:r w:rsidRPr="00DD7BD1">
        <w:rPr>
          <w:rFonts w:cs="Calibri"/>
          <w:color w:val="auto"/>
          <w:szCs w:val="22"/>
        </w:rPr>
        <w:t>Permit cities and counties to enact and enforce laws related to wage payments;</w:t>
      </w:r>
    </w:p>
    <w:p w14:paraId="3D224240" w14:textId="77777777" w:rsidR="00434AFC" w:rsidRPr="00DD7BD1" w:rsidRDefault="00434AFC" w:rsidP="00434AFC">
      <w:pPr>
        <w:pStyle w:val="Bullet"/>
        <w:rPr>
          <w:rFonts w:cs="Calibri"/>
          <w:color w:val="auto"/>
          <w:szCs w:val="22"/>
        </w:rPr>
      </w:pPr>
      <w:r w:rsidRPr="00DD7BD1">
        <w:rPr>
          <w:rFonts w:cs="Calibri"/>
          <w:color w:val="auto"/>
          <w:szCs w:val="22"/>
        </w:rPr>
        <w:t>Update penalties for employee misclassification; and</w:t>
      </w:r>
    </w:p>
    <w:p w14:paraId="5BDF2BDF" w14:textId="1288142C" w:rsidR="00434AFC" w:rsidRPr="00DD7BD1" w:rsidRDefault="00434AFC" w:rsidP="00434AFC">
      <w:pPr>
        <w:pStyle w:val="Bullet"/>
        <w:rPr>
          <w:rFonts w:cs="Calibri"/>
          <w:color w:val="auto"/>
          <w:szCs w:val="22"/>
        </w:rPr>
      </w:pPr>
      <w:r w:rsidRPr="00DD7BD1">
        <w:rPr>
          <w:rFonts w:cs="Calibri"/>
          <w:color w:val="auto"/>
          <w:szCs w:val="22"/>
        </w:rPr>
        <w:t>Expand discrimination and retaliation protections.</w:t>
      </w:r>
    </w:p>
    <w:p w14:paraId="3C3226CF" w14:textId="77777777" w:rsidR="00434AFC" w:rsidRPr="00DD7BD1" w:rsidRDefault="00434AFC" w:rsidP="00434AFC">
      <w:pPr>
        <w:pStyle w:val="Bullet"/>
        <w:numPr>
          <w:ilvl w:val="0"/>
          <w:numId w:val="0"/>
        </w:numPr>
        <w:ind w:left="720"/>
        <w:rPr>
          <w:rFonts w:cs="Calibri"/>
          <w:color w:val="auto"/>
          <w:szCs w:val="22"/>
        </w:rPr>
      </w:pPr>
    </w:p>
    <w:p w14:paraId="35A8DDED" w14:textId="3FA5EF6E"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Clarifies Gender Expression</w:t>
      </w:r>
      <w:r w:rsidRPr="00DD7BD1">
        <w:rPr>
          <w:rFonts w:ascii="Calibri" w:hAnsi="Calibri" w:cs="Calibri"/>
          <w:b/>
          <w:bCs/>
          <w:color w:val="C00000"/>
          <w:sz w:val="28"/>
          <w:szCs w:val="28"/>
          <w:shd w:val="clear" w:color="auto" w:fill="FFFFFF"/>
          <w:lang w:val="en"/>
        </w:rPr>
        <w:t>– Eff May 16, 2025</w:t>
      </w:r>
    </w:p>
    <w:p w14:paraId="1E18BA1E" w14:textId="18FA82E2"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As of May 16, 2025, Colorado has clarified that its definition of </w:t>
      </w:r>
      <w:r w:rsidRPr="00DD7BD1">
        <w:rPr>
          <w:rFonts w:ascii="Calibri" w:hAnsi="Calibri" w:cs="Calibri"/>
          <w:b/>
          <w:bCs/>
          <w:shd w:val="clear" w:color="auto" w:fill="FFFFFF"/>
        </w:rPr>
        <w:t>gender expression</w:t>
      </w:r>
      <w:r w:rsidRPr="00DD7BD1">
        <w:rPr>
          <w:rFonts w:ascii="Calibri" w:hAnsi="Calibri" w:cs="Calibri"/>
          <w:shd w:val="clear" w:color="auto" w:fill="FFFFFF"/>
        </w:rPr>
        <w:t xml:space="preserve"> includes someone’s chosen name and how they choose to be addressed. This means that deadnaming and misgendering—referring to someone by a former name or incorrect pronouns—are now clearly defined as </w:t>
      </w:r>
      <w:r w:rsidRPr="00DD7BD1">
        <w:rPr>
          <w:rFonts w:ascii="Calibri" w:hAnsi="Calibri" w:cs="Calibri"/>
          <w:b/>
          <w:bCs/>
          <w:shd w:val="clear" w:color="auto" w:fill="FFFFFF"/>
        </w:rPr>
        <w:t>discriminatory</w:t>
      </w:r>
      <w:r w:rsidRPr="00DD7BD1">
        <w:rPr>
          <w:rFonts w:ascii="Calibri" w:hAnsi="Calibri" w:cs="Calibri"/>
          <w:shd w:val="clear" w:color="auto" w:fill="FFFFFF"/>
        </w:rPr>
        <w:t>.</w:t>
      </w:r>
    </w:p>
    <w:p w14:paraId="3B34EC64"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rPr>
        <w:t xml:space="preserve">State Clarifies Job Protection Rules Under FAMLI Leave – </w:t>
      </w:r>
      <w:r w:rsidRPr="00DD7BD1">
        <w:rPr>
          <w:rFonts w:ascii="Calibri" w:hAnsi="Calibri" w:cs="Calibri"/>
          <w:b/>
          <w:bCs/>
          <w:color w:val="C00000"/>
          <w:sz w:val="28"/>
          <w:szCs w:val="28"/>
          <w:shd w:val="clear" w:color="auto" w:fill="FFFFFF"/>
        </w:rPr>
        <w:t>Eff July 1, 2025</w:t>
      </w:r>
    </w:p>
    <w:p w14:paraId="2814A61A" w14:textId="75ACC0D6"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Employees </w:t>
      </w:r>
      <w:r w:rsidRPr="00DD7BD1">
        <w:rPr>
          <w:rFonts w:ascii="Calibri" w:hAnsi="Calibri" w:cs="Calibri"/>
          <w:shd w:val="clear" w:color="auto" w:fill="FFFFFF"/>
        </w:rPr>
        <w:t xml:space="preserve">taking continuous leave must be </w:t>
      </w:r>
      <w:r w:rsidRPr="00DD7BD1">
        <w:rPr>
          <w:rFonts w:ascii="Calibri" w:hAnsi="Calibri" w:cs="Calibri"/>
          <w:u w:val="single"/>
          <w:shd w:val="clear" w:color="auto" w:fill="FFFFFF"/>
        </w:rPr>
        <w:t>employed for at least 180 days</w:t>
      </w:r>
      <w:r w:rsidRPr="00DD7BD1">
        <w:rPr>
          <w:rFonts w:ascii="Calibri" w:hAnsi="Calibri" w:cs="Calibri"/>
          <w:shd w:val="clear" w:color="auto" w:fill="FFFFFF"/>
        </w:rPr>
        <w:t> </w:t>
      </w:r>
      <w:r w:rsidRPr="00DD7BD1">
        <w:rPr>
          <w:rFonts w:ascii="Calibri" w:hAnsi="Calibri" w:cs="Calibri"/>
          <w:i/>
          <w:iCs/>
          <w:shd w:val="clear" w:color="auto" w:fill="FFFFFF"/>
        </w:rPr>
        <w:t>before </w:t>
      </w:r>
      <w:r w:rsidRPr="00DD7BD1">
        <w:rPr>
          <w:rFonts w:ascii="Calibri" w:hAnsi="Calibri" w:cs="Calibri"/>
          <w:shd w:val="clear" w:color="auto" w:fill="FFFFFF"/>
        </w:rPr>
        <w:t xml:space="preserve">the leave begins to be entitled to job protection. For intermittent leave, job protection kicks in </w:t>
      </w:r>
      <w:r w:rsidRPr="00DD7BD1">
        <w:rPr>
          <w:rFonts w:ascii="Calibri" w:hAnsi="Calibri" w:cs="Calibri"/>
          <w:u w:val="single"/>
          <w:shd w:val="clear" w:color="auto" w:fill="FFFFFF"/>
        </w:rPr>
        <w:t>once employees reach their 180th day of employment</w:t>
      </w:r>
      <w:r w:rsidRPr="00DD7BD1">
        <w:rPr>
          <w:rFonts w:ascii="Calibri" w:hAnsi="Calibri" w:cs="Calibri"/>
          <w:shd w:val="clear" w:color="auto" w:fill="FFFFFF"/>
        </w:rPr>
        <w:t>—even if that happens during the leave period.</w:t>
      </w:r>
    </w:p>
    <w:p w14:paraId="6BE0FBAD"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Biometric Information Requirements – </w:t>
      </w:r>
      <w:r w:rsidRPr="00DD7BD1">
        <w:rPr>
          <w:rFonts w:ascii="Calibri" w:hAnsi="Calibri" w:cs="Calibri"/>
          <w:b/>
          <w:bCs/>
          <w:color w:val="C00000"/>
          <w:sz w:val="28"/>
          <w:szCs w:val="28"/>
          <w:shd w:val="clear" w:color="auto" w:fill="FFFFFF"/>
        </w:rPr>
        <w:t>Eff July 1, 2025</w:t>
      </w:r>
    </w:p>
    <w:p w14:paraId="6002F0E9" w14:textId="68E9BCD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Employers will now be required to adopt a written policy and </w:t>
      </w:r>
      <w:r w:rsidRPr="00DD7BD1">
        <w:rPr>
          <w:rFonts w:ascii="Calibri" w:hAnsi="Calibri" w:cs="Calibri"/>
          <w:u w:val="single"/>
          <w:shd w:val="clear" w:color="auto" w:fill="FFFFFF"/>
        </w:rPr>
        <w:t>obtain consent</w:t>
      </w:r>
      <w:r w:rsidRPr="00DD7BD1">
        <w:rPr>
          <w:rFonts w:ascii="Calibri" w:hAnsi="Calibri" w:cs="Calibri"/>
          <w:shd w:val="clear" w:color="auto" w:fill="FFFFFF"/>
        </w:rPr>
        <w:t xml:space="preserve"> from applicants and employees before collecting </w:t>
      </w:r>
      <w:r w:rsidRPr="00DD7BD1">
        <w:rPr>
          <w:rFonts w:ascii="Calibri" w:hAnsi="Calibri" w:cs="Calibri"/>
          <w:u w:val="single"/>
          <w:shd w:val="clear" w:color="auto" w:fill="FFFFFF"/>
        </w:rPr>
        <w:t>certain biometric information</w:t>
      </w:r>
      <w:r w:rsidRPr="00DD7BD1">
        <w:rPr>
          <w:rFonts w:ascii="Calibri" w:hAnsi="Calibri" w:cs="Calibri"/>
          <w:shd w:val="clear" w:color="auto" w:fill="FFFFFF"/>
        </w:rPr>
        <w:t xml:space="preserve">. That said, employers </w:t>
      </w:r>
      <w:r w:rsidRPr="00DD7BD1">
        <w:rPr>
          <w:rFonts w:ascii="Calibri" w:hAnsi="Calibri" w:cs="Calibri"/>
          <w:u w:val="single"/>
          <w:shd w:val="clear" w:color="auto" w:fill="FFFFFF"/>
        </w:rPr>
        <w:t>can make consent </w:t>
      </w:r>
      <w:r w:rsidRPr="00DD7BD1">
        <w:rPr>
          <w:rFonts w:ascii="Calibri" w:hAnsi="Calibri" w:cs="Calibri"/>
          <w:i/>
          <w:iCs/>
          <w:u w:val="single"/>
          <w:shd w:val="clear" w:color="auto" w:fill="FFFFFF"/>
        </w:rPr>
        <w:t>a condition of employment</w:t>
      </w:r>
      <w:r w:rsidRPr="00DD7BD1">
        <w:rPr>
          <w:rFonts w:ascii="Calibri" w:hAnsi="Calibri" w:cs="Calibri"/>
          <w:u w:val="single"/>
          <w:shd w:val="clear" w:color="auto" w:fill="FFFFFF"/>
        </w:rPr>
        <w:t> for some common uses of biometric data</w:t>
      </w:r>
      <w:r w:rsidRPr="00DD7BD1">
        <w:rPr>
          <w:rFonts w:ascii="Calibri" w:hAnsi="Calibri" w:cs="Calibri"/>
          <w:shd w:val="clear" w:color="auto" w:fill="FFFFFF"/>
        </w:rPr>
        <w:t>.</w:t>
      </w:r>
    </w:p>
    <w:p w14:paraId="0C3C25A1"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7A7C37D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611"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0A77800A" w14:textId="77777777" w:rsidR="00784E6F" w:rsidRPr="00DD7BD1" w:rsidRDefault="00784E6F" w:rsidP="00784E6F">
      <w:pPr>
        <w:pStyle w:val="SubHeader"/>
        <w:spacing w:line="240" w:lineRule="auto"/>
        <w:rPr>
          <w:rFonts w:cs="Calibri"/>
          <w:color w:val="auto"/>
          <w:sz w:val="22"/>
          <w:szCs w:val="22"/>
        </w:rPr>
      </w:pPr>
    </w:p>
    <w:p w14:paraId="2577AB05"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rPr>
        <w:t>NICU Leave</w:t>
      </w:r>
    </w:p>
    <w:p w14:paraId="7AE898CF"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483B2DAB"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12 weeks annually; plus </w:t>
      </w:r>
    </w:p>
    <w:p w14:paraId="2153C55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4 weeks for pregnancy or childbirth complications.</w:t>
      </w:r>
    </w:p>
    <w:p w14:paraId="25C5D094"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30DF85EC" w14:textId="77777777" w:rsidR="00784E6F" w:rsidRPr="00DD7BD1" w:rsidRDefault="00784E6F" w:rsidP="00784E6F">
      <w:pPr>
        <w:pStyle w:val="BodyText"/>
        <w:spacing w:after="0" w:line="240" w:lineRule="auto"/>
        <w:rPr>
          <w:rFonts w:cs="Calibri"/>
          <w:b/>
          <w:bCs/>
          <w:color w:val="auto"/>
          <w:szCs w:val="22"/>
        </w:rPr>
      </w:pPr>
    </w:p>
    <w:p w14:paraId="0A218581"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2026 FAMLI Premiums</w:t>
      </w:r>
    </w:p>
    <w:p w14:paraId="430B6660"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2530BF47" w14:textId="1F80543B"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DD7BD1" w:rsidRDefault="00784E6F" w:rsidP="00784E6F">
      <w:pPr>
        <w:pStyle w:val="BodyText"/>
        <w:spacing w:after="0" w:line="240" w:lineRule="auto"/>
        <w:rPr>
          <w:rFonts w:cs="Calibri"/>
          <w:color w:val="auto"/>
          <w:szCs w:val="22"/>
        </w:rPr>
      </w:pPr>
    </w:p>
    <w:p w14:paraId="3A3D3048" w14:textId="23433267" w:rsidR="00784E6F" w:rsidRPr="00DD7BD1" w:rsidRDefault="00784E6F" w:rsidP="00784E6F">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Significant W</w:t>
      </w:r>
      <w:r w:rsidR="009A5B51" w:rsidRPr="00DD7BD1">
        <w:rPr>
          <w:rFonts w:ascii="Calibri" w:hAnsi="Calibri" w:cs="Calibri"/>
          <w:b/>
          <w:bCs/>
          <w:sz w:val="28"/>
          <w:szCs w:val="28"/>
          <w:shd w:val="clear" w:color="auto" w:fill="FFFFFF"/>
          <w:lang w:val="en"/>
        </w:rPr>
        <w:t xml:space="preserve">age </w:t>
      </w:r>
      <w:r w:rsidRPr="00DD7BD1">
        <w:rPr>
          <w:rFonts w:ascii="Calibri" w:hAnsi="Calibri" w:cs="Calibri"/>
          <w:b/>
          <w:bCs/>
          <w:sz w:val="28"/>
          <w:szCs w:val="28"/>
          <w:shd w:val="clear" w:color="auto" w:fill="FFFFFF"/>
          <w:lang w:val="en"/>
        </w:rPr>
        <w:t>&amp;</w:t>
      </w:r>
      <w:r w:rsidR="009A5B51" w:rsidRPr="00DD7BD1">
        <w:rPr>
          <w:rFonts w:ascii="Calibri" w:hAnsi="Calibri" w:cs="Calibri"/>
          <w:b/>
          <w:bCs/>
          <w:sz w:val="28"/>
          <w:szCs w:val="28"/>
          <w:shd w:val="clear" w:color="auto" w:fill="FFFFFF"/>
          <w:lang w:val="en"/>
        </w:rPr>
        <w:t xml:space="preserve"> </w:t>
      </w:r>
      <w:r w:rsidRPr="00DD7BD1">
        <w:rPr>
          <w:rFonts w:ascii="Calibri" w:hAnsi="Calibri" w:cs="Calibri"/>
          <w:b/>
          <w:bCs/>
          <w:sz w:val="28"/>
          <w:szCs w:val="28"/>
          <w:shd w:val="clear" w:color="auto" w:fill="FFFFFF"/>
          <w:lang w:val="en"/>
        </w:rPr>
        <w:t>H</w:t>
      </w:r>
      <w:r w:rsidR="009A5B51" w:rsidRPr="00DD7BD1">
        <w:rPr>
          <w:rFonts w:ascii="Calibri" w:hAnsi="Calibri" w:cs="Calibri"/>
          <w:b/>
          <w:bCs/>
          <w:sz w:val="28"/>
          <w:szCs w:val="28"/>
          <w:shd w:val="clear" w:color="auto" w:fill="FFFFFF"/>
          <w:lang w:val="en"/>
        </w:rPr>
        <w:t>our</w:t>
      </w:r>
      <w:r w:rsidRPr="00DD7BD1">
        <w:rPr>
          <w:rFonts w:ascii="Calibri" w:hAnsi="Calibri" w:cs="Calibri"/>
          <w:b/>
          <w:bCs/>
          <w:sz w:val="28"/>
          <w:szCs w:val="28"/>
          <w:shd w:val="clear" w:color="auto" w:fill="FFFFFF"/>
          <w:lang w:val="en"/>
        </w:rPr>
        <w:t xml:space="preserve"> Amendments </w:t>
      </w:r>
      <w:r w:rsidRPr="00DD7BD1">
        <w:rPr>
          <w:rFonts w:ascii="Calibri" w:hAnsi="Calibri" w:cs="Calibri"/>
          <w:b/>
          <w:bCs/>
          <w:color w:val="C00000"/>
          <w:sz w:val="28"/>
          <w:szCs w:val="28"/>
          <w:shd w:val="clear" w:color="auto" w:fill="FFFFFF"/>
          <w:lang w:val="en"/>
        </w:rPr>
        <w:t>– Eff Aug 6, 2025</w:t>
      </w:r>
    </w:p>
    <w:p w14:paraId="587206A8" w14:textId="77777777" w:rsidR="00784E6F" w:rsidRPr="00DD7BD1" w:rsidRDefault="00784E6F" w:rsidP="00784E6F">
      <w:pPr>
        <w:pStyle w:val="BodyText"/>
        <w:rPr>
          <w:rFonts w:cs="Calibri"/>
          <w:color w:val="auto"/>
          <w:szCs w:val="22"/>
        </w:rPr>
      </w:pPr>
      <w:r w:rsidRPr="00DD7BD1">
        <w:rPr>
          <w:rFonts w:cs="Calibri"/>
          <w:color w:val="auto"/>
          <w:szCs w:val="22"/>
        </w:rPr>
        <w:t xml:space="preserve">On May 22, 2025, Colorado </w:t>
      </w:r>
      <w:hyperlink r:id="rId612"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29764655" w14:textId="77777777" w:rsidR="00784E6F" w:rsidRPr="00DD7BD1" w:rsidRDefault="00784E6F" w:rsidP="00784E6F">
      <w:pPr>
        <w:pStyle w:val="Bullet"/>
        <w:rPr>
          <w:rFonts w:cs="Calibri"/>
          <w:color w:val="auto"/>
          <w:szCs w:val="22"/>
        </w:rPr>
      </w:pPr>
      <w:r w:rsidRPr="00DD7BD1">
        <w:rPr>
          <w:rFonts w:cs="Calibri"/>
          <w:color w:val="auto"/>
          <w:szCs w:val="22"/>
        </w:rPr>
        <w:t xml:space="preserve">Modify the definition of employer; </w:t>
      </w:r>
    </w:p>
    <w:p w14:paraId="3974E28D" w14:textId="77777777" w:rsidR="00784E6F" w:rsidRPr="00DD7BD1" w:rsidRDefault="00784E6F" w:rsidP="00784E6F">
      <w:pPr>
        <w:pStyle w:val="Bullet"/>
        <w:rPr>
          <w:rFonts w:cs="Calibri"/>
          <w:color w:val="auto"/>
          <w:szCs w:val="22"/>
        </w:rPr>
      </w:pPr>
      <w:r w:rsidRPr="00DD7BD1">
        <w:rPr>
          <w:rFonts w:cs="Calibri"/>
          <w:color w:val="auto"/>
          <w:szCs w:val="22"/>
        </w:rPr>
        <w:t>Prohibit payroll deductions beyond an employee’s applicable minimum wage;</w:t>
      </w:r>
    </w:p>
    <w:p w14:paraId="5424137D" w14:textId="77777777" w:rsidR="00784E6F" w:rsidRPr="00DD7BD1" w:rsidRDefault="00784E6F" w:rsidP="00784E6F">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70C7B34" w14:textId="77777777" w:rsidR="00784E6F" w:rsidRPr="00DD7BD1" w:rsidRDefault="00784E6F" w:rsidP="00784E6F">
      <w:pPr>
        <w:pStyle w:val="Bullet"/>
        <w:rPr>
          <w:rFonts w:cs="Calibri"/>
          <w:color w:val="auto"/>
          <w:szCs w:val="22"/>
        </w:rPr>
      </w:pPr>
      <w:r w:rsidRPr="00DD7BD1">
        <w:rPr>
          <w:rFonts w:cs="Calibri"/>
          <w:color w:val="auto"/>
          <w:szCs w:val="22"/>
        </w:rPr>
        <w:t>Revise attorney fee award requirements for employers;</w:t>
      </w:r>
    </w:p>
    <w:p w14:paraId="04DF36BD" w14:textId="77777777" w:rsidR="00784E6F" w:rsidRPr="00DD7BD1" w:rsidRDefault="00784E6F" w:rsidP="00784E6F">
      <w:pPr>
        <w:pStyle w:val="Bullet"/>
        <w:rPr>
          <w:rFonts w:cs="Calibri"/>
          <w:color w:val="auto"/>
          <w:szCs w:val="22"/>
        </w:rPr>
      </w:pPr>
      <w:r w:rsidRPr="00DD7BD1">
        <w:rPr>
          <w:rFonts w:cs="Calibri"/>
          <w:color w:val="auto"/>
          <w:szCs w:val="22"/>
        </w:rPr>
        <w:t xml:space="preserve">Update enforcement thresholds; </w:t>
      </w:r>
    </w:p>
    <w:p w14:paraId="024390A9" w14:textId="77777777" w:rsidR="00784E6F" w:rsidRPr="00DD7BD1" w:rsidRDefault="00784E6F" w:rsidP="00784E6F">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75114602" w14:textId="77777777" w:rsidR="00784E6F" w:rsidRPr="00DD7BD1" w:rsidRDefault="00784E6F" w:rsidP="00784E6F">
      <w:pPr>
        <w:pStyle w:val="Bullet"/>
        <w:rPr>
          <w:rFonts w:cs="Calibri"/>
          <w:color w:val="auto"/>
          <w:szCs w:val="22"/>
        </w:rPr>
      </w:pPr>
      <w:r w:rsidRPr="00DD7BD1">
        <w:rPr>
          <w:rFonts w:cs="Calibri"/>
          <w:color w:val="auto"/>
          <w:szCs w:val="22"/>
        </w:rPr>
        <w:t>Permit cities and counties to enact and enforce laws related to wage payments;</w:t>
      </w:r>
    </w:p>
    <w:p w14:paraId="32B7B7C9" w14:textId="77777777" w:rsidR="00784E6F" w:rsidRPr="00DD7BD1" w:rsidRDefault="00784E6F" w:rsidP="00784E6F">
      <w:pPr>
        <w:pStyle w:val="Bullet"/>
        <w:rPr>
          <w:rFonts w:cs="Calibri"/>
          <w:color w:val="auto"/>
          <w:szCs w:val="22"/>
        </w:rPr>
      </w:pPr>
      <w:r w:rsidRPr="00DD7BD1">
        <w:rPr>
          <w:rFonts w:cs="Calibri"/>
          <w:color w:val="auto"/>
          <w:szCs w:val="22"/>
        </w:rPr>
        <w:t>Update penalties for employee misclassification; and</w:t>
      </w:r>
    </w:p>
    <w:p w14:paraId="4D126A91" w14:textId="77777777" w:rsidR="00784E6F" w:rsidRPr="00DD7BD1" w:rsidRDefault="00784E6F" w:rsidP="00784E6F">
      <w:pPr>
        <w:pStyle w:val="Bullet"/>
        <w:rPr>
          <w:rFonts w:cs="Calibri"/>
          <w:color w:val="auto"/>
          <w:szCs w:val="22"/>
        </w:rPr>
      </w:pPr>
      <w:r w:rsidRPr="00DD7BD1">
        <w:rPr>
          <w:rFonts w:cs="Calibri"/>
          <w:color w:val="auto"/>
          <w:szCs w:val="22"/>
        </w:rPr>
        <w:t>Expand discrimination and retaliation protections.</w:t>
      </w:r>
    </w:p>
    <w:p w14:paraId="5C88EEC0" w14:textId="5A26D9DA" w:rsidR="00784E6F" w:rsidRPr="00DD7BD1" w:rsidRDefault="00784E6F" w:rsidP="00784E6F">
      <w:pPr>
        <w:pStyle w:val="BodyText"/>
        <w:spacing w:after="0"/>
        <w:rPr>
          <w:rFonts w:cs="Calibri"/>
          <w:color w:val="auto"/>
          <w:szCs w:val="22"/>
        </w:rPr>
      </w:pPr>
      <w:r w:rsidRPr="00DD7BD1">
        <w:rPr>
          <w:rFonts w:cs="Calibri"/>
          <w:color w:val="auto"/>
          <w:szCs w:val="22"/>
        </w:rPr>
        <w:t>See attached resource for additional related details.</w:t>
      </w:r>
    </w:p>
    <w:p w14:paraId="56A013D9" w14:textId="77777777" w:rsidR="00784E6F" w:rsidRPr="00DD7BD1" w:rsidRDefault="00784E6F" w:rsidP="00503F70">
      <w:pPr>
        <w:spacing w:after="0" w:line="240" w:lineRule="auto"/>
        <w:jc w:val="center"/>
        <w:rPr>
          <w:rFonts w:ascii="Calibri" w:hAnsi="Calibri" w:cs="Calibri"/>
          <w:b/>
          <w:bCs/>
          <w:sz w:val="16"/>
          <w:szCs w:val="16"/>
          <w:shd w:val="clear" w:color="auto" w:fill="FFFFFF"/>
          <w:lang w:val="en"/>
        </w:rPr>
      </w:pPr>
    </w:p>
    <w:p w14:paraId="1D3A3994" w14:textId="64B3891D" w:rsidR="00503F70" w:rsidRPr="00DD7BD1" w:rsidRDefault="00503F70" w:rsidP="00503F7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Comprehensive AI Legislation - Feb 1, 2025</w:t>
      </w:r>
    </w:p>
    <w:p w14:paraId="5DBFAA05" w14:textId="77777777" w:rsidR="00503F70" w:rsidRPr="00DD7BD1" w:rsidRDefault="00503F70" w:rsidP="00503F70">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Senate Bill (SB) 24-205 was the first state to pass comprehensive artificial intelligence (AI) regulation. The enacted regulations require businesses to use reasonable care to avoid discrimination when using AI for consequential decision-making (such as hiring, termination and other employment decisions).  </w:t>
      </w:r>
    </w:p>
    <w:p w14:paraId="15563D94" w14:textId="77777777" w:rsidR="00503F70" w:rsidRPr="00DD7BD1" w:rsidRDefault="00503F70" w:rsidP="00B939E8">
      <w:pPr>
        <w:spacing w:after="0" w:line="240" w:lineRule="auto"/>
        <w:jc w:val="center"/>
        <w:rPr>
          <w:rFonts w:ascii="Calibri" w:hAnsi="Calibri" w:cs="Calibri"/>
          <w:b/>
          <w:bCs/>
          <w:shd w:val="clear" w:color="auto" w:fill="FFFFFF"/>
          <w:lang w:val="en"/>
        </w:rPr>
      </w:pPr>
    </w:p>
    <w:p w14:paraId="6A03F8D0" w14:textId="76E39EF6" w:rsidR="00B939E8" w:rsidRPr="00DD7BD1" w:rsidRDefault="00B939E8" w:rsidP="00B939E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FAMLI Rules Include Employer Penalties</w:t>
      </w:r>
    </w:p>
    <w:p w14:paraId="356D44E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Colorado Department of Labor and Employment recently issued </w:t>
      </w:r>
      <w:hyperlink r:id="rId613" w:history="1">
        <w:r w:rsidRPr="00DD7BD1">
          <w:rPr>
            <w:rStyle w:val="Hyperlink"/>
            <w:rFonts w:ascii="Calibri" w:hAnsi="Calibri" w:cs="Calibri"/>
            <w:shd w:val="clear" w:color="auto" w:fill="FFFFFF"/>
          </w:rPr>
          <w:t>rules</w:t>
        </w:r>
      </w:hyperlink>
      <w:r w:rsidRPr="00DD7BD1">
        <w:rPr>
          <w:rFonts w:ascii="Calibri" w:hAnsi="Calibri" w:cs="Calibri"/>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DD7BD1" w:rsidRDefault="00503F70" w:rsidP="00B939E8">
      <w:pPr>
        <w:spacing w:after="0" w:line="240" w:lineRule="auto"/>
        <w:rPr>
          <w:rFonts w:ascii="Calibri" w:hAnsi="Calibri" w:cs="Calibri"/>
          <w:shd w:val="clear" w:color="auto" w:fill="FFFFFF"/>
        </w:rPr>
      </w:pPr>
    </w:p>
    <w:p w14:paraId="3BF8A5F0" w14:textId="77777777" w:rsidR="00B939E8" w:rsidRPr="00DD7BD1" w:rsidRDefault="00B939E8" w:rsidP="00B939E8">
      <w:pPr>
        <w:spacing w:after="0" w:line="240" w:lineRule="auto"/>
        <w:rPr>
          <w:rFonts w:ascii="Calibri" w:hAnsi="Calibri" w:cs="Calibri"/>
          <w:b/>
          <w:bCs/>
          <w:u w:val="single"/>
          <w:shd w:val="clear" w:color="auto" w:fill="FFFFFF"/>
        </w:rPr>
      </w:pPr>
      <w:r w:rsidRPr="00DD7BD1">
        <w:rPr>
          <w:rFonts w:ascii="Calibri" w:hAnsi="Calibri" w:cs="Calibri"/>
          <w:b/>
          <w:bCs/>
          <w:u w:val="single"/>
          <w:shd w:val="clear" w:color="auto" w:fill="FFFFFF"/>
        </w:rPr>
        <w:t>Employer Penalties:</w:t>
      </w:r>
    </w:p>
    <w:p w14:paraId="4D02AA20"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bookmarkStart w:id="75" w:name="_Hlk185837722"/>
      <w:bookmarkStart w:id="76" w:name="_Hlk185837723"/>
      <w:r w:rsidRPr="00DD7BD1">
        <w:rPr>
          <w:rFonts w:ascii="Calibri" w:hAnsi="Calibri" w:cs="Calibri"/>
          <w:b/>
          <w:shd w:val="clear" w:color="auto" w:fill="FFFFFF"/>
        </w:rPr>
        <w:t xml:space="preserve">$50 Per Employee Per Day: </w:t>
      </w:r>
      <w:r w:rsidRPr="00DD7BD1">
        <w:rPr>
          <w:rFonts w:ascii="Calibri" w:hAnsi="Calibri" w:cs="Calibri"/>
          <w:shd w:val="clear" w:color="auto" w:fill="FFFFFF"/>
        </w:rPr>
        <w:t>Violations concerning FAMLI and employer-paid leave.</w:t>
      </w:r>
    </w:p>
    <w:p w14:paraId="7A456177"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Employee Per Day: </w:t>
      </w:r>
      <w:r w:rsidRPr="00DD7BD1">
        <w:rPr>
          <w:rFonts w:ascii="Calibri" w:hAnsi="Calibri" w:cs="Calibri"/>
          <w:shd w:val="clear" w:color="auto" w:fill="FFFFFF"/>
        </w:rPr>
        <w:t>Violations of the requirement to continue health care benefits.</w:t>
      </w:r>
    </w:p>
    <w:p w14:paraId="52B91C3F"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Violation: </w:t>
      </w:r>
      <w:r w:rsidRPr="00DD7BD1">
        <w:rPr>
          <w:rFonts w:ascii="Calibri" w:hAnsi="Calibri" w:cs="Calibri"/>
          <w:shd w:val="clear" w:color="auto" w:fill="FFFFFF"/>
        </w:rPr>
        <w:t>Violations of the requirements for the coordination of FAMLI benefits, short-term disability benefits, long-term disability benefits, and time off solely for the purpose of paid family and medical leave</w:t>
      </w:r>
      <w:bookmarkEnd w:id="75"/>
      <w:bookmarkEnd w:id="76"/>
      <w:r w:rsidRPr="00DD7BD1">
        <w:rPr>
          <w:rFonts w:ascii="Calibri" w:hAnsi="Calibri" w:cs="Calibri"/>
          <w:shd w:val="clear" w:color="auto" w:fill="FFFFFF"/>
        </w:rPr>
        <w:t>.</w:t>
      </w:r>
    </w:p>
    <w:p w14:paraId="38492B04" w14:textId="77777777" w:rsidR="00B939E8" w:rsidRPr="00DD7BD1" w:rsidRDefault="00B939E8" w:rsidP="00CD70B8">
      <w:pPr>
        <w:spacing w:after="0" w:line="240" w:lineRule="auto"/>
        <w:jc w:val="center"/>
        <w:rPr>
          <w:rFonts w:ascii="Calibri" w:hAnsi="Calibri" w:cs="Calibri"/>
          <w:b/>
          <w:bCs/>
          <w:shd w:val="clear" w:color="auto" w:fill="FFFFFF"/>
          <w:lang w:val="en"/>
        </w:rPr>
      </w:pPr>
    </w:p>
    <w:p w14:paraId="5A9E7C2E" w14:textId="7B2E3F8E"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Holiday</w:t>
      </w:r>
      <w:r w:rsidRPr="00DD7BD1">
        <w:rPr>
          <w:rFonts w:ascii="Calibri" w:hAnsi="Calibri" w:cs="Calibri"/>
          <w:b/>
          <w:bCs/>
          <w:sz w:val="28"/>
          <w:szCs w:val="28"/>
          <w:shd w:val="clear" w:color="auto" w:fill="FFFFFF"/>
        </w:rPr>
        <w:t xml:space="preserve"> Incentive Pay in Regular Rate of Pay Calculation</w:t>
      </w:r>
    </w:p>
    <w:p w14:paraId="0D0EC71B"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Supreme Court of Colorado recently, </w:t>
      </w:r>
      <w:hyperlink r:id="rId614" w:tgtFrame="_blank" w:history="1">
        <w:r w:rsidRPr="00DD7BD1">
          <w:rPr>
            <w:rStyle w:val="Hyperlink"/>
            <w:rFonts w:ascii="Calibri" w:hAnsi="Calibri" w:cs="Calibri"/>
            <w:i/>
            <w:iCs/>
            <w:shd w:val="clear" w:color="auto" w:fill="FFFFFF"/>
          </w:rPr>
          <w:t>Hamilton v. Amazon.com Services LLC</w:t>
        </w:r>
      </w:hyperlink>
      <w:r w:rsidRPr="00DD7BD1">
        <w:rPr>
          <w:rFonts w:ascii="Calibri" w:hAnsi="Calibri" w:cs="Calibri"/>
          <w:color w:val="2E74B5" w:themeColor="accent5" w:themeShade="BF"/>
          <w:shd w:val="clear" w:color="auto" w:fill="FFFFFF"/>
        </w:rPr>
        <w:t xml:space="preserve"> , </w:t>
      </w:r>
      <w:r w:rsidRPr="00DD7BD1">
        <w:rPr>
          <w:rFonts w:ascii="Calibri" w:hAnsi="Calibri" w:cs="Calibri"/>
          <w:shd w:val="clear" w:color="auto" w:fill="FFFFFF"/>
        </w:rPr>
        <w:t>ruled that holiday incentive pay (extra pay for hours worked on a company holiday) is a type of </w:t>
      </w:r>
      <w:r w:rsidRPr="00DD7BD1">
        <w:rPr>
          <w:rFonts w:ascii="Calibri" w:hAnsi="Calibri" w:cs="Calibri"/>
          <w:i/>
          <w:iCs/>
          <w:shd w:val="clear" w:color="auto" w:fill="FFFFFF"/>
        </w:rPr>
        <w:t>shift differential </w:t>
      </w:r>
      <w:r w:rsidRPr="00DD7BD1">
        <w:rPr>
          <w:rFonts w:ascii="Calibri" w:hAnsi="Calibri" w:cs="Calibri"/>
          <w:shd w:val="clear" w:color="auto" w:fill="FFFFFF"/>
        </w:rPr>
        <w:t>compensation, and therefore must be included in the calculation of an employee’s </w:t>
      </w:r>
      <w:r w:rsidRPr="00DD7BD1">
        <w:rPr>
          <w:rFonts w:ascii="Calibri" w:hAnsi="Calibri" w:cs="Calibri"/>
          <w:i/>
          <w:iCs/>
          <w:shd w:val="clear" w:color="auto" w:fill="FFFFFF"/>
        </w:rPr>
        <w:t>regular rate of pay</w:t>
      </w:r>
      <w:r w:rsidRPr="00DD7BD1">
        <w:rPr>
          <w:rFonts w:ascii="Calibri" w:hAnsi="Calibri" w:cs="Calibri"/>
          <w:shd w:val="clear" w:color="auto" w:fill="FFFFFF"/>
        </w:rPr>
        <w:t> (RROP) for overtime purposes.</w:t>
      </w:r>
    </w:p>
    <w:p w14:paraId="0AF91AD9" w14:textId="77777777" w:rsidR="00CD70B8" w:rsidRPr="00DD7BD1" w:rsidRDefault="00CD70B8" w:rsidP="00CD70B8">
      <w:pPr>
        <w:spacing w:after="0" w:line="240" w:lineRule="auto"/>
        <w:rPr>
          <w:rFonts w:ascii="Calibri" w:hAnsi="Calibri" w:cs="Calibri"/>
          <w:shd w:val="clear" w:color="auto" w:fill="FFFFFF"/>
        </w:rPr>
      </w:pPr>
    </w:p>
    <w:p w14:paraId="1187A79D"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is </w:t>
      </w:r>
      <w:r w:rsidRPr="00DD7BD1">
        <w:rPr>
          <w:rFonts w:ascii="Calibri" w:hAnsi="Calibri" w:cs="Calibri"/>
          <w:u w:val="single"/>
          <w:shd w:val="clear" w:color="auto" w:fill="FFFFFF"/>
        </w:rPr>
        <w:t>different from federal law</w:t>
      </w:r>
      <w:r w:rsidRPr="00DD7BD1">
        <w:rPr>
          <w:rFonts w:ascii="Calibri" w:hAnsi="Calibri" w:cs="Calibri"/>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DD7BD1" w:rsidRDefault="00CD70B8" w:rsidP="008C6649">
      <w:pPr>
        <w:spacing w:after="0" w:line="240" w:lineRule="auto"/>
        <w:jc w:val="center"/>
        <w:rPr>
          <w:rFonts w:ascii="Calibri" w:hAnsi="Calibri" w:cs="Calibri"/>
          <w:b/>
          <w:bCs/>
          <w:shd w:val="clear" w:color="auto" w:fill="FFFFFF"/>
          <w:lang w:val="en"/>
        </w:rPr>
      </w:pPr>
    </w:p>
    <w:p w14:paraId="061CAC03" w14:textId="1D33A4FD" w:rsidR="008C6649" w:rsidRPr="00DD7BD1" w:rsidRDefault="008C6649" w:rsidP="00503F70">
      <w:pPr>
        <w:spacing w:after="0" w:line="240" w:lineRule="auto"/>
        <w:jc w:val="center"/>
        <w:rPr>
          <w:rStyle w:val="Strong"/>
          <w:rFonts w:ascii="Calibri" w:hAnsi="Calibri" w:cs="Calibri"/>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Employment Applications, Expanded Protections for Race &amp; Organ Donations – July 1</w:t>
      </w:r>
    </w:p>
    <w:p w14:paraId="14FFA77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APPLICANT AGE-RELATED INQUIRIES PROHIBITED</w:t>
      </w:r>
      <w:r w:rsidRPr="00DD7BD1">
        <w:rPr>
          <w:rFonts w:ascii="Calibri" w:hAnsi="Calibri" w:cs="Calibri"/>
          <w:sz w:val="22"/>
          <w:szCs w:val="22"/>
        </w:rPr>
        <w:br/>
        <w:t>Beginning July 1, 2024, employers will be prohibited from asking for an applicant’s age, birth date, or school attendance or graduation dates on an initial job application. (These limitations don’t apply to applications for jobs that will be performed entirely outside of Colorado, though inquiring as to any age-related data could potentially run afoul of Age Discrimination and EEO regulations)</w:t>
      </w:r>
    </w:p>
    <w:p w14:paraId="2EC73DF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can ask applicants to </w:t>
      </w:r>
      <w:r w:rsidRPr="00DD7BD1">
        <w:rPr>
          <w:rFonts w:ascii="Calibri" w:hAnsi="Calibri" w:cs="Calibri"/>
          <w:i/>
          <w:iCs/>
          <w:sz w:val="22"/>
          <w:szCs w:val="22"/>
        </w:rPr>
        <w:t>verify their compliance</w:t>
      </w:r>
      <w:r w:rsidRPr="00DD7BD1">
        <w:rPr>
          <w:rFonts w:ascii="Calibri" w:hAnsi="Calibri" w:cs="Calibri"/>
          <w:sz w:val="22"/>
          <w:szCs w:val="22"/>
        </w:rPr>
        <w:t> with certain age requirements imposed by any of the following:</w:t>
      </w:r>
    </w:p>
    <w:p w14:paraId="2CA0209E"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bona fide occupational qualification (BFOQ) related to public or occupational safety</w:t>
      </w:r>
    </w:p>
    <w:p w14:paraId="16100D9D"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federal law or regulation</w:t>
      </w:r>
    </w:p>
    <w:p w14:paraId="00E70D11"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state or local law or regulation based on a BFOQ</w:t>
      </w:r>
    </w:p>
    <w:p w14:paraId="3AECEE2A"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color w:val="282828"/>
          <w:sz w:val="22"/>
          <w:szCs w:val="22"/>
        </w:rPr>
      </w:pPr>
      <w:r w:rsidRPr="00DD7BD1">
        <w:rPr>
          <w:rFonts w:ascii="Calibri" w:hAnsi="Calibri" w:cs="Calibri"/>
          <w:sz w:val="22"/>
          <w:szCs w:val="22"/>
        </w:rPr>
        <w:t>The Colorado Department of Labor and Employment has provided additional guidance on the law in </w:t>
      </w:r>
      <w:hyperlink r:id="rId615" w:tgtFrame="_blank" w:history="1">
        <w:r w:rsidRPr="00DD7BD1">
          <w:rPr>
            <w:rStyle w:val="Hyperlink"/>
            <w:rFonts w:ascii="Calibri" w:eastAsiaTheme="minorHAnsi" w:hAnsi="Calibri" w:cs="Calibri"/>
            <w:sz w:val="22"/>
            <w:szCs w:val="22"/>
          </w:rPr>
          <w:t>INFO #9B</w:t>
        </w:r>
      </w:hyperlink>
      <w:r w:rsidRPr="00DD7BD1">
        <w:rPr>
          <w:rStyle w:val="Hyperlink"/>
          <w:rFonts w:ascii="Calibri" w:eastAsiaTheme="minorHAnsi" w:hAnsi="Calibri" w:cs="Calibri"/>
        </w:rPr>
        <w:t>.</w:t>
      </w:r>
    </w:p>
    <w:p w14:paraId="18B17EB1" w14:textId="73756CD1"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p>
    <w:p w14:paraId="6C5601A6"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Review employment applications and remove any questions prohibited by the law.</w:t>
      </w:r>
    </w:p>
    <w:p w14:paraId="3A8A23BB"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Train those involved in the interview process not to ask questions that are likely to reveal the applicant’s age.</w:t>
      </w:r>
    </w:p>
    <w:p w14:paraId="6089A276"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5C0BBEE7" w14:textId="49A78F24"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rPr>
      </w:pPr>
      <w:r w:rsidRPr="00DD7BD1">
        <w:rPr>
          <w:rStyle w:val="Strong"/>
          <w:rFonts w:ascii="Calibri" w:hAnsi="Calibri" w:cs="Calibri"/>
          <w:sz w:val="22"/>
          <w:szCs w:val="22"/>
        </w:rPr>
        <w:t>PROTECTIONS FOR RACE EXPANDED</w:t>
      </w:r>
      <w:r w:rsidRPr="00DD7BD1">
        <w:rPr>
          <w:rFonts w:ascii="Calibri" w:hAnsi="Calibri" w:cs="Calibri"/>
          <w:sz w:val="22"/>
          <w:szCs w:val="22"/>
        </w:rPr>
        <w:br/>
        <w:t>The state has expanded the definition of </w:t>
      </w:r>
      <w:r w:rsidRPr="00DD7BD1">
        <w:rPr>
          <w:rFonts w:ascii="Calibri" w:hAnsi="Calibri" w:cs="Calibri"/>
          <w:i/>
          <w:iCs/>
          <w:sz w:val="22"/>
          <w:szCs w:val="22"/>
        </w:rPr>
        <w:t>race</w:t>
      </w:r>
      <w:r w:rsidRPr="00DD7BD1">
        <w:rPr>
          <w:rFonts w:ascii="Calibri" w:hAnsi="Calibri" w:cs="Calibri"/>
          <w:sz w:val="22"/>
          <w:szCs w:val="22"/>
        </w:rPr>
        <w:t xml:space="preserve"> in its antidiscrimination statute to include </w:t>
      </w:r>
      <w:r w:rsidRPr="00DD7BD1">
        <w:rPr>
          <w:rFonts w:ascii="Calibri" w:hAnsi="Calibri" w:cs="Calibri"/>
          <w:sz w:val="22"/>
          <w:szCs w:val="22"/>
          <w:u w:val="single"/>
        </w:rPr>
        <w:t>hair length</w:t>
      </w:r>
      <w:r w:rsidRPr="00DD7BD1">
        <w:rPr>
          <w:rFonts w:ascii="Calibri" w:hAnsi="Calibri" w:cs="Calibri"/>
          <w:sz w:val="22"/>
          <w:szCs w:val="22"/>
        </w:rPr>
        <w:t>. If you have dress 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sz w:val="22"/>
          <w:szCs w:val="22"/>
        </w:rPr>
        <w:t xml:space="preserve"> If necessary, update Equal Employment Opportunity (EEO) policy, and any other policies that include protected classes, to include </w:t>
      </w:r>
      <w:r w:rsidRPr="00DD7BD1">
        <w:rPr>
          <w:rFonts w:ascii="Calibri" w:hAnsi="Calibri" w:cs="Calibri"/>
          <w:i/>
          <w:iCs/>
          <w:sz w:val="22"/>
          <w:szCs w:val="22"/>
        </w:rPr>
        <w:t>hair length</w:t>
      </w:r>
      <w:r w:rsidRPr="00DD7BD1">
        <w:rPr>
          <w:rFonts w:ascii="Calibri" w:hAnsi="Calibri" w:cs="Calibri"/>
          <w:sz w:val="22"/>
          <w:szCs w:val="22"/>
        </w:rPr>
        <w:t> in the definition of race (if you include this level of detail).  ETC will be updating &amp; communicating an updated EEO Policy to include hair length.</w:t>
      </w:r>
    </w:p>
    <w:p w14:paraId="465ABD19"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22154DE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ORGAN DONORS PROTECTED</w:t>
      </w:r>
      <w:r w:rsidRPr="00DD7BD1">
        <w:rPr>
          <w:rFonts w:ascii="Calibri" w:hAnsi="Calibri" w:cs="Calibri"/>
          <w:sz w:val="22"/>
          <w:szCs w:val="22"/>
        </w:rPr>
        <w:br/>
        <w:t>Employers are prohibited from discriminating or taking adverse action against employees who donate an organ. The new law doesn’t specifically require that employers provide organ donation </w:t>
      </w:r>
      <w:r w:rsidRPr="00DD7BD1">
        <w:rPr>
          <w:rFonts w:ascii="Calibri" w:hAnsi="Calibri" w:cs="Calibri"/>
          <w:i/>
          <w:iCs/>
          <w:sz w:val="22"/>
          <w:szCs w:val="22"/>
        </w:rPr>
        <w:t>leave</w:t>
      </w:r>
      <w:r w:rsidRPr="00DD7BD1">
        <w:rPr>
          <w:rFonts w:ascii="Calibri" w:hAnsi="Calibri" w:cs="Calibri"/>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color w:val="282828"/>
          <w:sz w:val="22"/>
          <w:szCs w:val="22"/>
        </w:rPr>
        <w:t xml:space="preserve"> </w:t>
      </w:r>
      <w:r w:rsidRPr="00DD7BD1">
        <w:rPr>
          <w:rFonts w:ascii="Calibri" w:hAnsi="Calibri" w:cs="Calibri"/>
          <w:sz w:val="22"/>
          <w:szCs w:val="22"/>
        </w:rPr>
        <w:t>Update your Equal Employment Opportunity (EEO) policy, and any other policies that include protected classes, to include </w:t>
      </w:r>
      <w:r w:rsidRPr="00DD7BD1">
        <w:rPr>
          <w:rFonts w:ascii="Calibri" w:hAnsi="Calibri" w:cs="Calibri"/>
          <w:i/>
          <w:iCs/>
          <w:sz w:val="22"/>
          <w:szCs w:val="22"/>
        </w:rPr>
        <w:t>organ donors</w:t>
      </w:r>
      <w:r w:rsidRPr="00DD7BD1">
        <w:rPr>
          <w:rFonts w:ascii="Calibri" w:hAnsi="Calibri" w:cs="Calibri"/>
          <w:sz w:val="22"/>
          <w:szCs w:val="22"/>
        </w:rPr>
        <w:t>.</w:t>
      </w:r>
    </w:p>
    <w:p w14:paraId="59C0B486" w14:textId="6496733A"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38A9758A" w14:textId="138B2308" w:rsidR="00022BF0" w:rsidRPr="00DD7BD1" w:rsidRDefault="00022BF0" w:rsidP="00022BF0">
      <w:pPr>
        <w:shd w:val="clear" w:color="auto" w:fill="FFFFFF"/>
        <w:spacing w:after="0" w:line="240" w:lineRule="auto"/>
        <w:jc w:val="center"/>
        <w:outlineLvl w:val="0"/>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Updates to Pay Transparency Law</w:t>
      </w:r>
    </w:p>
    <w:p w14:paraId="580F0599"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state now requires employers to </w:t>
      </w:r>
      <w:r w:rsidRPr="00DD7BD1">
        <w:rPr>
          <w:rFonts w:ascii="Calibri" w:eastAsia="Times New Roman" w:hAnsi="Calibri" w:cs="Calibri"/>
          <w:b/>
          <w:bCs/>
        </w:rPr>
        <w:t>notify employees about all job opportunities</w:t>
      </w:r>
      <w:r w:rsidRPr="00DD7BD1">
        <w:rPr>
          <w:rFonts w:ascii="Calibri" w:eastAsia="Times New Roman" w:hAnsi="Calibri" w:cs="Calibri"/>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 For employers </w:t>
      </w:r>
      <w:r w:rsidRPr="00DD7BD1">
        <w:rPr>
          <w:rFonts w:ascii="Calibri" w:eastAsia="Times New Roman" w:hAnsi="Calibri" w:cs="Calibri"/>
          <w:u w:val="single"/>
        </w:rPr>
        <w:t>with no physical location</w:t>
      </w:r>
      <w:r w:rsidRPr="00DD7BD1">
        <w:rPr>
          <w:rFonts w:ascii="Calibri" w:eastAsia="Times New Roman" w:hAnsi="Calibri" w:cs="Calibri"/>
        </w:rPr>
        <w:t xml:space="preserve"> in Colorado and </w:t>
      </w:r>
      <w:r w:rsidRPr="00DD7BD1">
        <w:rPr>
          <w:rFonts w:ascii="Calibri" w:eastAsia="Times New Roman" w:hAnsi="Calibri" w:cs="Calibri"/>
          <w:u w:val="single"/>
        </w:rPr>
        <w:t>14 or fewer remote employees in the state</w:t>
      </w:r>
      <w:r w:rsidRPr="00DD7BD1">
        <w:rPr>
          <w:rFonts w:ascii="Calibri" w:eastAsia="Times New Roman" w:hAnsi="Calibri" w:cs="Calibri"/>
        </w:rPr>
        <w:t>, only remote job opportunities must be shared.</w:t>
      </w:r>
    </w:p>
    <w:p w14:paraId="3FA8D04C" w14:textId="77777777" w:rsidR="00022BF0" w:rsidRPr="00DD7BD1" w:rsidRDefault="00022BF0" w:rsidP="00B06DBE">
      <w:pPr>
        <w:shd w:val="clear" w:color="auto" w:fill="FFFFFF"/>
        <w:spacing w:after="0" w:line="240" w:lineRule="auto"/>
        <w:jc w:val="both"/>
        <w:rPr>
          <w:rFonts w:ascii="Calibri" w:eastAsia="Times New Roman" w:hAnsi="Calibri" w:cs="Calibri"/>
          <w:sz w:val="12"/>
          <w:szCs w:val="12"/>
        </w:rPr>
      </w:pPr>
    </w:p>
    <w:p w14:paraId="4A4BD757"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Employers also have new post-selection notice responsibilities.</w:t>
      </w:r>
      <w:r w:rsidRPr="00DD7BD1">
        <w:rPr>
          <w:rFonts w:ascii="Calibri" w:eastAsia="Times New Roman" w:hAnsi="Calibri" w:cs="Calibri"/>
        </w:rPr>
        <w:t xml:space="preserve"> </w:t>
      </w:r>
    </w:p>
    <w:p w14:paraId="5A90F560"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Within 30 days of the selected candidate starting the job, employers must communicate the following information to the employees that will regularly work with that individual:</w:t>
      </w:r>
    </w:p>
    <w:p w14:paraId="06225CBD"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name of the person who filled the position</w:t>
      </w:r>
    </w:p>
    <w:p w14:paraId="6F4C719C"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title</w:t>
      </w:r>
    </w:p>
    <w:p w14:paraId="62AF5B4A"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prior title with the employer, if applicable</w:t>
      </w:r>
    </w:p>
    <w:p w14:paraId="5B9C7CBC" w14:textId="77E81131"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How and where employees can express interest in similar job opportunities</w:t>
      </w:r>
    </w:p>
    <w:p w14:paraId="2EA55257" w14:textId="31425CE1" w:rsidR="00AF4ED7"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Finally</w:t>
      </w:r>
      <w:r w:rsidRPr="00DD7BD1">
        <w:rPr>
          <w:rFonts w:ascii="Calibri" w:eastAsia="Times New Roman" w:hAnsi="Calibri" w:cs="Calibri"/>
          <w:b/>
          <w:bCs/>
        </w:rPr>
        <w:t>, all eligible employees must be notified of a position’s requirements for career progression</w:t>
      </w:r>
      <w:r w:rsidRPr="00DD7BD1">
        <w:rPr>
          <w:rFonts w:ascii="Calibri" w:eastAsia="Times New Roman" w:hAnsi="Calibri" w:cs="Calibri"/>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DD7BD1" w:rsidRDefault="008C6649" w:rsidP="0073426F">
      <w:pPr>
        <w:pStyle w:val="Heading1"/>
        <w:shd w:val="clear" w:color="auto" w:fill="FFFFFF"/>
        <w:spacing w:before="0" w:beforeAutospacing="0" w:after="0" w:afterAutospacing="0"/>
        <w:jc w:val="center"/>
        <w:rPr>
          <w:rStyle w:val="Strong"/>
          <w:rFonts w:ascii="Calibri" w:hAnsi="Calibri" w:cs="Calibri"/>
          <w:b/>
          <w:bCs/>
          <w:kern w:val="0"/>
          <w:sz w:val="20"/>
          <w:szCs w:val="20"/>
        </w:rPr>
      </w:pPr>
    </w:p>
    <w:p w14:paraId="18E38980" w14:textId="58EE47E1" w:rsidR="0073426F" w:rsidRPr="00DD7BD1" w:rsidRDefault="0073426F" w:rsidP="0073426F">
      <w:pPr>
        <w:pStyle w:val="Heading1"/>
        <w:shd w:val="clear" w:color="auto" w:fill="FFFFFF"/>
        <w:spacing w:before="0" w:beforeAutospacing="0" w:after="0" w:afterAutospacing="0"/>
        <w:jc w:val="center"/>
        <w:rPr>
          <w:rFonts w:ascii="Calibri" w:hAnsi="Calibri" w:cs="Calibri"/>
          <w:kern w:val="0"/>
          <w:sz w:val="28"/>
          <w:szCs w:val="28"/>
        </w:rPr>
      </w:pPr>
      <w:r w:rsidRPr="00DD7BD1">
        <w:rPr>
          <w:rStyle w:val="Strong"/>
          <w:rFonts w:ascii="Calibri" w:hAnsi="Calibri" w:cs="Calibri"/>
          <w:b/>
          <w:bCs/>
          <w:kern w:val="0"/>
          <w:sz w:val="28"/>
          <w:szCs w:val="28"/>
        </w:rPr>
        <w:t>State AI Bill - Regulating Employment Decisions</w:t>
      </w:r>
    </w:p>
    <w:p w14:paraId="6C1EBCDA" w14:textId="582F46E5" w:rsidR="0073426F" w:rsidRPr="00DD7BD1" w:rsidRDefault="0073426F" w:rsidP="0073426F">
      <w:pPr>
        <w:spacing w:after="0" w:line="240" w:lineRule="auto"/>
        <w:jc w:val="both"/>
        <w:rPr>
          <w:rFonts w:ascii="Calibri" w:hAnsi="Calibri" w:cs="Calibri"/>
        </w:rPr>
      </w:pPr>
      <w:r w:rsidRPr="00DD7BD1">
        <w:rPr>
          <w:rFonts w:ascii="Calibri" w:hAnsi="Calibri" w:cs="Calibri"/>
        </w:rPr>
        <w:t xml:space="preserve">On May 17, 2024, Colorado Governor Jared Poils signed Colorado </w:t>
      </w:r>
      <w:hyperlink r:id="rId616" w:history="1">
        <w:r w:rsidRPr="00DD7BD1">
          <w:rPr>
            <w:rStyle w:val="Hyperlink"/>
            <w:rFonts w:ascii="Calibri" w:hAnsi="Calibri" w:cs="Calibri"/>
          </w:rPr>
          <w:t>SB 24-205</w:t>
        </w:r>
      </w:hyperlink>
      <w:r w:rsidRPr="00DD7BD1">
        <w:rPr>
          <w:rFonts w:ascii="Calibri" w:hAnsi="Calibri" w:cs="Calibri"/>
        </w:rPr>
        <w:t xml:space="preserve">, making Colorado the first state to enact broad legislation regulating employers’ use of AI to make “consequential decisions.” </w:t>
      </w:r>
      <w:r w:rsidR="008C6649" w:rsidRPr="00DD7BD1">
        <w:rPr>
          <w:rFonts w:ascii="Calibri" w:hAnsi="Calibri" w:cs="Calibri"/>
        </w:rPr>
        <w:t xml:space="preserve"> The law, effective on </w:t>
      </w:r>
      <w:r w:rsidR="008C6649" w:rsidRPr="00DD7BD1">
        <w:rPr>
          <w:rFonts w:ascii="Calibri" w:hAnsi="Calibri" w:cs="Calibri"/>
          <w:color w:val="C00000"/>
        </w:rPr>
        <w:t xml:space="preserve">February 1, 2026, </w:t>
      </w:r>
      <w:r w:rsidR="008C6649" w:rsidRPr="00DD7BD1">
        <w:rPr>
          <w:rFonts w:ascii="Calibri" w:hAnsi="Calibri" w:cs="Calibri"/>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DD7BD1" w:rsidRDefault="0073426F" w:rsidP="0073426F">
      <w:pPr>
        <w:shd w:val="clear" w:color="auto" w:fill="FFFFFF"/>
        <w:spacing w:after="0" w:line="240" w:lineRule="auto"/>
        <w:ind w:left="720"/>
        <w:rPr>
          <w:rFonts w:ascii="Calibri" w:eastAsia="Times New Roman" w:hAnsi="Calibri" w:cs="Calibri"/>
          <w:color w:val="292929"/>
          <w:spacing w:val="3"/>
        </w:rPr>
      </w:pPr>
    </w:p>
    <w:p w14:paraId="1A030164"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Key Takeaways</w:t>
      </w:r>
      <w:r w:rsidRPr="00DD7BD1">
        <w:rPr>
          <w:rFonts w:ascii="Calibri" w:hAnsi="Calibri" w:cs="Calibri"/>
          <w:spacing w:val="3"/>
          <w:highlight w:val="lightGray"/>
          <w:shd w:val="clear" w:color="auto" w:fill="FFFFFF"/>
        </w:rPr>
        <w:t>:</w:t>
      </w:r>
      <w:r w:rsidRPr="00DD7BD1">
        <w:rPr>
          <w:rFonts w:ascii="Calibri" w:hAnsi="Calibri" w:cs="Calibri"/>
          <w:spacing w:val="3"/>
          <w:shd w:val="clear" w:color="auto" w:fill="FFFFFF"/>
        </w:rPr>
        <w:t xml:space="preserve"> </w:t>
      </w:r>
      <w:r w:rsidRPr="00DD7BD1">
        <w:rPr>
          <w:rFonts w:ascii="Calibri" w:hAnsi="Calibri" w:cs="Calibri"/>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DD7BD1" w:rsidRDefault="0073426F" w:rsidP="0073426F">
      <w:pPr>
        <w:spacing w:after="0" w:line="240" w:lineRule="auto"/>
        <w:jc w:val="both"/>
        <w:rPr>
          <w:rFonts w:ascii="Calibri" w:hAnsi="Calibri" w:cs="Calibri"/>
          <w:sz w:val="16"/>
          <w:szCs w:val="16"/>
        </w:rPr>
      </w:pPr>
    </w:p>
    <w:p w14:paraId="72CE9232"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Overview:</w:t>
      </w:r>
      <w:r w:rsidRPr="00DD7BD1">
        <w:rPr>
          <w:rFonts w:ascii="Calibri" w:hAnsi="Calibri" w:cs="Calibri"/>
          <w:b/>
          <w:bCs/>
          <w:spacing w:val="3"/>
          <w:shd w:val="clear" w:color="auto" w:fill="FFFFFF"/>
        </w:rPr>
        <w:t xml:space="preserve"> </w:t>
      </w:r>
      <w:r w:rsidRPr="00DD7BD1">
        <w:rPr>
          <w:rFonts w:ascii="Calibri" w:hAnsi="Calibri" w:cs="Calibri"/>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DD7BD1">
        <w:rPr>
          <w:rFonts w:ascii="Calibri" w:hAnsi="Calibri" w:cs="Calibri"/>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DD7BD1" w:rsidRDefault="0073426F" w:rsidP="0073426F">
      <w:pPr>
        <w:spacing w:after="0" w:line="240" w:lineRule="auto"/>
        <w:jc w:val="both"/>
        <w:rPr>
          <w:rFonts w:ascii="Calibri" w:hAnsi="Calibri" w:cs="Calibri"/>
          <w:color w:val="000000" w:themeColor="text1"/>
          <w:spacing w:val="3"/>
          <w:sz w:val="16"/>
          <w:szCs w:val="16"/>
          <w:shd w:val="clear" w:color="auto" w:fill="FFFFFF"/>
        </w:rPr>
      </w:pPr>
    </w:p>
    <w:p w14:paraId="0E97B12B"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Under Colorado SB 205, deployers of high-risk AI systems must provide “consumers,” including job applicants, with information regarding their </w:t>
      </w:r>
      <w:r w:rsidRPr="00DD7BD1">
        <w:rPr>
          <w:rFonts w:ascii="Calibri" w:hAnsi="Calibri" w:cs="Calibri"/>
          <w:color w:val="000000" w:themeColor="text1"/>
          <w:spacing w:val="3"/>
          <w:u w:val="single"/>
          <w:shd w:val="clear" w:color="auto" w:fill="FFFFFF"/>
        </w:rPr>
        <w:t>right to opt out of the processing of their personal data</w:t>
      </w:r>
      <w:r w:rsidRPr="00DD7BD1">
        <w:rPr>
          <w:rFonts w:ascii="Calibri" w:hAnsi="Calibri" w:cs="Calibri"/>
          <w:color w:val="000000" w:themeColor="text1"/>
          <w:spacing w:val="3"/>
          <w:shd w:val="clear" w:color="auto" w:fill="FFFFFF"/>
        </w:rPr>
        <w:t xml:space="preserve">, consistent with Colorado’s existing privacy law. </w:t>
      </w:r>
    </w:p>
    <w:p w14:paraId="6C7467C1"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Additionally, the bill requires AI deployers using covered systems </w:t>
      </w:r>
      <w:r w:rsidRPr="00DD7BD1">
        <w:rPr>
          <w:rFonts w:ascii="Calibri" w:hAnsi="Calibri" w:cs="Calibri"/>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DD7BD1">
        <w:rPr>
          <w:rFonts w:ascii="Calibri" w:hAnsi="Calibri" w:cs="Calibri"/>
          <w:color w:val="000000" w:themeColor="text1"/>
          <w:spacing w:val="3"/>
          <w:shd w:val="clear" w:color="auto" w:fill="FFFFFF"/>
        </w:rPr>
        <w:t>.</w:t>
      </w:r>
    </w:p>
    <w:p w14:paraId="48BD4C9A"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Colorado SB 205 also requires AI deployers to conduct impact assessments for high-risk AI systems.</w:t>
      </w:r>
    </w:p>
    <w:p w14:paraId="21308298" w14:textId="77777777" w:rsidR="0073426F" w:rsidRPr="00DD7BD1" w:rsidRDefault="0073426F" w:rsidP="0073426F">
      <w:p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the categories of data the system processes as inputs and the outputs it produces;</w:t>
      </w:r>
    </w:p>
    <w:p w14:paraId="1A396B3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An overview of the categories of data used to customize the system, if applicable;</w:t>
      </w:r>
    </w:p>
    <w:p w14:paraId="27D1E11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The metrics used to evaluate the system’s performance and known limitations; and</w:t>
      </w:r>
    </w:p>
    <w:p w14:paraId="39B3E75F"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transparency measures taken, including measures to disclose the use of the system to consumers.</w:t>
      </w:r>
    </w:p>
    <w:p w14:paraId="33748A1F" w14:textId="77777777" w:rsidR="0073426F" w:rsidRPr="00DD7BD1" w:rsidRDefault="0073426F" w:rsidP="00B06DBE">
      <w:pPr>
        <w:shd w:val="clear" w:color="auto" w:fill="FFFFFF"/>
        <w:spacing w:after="0" w:line="240" w:lineRule="auto"/>
        <w:jc w:val="both"/>
        <w:rPr>
          <w:rFonts w:ascii="Calibri" w:eastAsia="Times New Roman" w:hAnsi="Calibri" w:cs="Calibri"/>
          <w:sz w:val="16"/>
          <w:szCs w:val="16"/>
        </w:rPr>
      </w:pPr>
    </w:p>
    <w:p w14:paraId="28F9C5BE" w14:textId="77777777" w:rsidR="00AF4ED7" w:rsidRPr="00DD7BD1" w:rsidRDefault="00AF4ED7" w:rsidP="00AF4ED7">
      <w:pPr>
        <w:shd w:val="clear" w:color="auto" w:fill="FFFFFF"/>
        <w:spacing w:after="0" w:line="240" w:lineRule="auto"/>
        <w:rPr>
          <w:rFonts w:ascii="Calibri" w:hAnsi="Calibri" w:cs="Calibri"/>
          <w:b/>
          <w:bCs/>
          <w:color w:val="2E74B5" w:themeColor="accent5" w:themeShade="BF"/>
          <w:sz w:val="28"/>
          <w:szCs w:val="28"/>
          <w:shd w:val="clear" w:color="auto" w:fill="FFFFFF"/>
          <w:lang w:val="en"/>
        </w:rPr>
      </w:pPr>
      <w:bookmarkStart w:id="77" w:name="_Hlk170458569"/>
      <w:r w:rsidRPr="00DD7BD1">
        <w:rPr>
          <w:rFonts w:ascii="Calibri" w:hAnsi="Calibri" w:cs="Calibri"/>
          <w:b/>
          <w:bCs/>
          <w:color w:val="2E74B5" w:themeColor="accent5" w:themeShade="BF"/>
          <w:sz w:val="28"/>
          <w:szCs w:val="28"/>
          <w:shd w:val="clear" w:color="auto" w:fill="FFFFFF"/>
          <w:lang w:val="en"/>
        </w:rPr>
        <w:t>Connecticut</w:t>
      </w:r>
    </w:p>
    <w:p w14:paraId="4F71A6A0" w14:textId="343A047D" w:rsidR="00EB6934" w:rsidRDefault="00EB6934" w:rsidP="00EB6934">
      <w:pPr>
        <w:jc w:val="center"/>
        <w:rPr>
          <w:b/>
          <w:bCs/>
          <w:caps/>
          <w:color w:val="0070C0"/>
          <w:sz w:val="26"/>
          <w:szCs w:val="26"/>
        </w:rPr>
      </w:pPr>
      <w:bookmarkStart w:id="78" w:name="_Hlk212642489"/>
      <w:r w:rsidRPr="005E5793">
        <w:rPr>
          <w:b/>
          <w:bCs/>
          <w:caps/>
          <w:noProof/>
          <w:color w:val="0E425C"/>
          <w:sz w:val="26"/>
          <w:szCs w:val="26"/>
        </w:rPr>
        <w:t xml:space="preserve">State Warehouse Quota Law Eff </w:t>
      </w:r>
      <w:r w:rsidRPr="005E5793">
        <w:rPr>
          <w:b/>
          <w:bCs/>
          <w:caps/>
          <w:color w:val="0070C0"/>
          <w:sz w:val="26"/>
          <w:szCs w:val="26"/>
        </w:rPr>
        <w:t>July 1, 2026</w:t>
      </w:r>
    </w:p>
    <w:p w14:paraId="56122170" w14:textId="77777777" w:rsidR="00EB6934" w:rsidRPr="002F6B18" w:rsidRDefault="00EB6934" w:rsidP="00EB6934">
      <w:pPr>
        <w:rPr>
          <w:rFonts w:eastAsia="Times New Roman"/>
        </w:rPr>
      </w:pPr>
      <w:r w:rsidRPr="002F6B18">
        <w:rPr>
          <w:rFonts w:eastAsia="Times New Roman"/>
        </w:rPr>
        <w:t>Warehouse Quota laws require certain employers operating warehouses and distribution centers to provide notice to employees of any productivity quotas, along with an identification of the adverse employment actions which could be imposed for failure to meet a quota.</w:t>
      </w:r>
    </w:p>
    <w:p w14:paraId="1099B350" w14:textId="77777777" w:rsidR="00EB6934" w:rsidRPr="002F6B18" w:rsidRDefault="00EB6934" w:rsidP="00EB6934">
      <w:pPr>
        <w:rPr>
          <w:shd w:val="clear" w:color="auto" w:fill="FFFFFF"/>
        </w:rPr>
      </w:pPr>
      <w:r w:rsidRPr="002F6B18">
        <w:rPr>
          <w:shd w:val="clear" w:color="auto" w:fill="FFFFFF"/>
        </w:rPr>
        <w:t>Connecticut’s new law applies only to non-exempt employees who work at “warehouse distribution centers,” at which the employer employs at least a defined number of employees, and only within operations identified by specific codes within the North American Industry Classification System (NAICS).</w:t>
      </w:r>
    </w:p>
    <w:p w14:paraId="53A08095" w14:textId="2DC70DC9" w:rsidR="00EB6934" w:rsidRPr="00EB6934" w:rsidRDefault="00EB6934" w:rsidP="00EB6934">
      <w:pPr>
        <w:rPr>
          <w:shd w:val="clear" w:color="auto" w:fill="FFFFFF"/>
        </w:rPr>
      </w:pPr>
      <w:r w:rsidRPr="002F6B18">
        <w:rPr>
          <w:shd w:val="clear" w:color="auto" w:fill="FFFFFF"/>
        </w:rPr>
        <w:t xml:space="preserve">Impacted employers are urged  to ensure understanding and compliance with this industry-specific compliance obligation. To learn more, access Littler Mendelson’s ASAP online release from March 10, 2026, </w:t>
      </w:r>
      <w:hyperlink r:id="rId617" w:history="1">
        <w:r w:rsidRPr="002F6B18">
          <w:rPr>
            <w:rStyle w:val="Hyperlink"/>
            <w:shd w:val="clear" w:color="auto" w:fill="FFFFFF"/>
          </w:rPr>
          <w:t>HERE</w:t>
        </w:r>
      </w:hyperlink>
      <w:r>
        <w:rPr>
          <w:shd w:val="clear" w:color="auto" w:fill="FFFFFF"/>
        </w:rPr>
        <w:t xml:space="preserve">   </w:t>
      </w:r>
      <w:r w:rsidRPr="002F6B18">
        <w:t xml:space="preserve">Additional related Links: </w:t>
      </w:r>
      <w:hyperlink r:id="rId618" w:history="1">
        <w:r w:rsidRPr="002F6B18">
          <w:rPr>
            <w:rStyle w:val="Hyperlink"/>
          </w:rPr>
          <w:t>SB 298, Secs. 50-57</w:t>
        </w:r>
      </w:hyperlink>
      <w:r w:rsidRPr="002F6B18">
        <w:t xml:space="preserve"> and </w:t>
      </w:r>
      <w:hyperlink r:id="rId619" w:history="1">
        <w:r w:rsidRPr="002F6B18">
          <w:rPr>
            <w:rStyle w:val="Hyperlink"/>
          </w:rPr>
          <w:t>Bill Notification 2026-2 (3.6.26)</w:t>
        </w:r>
      </w:hyperlink>
    </w:p>
    <w:p w14:paraId="529BE855" w14:textId="460BF41B" w:rsidR="00AF6D90" w:rsidRPr="00DD7BD1" w:rsidRDefault="00AF6D90" w:rsidP="00AF6D9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2026</w:t>
      </w:r>
    </w:p>
    <w:p w14:paraId="509F510A" w14:textId="3CBCCBCB" w:rsidR="00AF6D90"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Connecticut’s minimum wage will increase to $16.94 per hour. The minimum base wage for most tipped hotel and restaurant service employees and tipped bartenders remains the same ($6.38 and $8.23 per hour, respectively).</w:t>
      </w:r>
    </w:p>
    <w:p w14:paraId="1FA699E4" w14:textId="77777777" w:rsidR="00AF6D90" w:rsidRPr="00DD7BD1" w:rsidRDefault="00AF6D90" w:rsidP="00AF6D90">
      <w:pPr>
        <w:spacing w:after="0" w:line="240" w:lineRule="auto"/>
        <w:jc w:val="center"/>
        <w:rPr>
          <w:rFonts w:ascii="Calibri" w:hAnsi="Calibri" w:cs="Calibri"/>
          <w:b/>
          <w:bCs/>
          <w:shd w:val="clear" w:color="auto" w:fill="FFFFFF"/>
          <w:lang w:val="en"/>
        </w:rPr>
      </w:pPr>
    </w:p>
    <w:p w14:paraId="0AF4BFCF" w14:textId="3DDB4303" w:rsidR="00AF6D90" w:rsidRPr="00DD7BD1" w:rsidRDefault="00AF6D90" w:rsidP="00AF6D9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State Paid Sick Leave Regulations – </w:t>
      </w:r>
      <w:r w:rsidRPr="00DD7BD1">
        <w:rPr>
          <w:rFonts w:ascii="Calibri" w:hAnsi="Calibri" w:cs="Calibri"/>
          <w:b/>
          <w:bCs/>
          <w:color w:val="C00000"/>
          <w:sz w:val="28"/>
          <w:szCs w:val="28"/>
          <w:shd w:val="clear" w:color="auto" w:fill="FFFFFF"/>
          <w:lang w:val="en"/>
        </w:rPr>
        <w:t>Eff Jan 1, 2026</w:t>
      </w:r>
    </w:p>
    <w:p w14:paraId="570296C4" w14:textId="12FF4792" w:rsidR="00B01E3D"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rPr>
        <w:t>Beginning January 1, 2026, Connecticut’s paid sick leave law will cover employers with 11 or more employees in the state.</w:t>
      </w:r>
    </w:p>
    <w:p w14:paraId="204DE3C0" w14:textId="77777777" w:rsidR="00AC5E05" w:rsidRPr="00AC5E05" w:rsidRDefault="00AC5E05" w:rsidP="00A85628">
      <w:pPr>
        <w:spacing w:before="11"/>
        <w:ind w:right="-90"/>
        <w:jc w:val="center"/>
        <w:rPr>
          <w:rFonts w:ascii="Calibri" w:hAnsi="Calibri" w:cs="Calibri"/>
          <w:b/>
          <w:bCs/>
          <w:sz w:val="12"/>
          <w:szCs w:val="12"/>
          <w:shd w:val="clear" w:color="auto" w:fill="FFFFFF"/>
        </w:rPr>
      </w:pPr>
    </w:p>
    <w:p w14:paraId="65FA0F39" w14:textId="1D6755A9" w:rsidR="00A85628" w:rsidRPr="00DD7BD1" w:rsidRDefault="00A85628" w:rsidP="00A85628">
      <w:pPr>
        <w:spacing w:before="11"/>
        <w:ind w:right="-9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State Expands Victim Protections –</w:t>
      </w:r>
      <w:r w:rsidRPr="00DD7BD1">
        <w:rPr>
          <w:rFonts w:ascii="Calibri" w:hAnsi="Calibri" w:cs="Calibri"/>
          <w:b/>
          <w:bCs/>
          <w:color w:val="C00000"/>
          <w:sz w:val="28"/>
          <w:szCs w:val="28"/>
          <w:shd w:val="clear" w:color="auto" w:fill="FFFFFF"/>
        </w:rPr>
        <w:t xml:space="preserve"> Eff Oct 1, 2025</w:t>
      </w:r>
    </w:p>
    <w:bookmarkEnd w:id="78"/>
    <w:p w14:paraId="0AF27FA6" w14:textId="473CECB1" w:rsidR="00A85628" w:rsidRPr="00DD7BD1" w:rsidRDefault="00A85628" w:rsidP="00A85628">
      <w:pPr>
        <w:pStyle w:val="BodyText"/>
        <w:spacing w:after="0" w:line="240" w:lineRule="auto"/>
        <w:ind w:right="-187"/>
        <w:jc w:val="left"/>
        <w:rPr>
          <w:rFonts w:cs="Calibri"/>
          <w:color w:val="auto"/>
          <w:spacing w:val="-2"/>
          <w:w w:val="110"/>
          <w:szCs w:val="22"/>
        </w:rPr>
      </w:pPr>
      <w:r w:rsidRPr="00DD7BD1">
        <w:rPr>
          <w:rFonts w:cs="Calibri"/>
          <w:szCs w:val="22"/>
        </w:rPr>
        <w:fldChar w:fldCharType="begin"/>
      </w:r>
      <w:r w:rsidRPr="00DD7BD1">
        <w:rPr>
          <w:rFonts w:cs="Calibri"/>
          <w:szCs w:val="22"/>
        </w:rPr>
        <w:instrText>HYPERLINK "https://www.cga.ct.gov/asp/cgabillstatus/cgabillstatus.asp?selBillType=Bill&amp;which_year=2025&amp;bill_num=7236" \h</w:instrText>
      </w:r>
      <w:r w:rsidRPr="00DD7BD1">
        <w:rPr>
          <w:rFonts w:cs="Calibri"/>
          <w:szCs w:val="22"/>
        </w:rPr>
      </w:r>
      <w:r w:rsidRPr="00DD7BD1">
        <w:rPr>
          <w:rFonts w:cs="Calibri"/>
          <w:szCs w:val="22"/>
        </w:rPr>
        <w:fldChar w:fldCharType="separate"/>
      </w:r>
      <w:r w:rsidRPr="00DD7BD1">
        <w:rPr>
          <w:rFonts w:cs="Calibri"/>
          <w:color w:val="0000FF"/>
          <w:w w:val="110"/>
          <w:szCs w:val="22"/>
          <w:u w:val="single" w:color="0000FF"/>
        </w:rPr>
        <w:t>CT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7236</w:t>
      </w:r>
      <w:r w:rsidRPr="00DD7BD1">
        <w:rPr>
          <w:rFonts w:cs="Calibri"/>
          <w:szCs w:val="22"/>
        </w:rPr>
        <w:fldChar w:fldCharType="end"/>
      </w:r>
      <w:r w:rsidRPr="00DD7BD1">
        <w:rPr>
          <w:rFonts w:cs="Calibri"/>
          <w:color w:val="0000FF"/>
          <w:spacing w:val="-17"/>
          <w:w w:val="110"/>
          <w:szCs w:val="22"/>
        </w:rPr>
        <w:t xml:space="preserve"> </w:t>
      </w:r>
      <w:r w:rsidRPr="00DD7BD1">
        <w:rPr>
          <w:rFonts w:cs="Calibri"/>
          <w:color w:val="auto"/>
          <w:w w:val="110"/>
          <w:szCs w:val="22"/>
        </w:rPr>
        <w:t>was</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8,</w:t>
      </w:r>
      <w:r w:rsidRPr="00DD7BD1">
        <w:rPr>
          <w:rFonts w:cs="Calibri"/>
          <w:color w:val="auto"/>
          <w:spacing w:val="-16"/>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6"/>
          <w:w w:val="110"/>
          <w:szCs w:val="22"/>
        </w:rPr>
        <w:t xml:space="preserve"> </w:t>
      </w:r>
      <w:r w:rsidRPr="00DD7BD1">
        <w:rPr>
          <w:rFonts w:cs="Calibri"/>
          <w:color w:val="auto"/>
          <w:w w:val="110"/>
          <w:szCs w:val="22"/>
        </w:rPr>
        <w:t>Connecticut’s</w:t>
      </w:r>
      <w:r w:rsidRPr="00DD7BD1">
        <w:rPr>
          <w:rFonts w:cs="Calibri"/>
          <w:color w:val="auto"/>
          <w:spacing w:val="-17"/>
          <w:w w:val="110"/>
          <w:szCs w:val="22"/>
        </w:rPr>
        <w:t xml:space="preserve"> </w:t>
      </w:r>
      <w:r w:rsidRPr="00DD7BD1">
        <w:rPr>
          <w:rFonts w:cs="Calibri"/>
          <w:color w:val="auto"/>
          <w:w w:val="110"/>
          <w:szCs w:val="22"/>
        </w:rPr>
        <w:t>antidiscrimination law,</w:t>
      </w:r>
      <w:r w:rsidRPr="00DD7BD1">
        <w:rPr>
          <w:rFonts w:cs="Calibri"/>
          <w:color w:val="auto"/>
          <w:spacing w:val="-9"/>
          <w:w w:val="110"/>
          <w:szCs w:val="22"/>
        </w:rPr>
        <w:t xml:space="preserve"> </w:t>
      </w:r>
      <w:r w:rsidRPr="00DD7BD1">
        <w:rPr>
          <w:rFonts w:cs="Calibri"/>
          <w:color w:val="auto"/>
          <w:w w:val="110"/>
          <w:szCs w:val="22"/>
        </w:rPr>
        <w:t>which</w:t>
      </w:r>
      <w:r w:rsidRPr="00DD7BD1">
        <w:rPr>
          <w:rFonts w:cs="Calibri"/>
          <w:color w:val="auto"/>
          <w:spacing w:val="-7"/>
          <w:w w:val="110"/>
          <w:szCs w:val="22"/>
        </w:rPr>
        <w:t xml:space="preserve"> </w:t>
      </w:r>
      <w:r w:rsidRPr="00DD7BD1">
        <w:rPr>
          <w:rFonts w:cs="Calibri"/>
          <w:color w:val="auto"/>
          <w:w w:val="110"/>
          <w:szCs w:val="22"/>
        </w:rPr>
        <w:t>applies</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7"/>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cover</w:t>
      </w:r>
      <w:r w:rsidRPr="00DD7BD1">
        <w:rPr>
          <w:rFonts w:cs="Calibri"/>
          <w:color w:val="auto"/>
          <w:spacing w:val="-7"/>
          <w:w w:val="110"/>
          <w:szCs w:val="22"/>
        </w:rPr>
        <w:t xml:space="preserve"> </w:t>
      </w:r>
      <w:r w:rsidRPr="00DD7BD1">
        <w:rPr>
          <w:rFonts w:cs="Calibri"/>
          <w:color w:val="auto"/>
          <w:w w:val="110"/>
          <w:szCs w:val="22"/>
        </w:rPr>
        <w:t>victims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u w:val="single"/>
        </w:rPr>
        <w:t>sexual</w:t>
      </w:r>
      <w:r w:rsidRPr="00DD7BD1">
        <w:rPr>
          <w:rFonts w:cs="Calibri"/>
          <w:color w:val="auto"/>
          <w:spacing w:val="-9"/>
          <w:w w:val="110"/>
          <w:szCs w:val="22"/>
          <w:u w:val="single"/>
        </w:rPr>
        <w:t xml:space="preserve"> </w:t>
      </w:r>
      <w:r w:rsidRPr="00DD7BD1">
        <w:rPr>
          <w:rFonts w:cs="Calibri"/>
          <w:color w:val="auto"/>
          <w:w w:val="110"/>
          <w:szCs w:val="22"/>
          <w:u w:val="single"/>
        </w:rPr>
        <w:t>assault</w:t>
      </w:r>
      <w:r w:rsidRPr="00DD7BD1">
        <w:rPr>
          <w:rFonts w:cs="Calibri"/>
          <w:color w:val="auto"/>
          <w:spacing w:val="-7"/>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human</w:t>
      </w:r>
      <w:r w:rsidRPr="00DD7BD1">
        <w:rPr>
          <w:rFonts w:cs="Calibri"/>
          <w:color w:val="auto"/>
          <w:spacing w:val="-7"/>
          <w:w w:val="110"/>
          <w:szCs w:val="22"/>
          <w:u w:val="single"/>
        </w:rPr>
        <w:t xml:space="preserve"> </w:t>
      </w:r>
      <w:r w:rsidRPr="00DD7BD1">
        <w:rPr>
          <w:rFonts w:cs="Calibri"/>
          <w:color w:val="auto"/>
          <w:w w:val="110"/>
          <w:szCs w:val="22"/>
          <w:u w:val="single"/>
        </w:rPr>
        <w:t>trafficking</w:t>
      </w:r>
      <w:r w:rsidRPr="00DD7BD1">
        <w:rPr>
          <w:rFonts w:cs="Calibri"/>
          <w:color w:val="auto"/>
          <w:spacing w:val="-6"/>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give</w:t>
      </w:r>
      <w:r w:rsidRPr="00DD7BD1">
        <w:rPr>
          <w:rFonts w:cs="Calibri"/>
          <w:color w:val="auto"/>
          <w:spacing w:val="-7"/>
          <w:w w:val="110"/>
          <w:szCs w:val="22"/>
          <w:u w:val="single"/>
        </w:rPr>
        <w:t xml:space="preserve"> </w:t>
      </w:r>
      <w:r w:rsidRPr="00DD7BD1">
        <w:rPr>
          <w:rFonts w:cs="Calibri"/>
          <w:color w:val="auto"/>
          <w:w w:val="110"/>
          <w:szCs w:val="22"/>
          <w:u w:val="single"/>
        </w:rPr>
        <w:t>them</w:t>
      </w:r>
      <w:r w:rsidRPr="00DD7BD1">
        <w:rPr>
          <w:rFonts w:cs="Calibri"/>
          <w:color w:val="auto"/>
          <w:w w:val="110"/>
          <w:szCs w:val="22"/>
        </w:rPr>
        <w:t xml:space="preserve"> </w:t>
      </w:r>
      <w:r w:rsidRPr="00DD7BD1">
        <w:rPr>
          <w:rFonts w:cs="Calibri"/>
          <w:color w:val="auto"/>
          <w:w w:val="110"/>
          <w:szCs w:val="22"/>
          <w:u w:val="single"/>
        </w:rPr>
        <w:t>the</w:t>
      </w:r>
      <w:r w:rsidRPr="00DD7BD1">
        <w:rPr>
          <w:rFonts w:cs="Calibri"/>
          <w:color w:val="auto"/>
          <w:spacing w:val="-2"/>
          <w:w w:val="110"/>
          <w:szCs w:val="22"/>
          <w:u w:val="single"/>
        </w:rPr>
        <w:t xml:space="preserve"> </w:t>
      </w:r>
      <w:r w:rsidRPr="00DD7BD1">
        <w:rPr>
          <w:rFonts w:cs="Calibri"/>
          <w:color w:val="auto"/>
          <w:w w:val="110"/>
          <w:szCs w:val="22"/>
          <w:u w:val="single"/>
        </w:rPr>
        <w:t>same</w:t>
      </w:r>
      <w:r w:rsidRPr="00DD7BD1">
        <w:rPr>
          <w:rFonts w:cs="Calibri"/>
          <w:color w:val="auto"/>
          <w:spacing w:val="-2"/>
          <w:w w:val="110"/>
          <w:szCs w:val="22"/>
          <w:u w:val="single"/>
        </w:rPr>
        <w:t xml:space="preserve"> </w:t>
      </w:r>
      <w:r w:rsidRPr="00DD7BD1">
        <w:rPr>
          <w:rFonts w:cs="Calibri"/>
          <w:color w:val="auto"/>
          <w:w w:val="110"/>
          <w:szCs w:val="22"/>
          <w:u w:val="single"/>
        </w:rPr>
        <w:t>protections</w:t>
      </w:r>
      <w:r w:rsidRPr="00DD7BD1">
        <w:rPr>
          <w:rFonts w:cs="Calibri"/>
          <w:color w:val="auto"/>
          <w:spacing w:val="-2"/>
          <w:w w:val="110"/>
          <w:szCs w:val="22"/>
          <w:u w:val="single"/>
        </w:rPr>
        <w:t xml:space="preserve"> </w:t>
      </w:r>
      <w:r w:rsidRPr="00DD7BD1">
        <w:rPr>
          <w:rFonts w:cs="Calibri"/>
          <w:color w:val="auto"/>
          <w:w w:val="110"/>
          <w:szCs w:val="22"/>
          <w:u w:val="single"/>
        </w:rPr>
        <w:t>as</w:t>
      </w:r>
      <w:r w:rsidRPr="00DD7BD1">
        <w:rPr>
          <w:rFonts w:cs="Calibri"/>
          <w:color w:val="auto"/>
          <w:spacing w:val="-4"/>
          <w:w w:val="110"/>
          <w:szCs w:val="22"/>
          <w:u w:val="single"/>
        </w:rPr>
        <w:t xml:space="preserve"> </w:t>
      </w:r>
      <w:r w:rsidRPr="00DD7BD1">
        <w:rPr>
          <w:rFonts w:cs="Calibri"/>
          <w:color w:val="auto"/>
          <w:w w:val="110"/>
          <w:szCs w:val="22"/>
          <w:u w:val="single"/>
        </w:rPr>
        <w:t>victims</w:t>
      </w:r>
      <w:r w:rsidRPr="00DD7BD1">
        <w:rPr>
          <w:rFonts w:cs="Calibri"/>
          <w:color w:val="auto"/>
          <w:spacing w:val="-4"/>
          <w:w w:val="110"/>
          <w:szCs w:val="22"/>
          <w:u w:val="single"/>
        </w:rPr>
        <w:t xml:space="preserve"> </w:t>
      </w:r>
      <w:r w:rsidRPr="00DD7BD1">
        <w:rPr>
          <w:rFonts w:cs="Calibri"/>
          <w:color w:val="auto"/>
          <w:w w:val="110"/>
          <w:szCs w:val="22"/>
          <w:u w:val="single"/>
        </w:rPr>
        <w:t>of</w:t>
      </w:r>
      <w:r w:rsidRPr="00DD7BD1">
        <w:rPr>
          <w:rFonts w:cs="Calibri"/>
          <w:color w:val="auto"/>
          <w:spacing w:val="-3"/>
          <w:w w:val="110"/>
          <w:szCs w:val="22"/>
          <w:u w:val="single"/>
        </w:rPr>
        <w:t xml:space="preserve"> </w:t>
      </w:r>
      <w:r w:rsidRPr="00DD7BD1">
        <w:rPr>
          <w:rFonts w:cs="Calibri"/>
          <w:color w:val="auto"/>
          <w:w w:val="110"/>
          <w:szCs w:val="22"/>
          <w:u w:val="single"/>
        </w:rPr>
        <w:t>domestic</w:t>
      </w:r>
      <w:r w:rsidRPr="00DD7BD1">
        <w:rPr>
          <w:rFonts w:cs="Calibri"/>
          <w:color w:val="auto"/>
          <w:spacing w:val="-3"/>
          <w:w w:val="110"/>
          <w:szCs w:val="22"/>
          <w:u w:val="single"/>
        </w:rPr>
        <w:t xml:space="preserve"> </w:t>
      </w:r>
      <w:r w:rsidRPr="00DD7BD1">
        <w:rPr>
          <w:rFonts w:cs="Calibri"/>
          <w:color w:val="auto"/>
          <w:w w:val="110"/>
          <w:szCs w:val="22"/>
          <w:u w:val="single"/>
        </w:rPr>
        <w:t>violence</w:t>
      </w:r>
      <w:r w:rsidRPr="00DD7BD1">
        <w:rPr>
          <w:rFonts w:cs="Calibri"/>
          <w:color w:val="auto"/>
          <w:w w:val="110"/>
          <w:szCs w:val="22"/>
        </w:rPr>
        <w:t>.</w:t>
      </w:r>
      <w:r w:rsidRPr="00DD7BD1">
        <w:rPr>
          <w:rFonts w:cs="Calibri"/>
          <w:color w:val="auto"/>
          <w:spacing w:val="-3"/>
          <w:w w:val="110"/>
          <w:szCs w:val="22"/>
        </w:rPr>
        <w:t xml:space="preserve"> </w:t>
      </w: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means</w:t>
      </w:r>
      <w:r w:rsidRPr="00DD7BD1">
        <w:rPr>
          <w:rFonts w:cs="Calibri"/>
          <w:color w:val="auto"/>
          <w:spacing w:val="-2"/>
          <w:w w:val="110"/>
          <w:szCs w:val="22"/>
        </w:rPr>
        <w:t xml:space="preserve"> </w:t>
      </w:r>
      <w:r w:rsidRPr="00DD7BD1">
        <w:rPr>
          <w:rFonts w:cs="Calibri"/>
          <w:color w:val="auto"/>
          <w:w w:val="110"/>
          <w:szCs w:val="22"/>
        </w:rPr>
        <w:t>they’ll</w:t>
      </w:r>
      <w:r w:rsidRPr="00DD7BD1">
        <w:rPr>
          <w:rFonts w:cs="Calibri"/>
          <w:color w:val="auto"/>
          <w:spacing w:val="-1"/>
          <w:w w:val="110"/>
          <w:szCs w:val="22"/>
        </w:rPr>
        <w:t xml:space="preserve"> </w:t>
      </w:r>
      <w:r w:rsidRPr="00DD7BD1">
        <w:rPr>
          <w:rFonts w:cs="Calibri"/>
          <w:color w:val="auto"/>
          <w:w w:val="110"/>
          <w:szCs w:val="22"/>
        </w:rPr>
        <w:t>be</w:t>
      </w:r>
      <w:r w:rsidRPr="00DD7BD1">
        <w:rPr>
          <w:rFonts w:cs="Calibri"/>
          <w:color w:val="auto"/>
          <w:spacing w:val="-2"/>
          <w:w w:val="110"/>
          <w:szCs w:val="22"/>
        </w:rPr>
        <w:t xml:space="preserve"> </w:t>
      </w:r>
      <w:r w:rsidRPr="00DD7BD1">
        <w:rPr>
          <w:rFonts w:cs="Calibri"/>
          <w:color w:val="auto"/>
          <w:w w:val="110"/>
          <w:szCs w:val="22"/>
        </w:rPr>
        <w:t>entitled</w:t>
      </w:r>
      <w:r w:rsidRPr="00DD7BD1">
        <w:rPr>
          <w:rFonts w:cs="Calibri"/>
          <w:color w:val="auto"/>
          <w:spacing w:val="-2"/>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discrimination</w:t>
      </w:r>
      <w:r w:rsidRPr="00DD7BD1">
        <w:rPr>
          <w:rFonts w:cs="Calibri"/>
          <w:color w:val="auto"/>
          <w:spacing w:val="-2"/>
          <w:w w:val="110"/>
          <w:szCs w:val="22"/>
        </w:rPr>
        <w:t xml:space="preserve"> </w:t>
      </w:r>
      <w:r w:rsidRPr="00DD7BD1">
        <w:rPr>
          <w:rFonts w:cs="Calibri"/>
          <w:color w:val="auto"/>
          <w:w w:val="110"/>
          <w:szCs w:val="22"/>
        </w:rPr>
        <w:t>protections, reasonable</w:t>
      </w:r>
      <w:r w:rsidRPr="00DD7BD1">
        <w:rPr>
          <w:rFonts w:cs="Calibri"/>
          <w:color w:val="auto"/>
          <w:spacing w:val="-17"/>
          <w:w w:val="110"/>
          <w:szCs w:val="22"/>
        </w:rPr>
        <w:t xml:space="preserve"> </w:t>
      </w:r>
      <w:r w:rsidRPr="00DD7BD1">
        <w:rPr>
          <w:rFonts w:cs="Calibri"/>
          <w:color w:val="auto"/>
          <w:w w:val="110"/>
          <w:szCs w:val="22"/>
        </w:rPr>
        <w:t>victim</w:t>
      </w:r>
      <w:r w:rsidRPr="00DD7BD1">
        <w:rPr>
          <w:rFonts w:cs="Calibri"/>
          <w:color w:val="auto"/>
          <w:spacing w:val="-17"/>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accommodations.</w:t>
      </w:r>
      <w:r w:rsidRPr="00DD7BD1">
        <w:rPr>
          <w:rFonts w:cs="Calibri"/>
          <w:color w:val="auto"/>
          <w:spacing w:val="40"/>
          <w:w w:val="110"/>
          <w:szCs w:val="22"/>
        </w:rPr>
        <w:t xml:space="preserve"> </w:t>
      </w:r>
      <w:r w:rsidRPr="00DD7BD1">
        <w:rPr>
          <w:rFonts w:cs="Calibri"/>
          <w:color w:val="auto"/>
          <w:w w:val="110"/>
          <w:szCs w:val="22"/>
        </w:rPr>
        <w:t>ETC’s</w:t>
      </w:r>
      <w:r w:rsidRPr="00DD7BD1">
        <w:rPr>
          <w:rFonts w:cs="Calibri"/>
          <w:color w:val="auto"/>
          <w:spacing w:val="-15"/>
          <w:w w:val="110"/>
          <w:szCs w:val="22"/>
        </w:rPr>
        <w:t xml:space="preserve"> </w:t>
      </w:r>
      <w:r w:rsidRPr="00DD7BD1">
        <w:rPr>
          <w:rFonts w:cs="Calibri"/>
          <w:color w:val="auto"/>
          <w:w w:val="110"/>
          <w:szCs w:val="22"/>
        </w:rPr>
        <w:t>State</w:t>
      </w:r>
      <w:r w:rsidRPr="00DD7BD1">
        <w:rPr>
          <w:rFonts w:cs="Calibri"/>
          <w:color w:val="auto"/>
          <w:spacing w:val="-15"/>
          <w:w w:val="110"/>
          <w:szCs w:val="22"/>
        </w:rPr>
        <w:t xml:space="preserve"> </w:t>
      </w:r>
      <w:r w:rsidRPr="00DD7BD1">
        <w:rPr>
          <w:rFonts w:cs="Calibri"/>
          <w:color w:val="auto"/>
          <w:w w:val="110"/>
          <w:szCs w:val="22"/>
        </w:rPr>
        <w:t>Handbook</w:t>
      </w:r>
      <w:r w:rsidRPr="00DD7BD1">
        <w:rPr>
          <w:rFonts w:cs="Calibri"/>
          <w:color w:val="auto"/>
          <w:spacing w:val="-15"/>
          <w:w w:val="110"/>
          <w:szCs w:val="22"/>
        </w:rPr>
        <w:t xml:space="preserve"> </w:t>
      </w:r>
      <w:r w:rsidRPr="00DD7BD1">
        <w:rPr>
          <w:rFonts w:cs="Calibri"/>
          <w:color w:val="auto"/>
          <w:w w:val="110"/>
          <w:szCs w:val="22"/>
        </w:rPr>
        <w:t>Addendum</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CT</w:t>
      </w:r>
      <w:r w:rsidRPr="00DD7BD1">
        <w:rPr>
          <w:rFonts w:cs="Calibri"/>
          <w:color w:val="auto"/>
          <w:spacing w:val="-15"/>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included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Aug/Sept</w:t>
      </w:r>
      <w:r w:rsidRPr="00DD7BD1">
        <w:rPr>
          <w:rFonts w:cs="Calibri"/>
          <w:color w:val="auto"/>
          <w:spacing w:val="-16"/>
          <w:w w:val="110"/>
          <w:szCs w:val="22"/>
        </w:rPr>
        <w:t xml:space="preserve"> </w:t>
      </w:r>
      <w:r w:rsidRPr="00DD7BD1">
        <w:rPr>
          <w:rFonts w:cs="Calibri"/>
          <w:color w:val="auto"/>
          <w:w w:val="110"/>
          <w:szCs w:val="22"/>
        </w:rPr>
        <w:t>HR</w:t>
      </w:r>
      <w:r w:rsidRPr="00DD7BD1">
        <w:rPr>
          <w:rFonts w:cs="Calibri"/>
          <w:color w:val="auto"/>
          <w:spacing w:val="-16"/>
          <w:w w:val="110"/>
          <w:szCs w:val="22"/>
        </w:rPr>
        <w:t xml:space="preserve"> </w:t>
      </w:r>
      <w:r w:rsidRPr="00DD7BD1">
        <w:rPr>
          <w:rFonts w:cs="Calibri"/>
          <w:color w:val="auto"/>
          <w:w w:val="110"/>
          <w:szCs w:val="22"/>
        </w:rPr>
        <w:t>WIRE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includes</w:t>
      </w:r>
      <w:r w:rsidRPr="00DD7BD1">
        <w:rPr>
          <w:rFonts w:cs="Calibri"/>
          <w:color w:val="auto"/>
          <w:spacing w:val="-15"/>
          <w:w w:val="110"/>
          <w:szCs w:val="22"/>
        </w:rPr>
        <w:t xml:space="preserve"> </w:t>
      </w:r>
      <w:r w:rsidRPr="00DD7BD1">
        <w:rPr>
          <w:rFonts w:cs="Calibri"/>
          <w:color w:val="auto"/>
          <w:w w:val="110"/>
          <w:szCs w:val="22"/>
        </w:rPr>
        <w:t>updates</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reflect</w:t>
      </w:r>
      <w:r w:rsidRPr="00DD7BD1">
        <w:rPr>
          <w:rFonts w:cs="Calibri"/>
          <w:color w:val="auto"/>
          <w:spacing w:val="-13"/>
          <w:w w:val="110"/>
          <w:szCs w:val="22"/>
        </w:rPr>
        <w:t xml:space="preserve"> </w:t>
      </w:r>
      <w:r w:rsidRPr="00DD7BD1">
        <w:rPr>
          <w:rFonts w:cs="Calibri"/>
          <w:color w:val="auto"/>
          <w:spacing w:val="-4"/>
          <w:w w:val="110"/>
          <w:szCs w:val="22"/>
        </w:rPr>
        <w:t>this</w:t>
      </w:r>
      <w:r w:rsidRPr="00DD7BD1">
        <w:rPr>
          <w:rFonts w:cs="Calibri"/>
          <w:color w:val="auto"/>
          <w:szCs w:val="22"/>
        </w:rPr>
        <w:t xml:space="preserve"> </w:t>
      </w:r>
      <w:r w:rsidRPr="00DD7BD1">
        <w:rPr>
          <w:rFonts w:cs="Calibri"/>
          <w:color w:val="auto"/>
          <w:spacing w:val="-2"/>
          <w:w w:val="110"/>
          <w:szCs w:val="22"/>
        </w:rPr>
        <w:t>enactment.</w:t>
      </w:r>
    </w:p>
    <w:p w14:paraId="4BE29792" w14:textId="77777777" w:rsidR="00A85628" w:rsidRPr="00DD7BD1" w:rsidRDefault="00A85628" w:rsidP="00A85628">
      <w:pPr>
        <w:pStyle w:val="BodyText"/>
        <w:spacing w:after="0" w:line="240" w:lineRule="auto"/>
        <w:ind w:right="-187"/>
        <w:jc w:val="left"/>
        <w:rPr>
          <w:rFonts w:cs="Calibri"/>
          <w:color w:val="auto"/>
          <w:spacing w:val="-2"/>
          <w:w w:val="110"/>
          <w:szCs w:val="22"/>
        </w:rPr>
      </w:pPr>
    </w:p>
    <w:p w14:paraId="5CDC9ADA" w14:textId="0AE193DF"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Issues FAQs on New Paid Sick Leave Requirements</w:t>
      </w:r>
    </w:p>
    <w:p w14:paraId="2B364AB4" w14:textId="3A8352E4" w:rsidR="00B939E8" w:rsidRPr="00DD7BD1" w:rsidRDefault="00B939E8" w:rsidP="00B939E8">
      <w:pPr>
        <w:pStyle w:val="BodyText"/>
        <w:ind w:right="-90"/>
        <w:rPr>
          <w:rFonts w:cs="Calibri"/>
        </w:rPr>
      </w:pPr>
      <w:r w:rsidRPr="00DD7BD1">
        <w:rPr>
          <w:rFonts w:cs="Calibri"/>
          <w:color w:val="auto"/>
        </w:rPr>
        <w:t xml:space="preserve">The Connecticut Department of Labor has issued </w:t>
      </w:r>
      <w:hyperlink r:id="rId620" w:history="1">
        <w:r w:rsidRPr="00DD7BD1">
          <w:rPr>
            <w:rStyle w:val="Hyperlink"/>
            <w:rFonts w:cs="Calibri"/>
          </w:rPr>
          <w:t>answers to frequently asked questions</w:t>
        </w:r>
      </w:hyperlink>
      <w:r w:rsidRPr="00DD7BD1">
        <w:rPr>
          <w:rFonts w:cs="Calibri"/>
        </w:rPr>
        <w:t xml:space="preserve"> </w:t>
      </w:r>
      <w:r w:rsidRPr="00DD7BD1">
        <w:rPr>
          <w:rFonts w:cs="Calibri"/>
          <w:color w:val="auto"/>
        </w:rPr>
        <w:t xml:space="preserve">(FAQs) about the expanded paid sick leave (PSL) requirements that take effect in the state starting Jan. 1, 2025. The department has also </w:t>
      </w:r>
      <w:hyperlink r:id="rId621" w:history="1">
        <w:r w:rsidRPr="00DD7BD1">
          <w:rPr>
            <w:rStyle w:val="Hyperlink"/>
            <w:rFonts w:cs="Calibri"/>
          </w:rPr>
          <w:t>created</w:t>
        </w:r>
      </w:hyperlink>
      <w:r w:rsidRPr="00DD7BD1">
        <w:rPr>
          <w:rFonts w:cs="Calibri"/>
        </w:rPr>
        <w:t xml:space="preserve"> </w:t>
      </w:r>
      <w:r w:rsidRPr="00DD7BD1">
        <w:rPr>
          <w:rFonts w:cs="Calibri"/>
          <w:color w:val="auto"/>
        </w:rPr>
        <w:t xml:space="preserve">a workplace poster and written employee notice, which employers must provide by Jan. 1. Other PSL resources are also available on the department’s website. </w:t>
      </w:r>
    </w:p>
    <w:p w14:paraId="0AB33C89" w14:textId="703137CB"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w:t>
      </w:r>
      <w:r w:rsidRPr="00DD7BD1">
        <w:rPr>
          <w:rFonts w:ascii="Calibri" w:hAnsi="Calibri" w:cs="Calibri"/>
          <w:b/>
          <w:bCs/>
          <w:sz w:val="28"/>
          <w:szCs w:val="28"/>
          <w:shd w:val="clear" w:color="auto" w:fill="FFFFFF"/>
        </w:rPr>
        <w:t> </w:t>
      </w:r>
      <w:bookmarkStart w:id="79" w:name="_Hlk183179004"/>
      <w:r w:rsidRPr="00DD7BD1">
        <w:rPr>
          <w:rFonts w:ascii="Calibri" w:hAnsi="Calibri" w:cs="Calibri"/>
          <w:b/>
          <w:bCs/>
          <w:sz w:val="28"/>
          <w:szCs w:val="28"/>
          <w:shd w:val="clear" w:color="auto" w:fill="FFFFFF"/>
        </w:rPr>
        <w:t>Expands Family Violence Leave – Oct 2024</w:t>
      </w:r>
      <w:bookmarkEnd w:id="79"/>
    </w:p>
    <w:p w14:paraId="23AC100B" w14:textId="24F5F48B" w:rsidR="001A2C87" w:rsidRPr="00DD7BD1" w:rsidRDefault="001A2C87" w:rsidP="001A2C87">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DD7BD1" w:rsidRDefault="001A2C87" w:rsidP="001A2C87">
      <w:pPr>
        <w:spacing w:after="0" w:line="240" w:lineRule="auto"/>
        <w:jc w:val="both"/>
        <w:rPr>
          <w:rFonts w:ascii="Calibri" w:hAnsi="Calibri" w:cs="Calibri"/>
          <w:shd w:val="clear" w:color="auto" w:fill="FFFFFF"/>
        </w:rPr>
      </w:pPr>
    </w:p>
    <w:p w14:paraId="3C4129AB" w14:textId="25A55112"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Update your domestic violence leave policy to include victims of sexual assault.</w:t>
      </w:r>
    </w:p>
    <w:p w14:paraId="2AE86747"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NOTE: ETC’s CT State Handbook Addendum released 7/2024 included this update reference.</w:t>
      </w:r>
    </w:p>
    <w:p w14:paraId="471C4C68" w14:textId="77777777" w:rsidR="001A2C87" w:rsidRPr="00DD7BD1" w:rsidRDefault="001A2C87" w:rsidP="001A2C87">
      <w:pPr>
        <w:shd w:val="clear" w:color="auto" w:fill="FFFFFF"/>
        <w:spacing w:after="0" w:line="240" w:lineRule="auto"/>
        <w:rPr>
          <w:rStyle w:val="Strong"/>
          <w:rFonts w:ascii="Calibri" w:hAnsi="Calibri" w:cs="Calibri"/>
        </w:rPr>
      </w:pPr>
    </w:p>
    <w:p w14:paraId="1123C96A" w14:textId="5A3BE711" w:rsidR="00AF4ED7" w:rsidRPr="00DD7BD1" w:rsidRDefault="00AF4ED7" w:rsidP="00AF4ED7">
      <w:pPr>
        <w:shd w:val="clear" w:color="auto" w:fill="FFFFFF"/>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CT Passes Significant Expansion of Paid Sick Leave Benefits</w:t>
      </w:r>
    </w:p>
    <w:p w14:paraId="24F2B49C"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January 1, 2025.</w:t>
      </w:r>
    </w:p>
    <w:p w14:paraId="0E079AFE"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54D1BF57" w14:textId="77777777" w:rsidR="00AF4ED7" w:rsidRPr="00DD7BD1" w:rsidRDefault="00AF4ED7" w:rsidP="00AF4ED7">
      <w:pPr>
        <w:shd w:val="clear" w:color="auto" w:fill="FFFFFF"/>
        <w:spacing w:after="150" w:line="240" w:lineRule="auto"/>
        <w:rPr>
          <w:rFonts w:ascii="Calibri" w:eastAsia="Times New Roman" w:hAnsi="Calibri" w:cs="Calibri"/>
        </w:rPr>
      </w:pPr>
      <w:r w:rsidRPr="00DD7BD1">
        <w:rPr>
          <w:rFonts w:ascii="Calibri" w:eastAsia="Times New Roman" w:hAnsi="Calibri" w:cs="Calibri"/>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u w:val="single"/>
        </w:rPr>
      </w:pPr>
      <w:r w:rsidRPr="00DD7BD1">
        <w:rPr>
          <w:rFonts w:ascii="Calibri" w:eastAsia="Times New Roman" w:hAnsi="Calibri" w:cs="Calibri"/>
          <w:u w:val="single"/>
        </w:rPr>
        <w:t>As of January 1, 2025: Employers with 25 or more employees in the State will be covered</w:t>
      </w:r>
    </w:p>
    <w:p w14:paraId="3F1FF2A1"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2026: Employers with 11 or more employees in the State will be covered</w:t>
      </w:r>
    </w:p>
    <w:p w14:paraId="47ABE24E"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2027: Employers with one or more employees in the State will be covered</w:t>
      </w:r>
    </w:p>
    <w:p w14:paraId="3DF94700" w14:textId="664E7BE6" w:rsidR="00A83553"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Pr="00DD7BD1" w:rsidRDefault="00503F70" w:rsidP="00AF4ED7">
      <w:pPr>
        <w:shd w:val="clear" w:color="auto" w:fill="FFFFFF"/>
        <w:spacing w:after="0" w:line="240" w:lineRule="auto"/>
        <w:rPr>
          <w:rFonts w:ascii="Calibri" w:hAnsi="Calibri" w:cs="Calibri"/>
          <w:shd w:val="clear" w:color="auto" w:fill="FFFFFF"/>
        </w:rPr>
      </w:pPr>
    </w:p>
    <w:p w14:paraId="609BABC7" w14:textId="43FC37E6"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Further, the new law expands the reasons for which an employee may take this type of leave.</w:t>
      </w:r>
    </w:p>
    <w:p w14:paraId="2E10CC51" w14:textId="77777777" w:rsidR="00AF4ED7" w:rsidRPr="00DD7BD1" w:rsidRDefault="00AF4ED7" w:rsidP="00AF4ED7">
      <w:pPr>
        <w:shd w:val="clear" w:color="auto" w:fill="FFFFFF"/>
        <w:spacing w:after="0" w:line="240" w:lineRule="auto"/>
        <w:rPr>
          <w:rFonts w:ascii="Calibri" w:eastAsia="Times New Roman" w:hAnsi="Calibri" w:cs="Calibri"/>
          <w:spacing w:val="3"/>
        </w:rPr>
      </w:pPr>
      <w:r w:rsidRPr="00DD7BD1">
        <w:rPr>
          <w:rFonts w:ascii="Calibri" w:hAnsi="Calibri" w:cs="Calibri"/>
          <w:shd w:val="clear" w:color="auto" w:fill="FFFFFF"/>
        </w:rPr>
        <w:t>More to comes as the effective date draws closer including the release of any labor notices as well as changes to the Oregon State Handbook Addendum.</w:t>
      </w:r>
    </w:p>
    <w:bookmarkEnd w:id="77"/>
    <w:p w14:paraId="22FF8916" w14:textId="77777777" w:rsidR="00AF4ED7" w:rsidRPr="00DD7BD1" w:rsidRDefault="00AF4ED7" w:rsidP="00B06DBE">
      <w:pPr>
        <w:shd w:val="clear" w:color="auto" w:fill="FFFFFF"/>
        <w:spacing w:after="0" w:line="240" w:lineRule="auto"/>
        <w:jc w:val="both"/>
        <w:rPr>
          <w:rFonts w:ascii="Calibri" w:eastAsia="Times New Roman" w:hAnsi="Calibri" w:cs="Calibri"/>
          <w:sz w:val="16"/>
          <w:szCs w:val="16"/>
        </w:rPr>
      </w:pPr>
    </w:p>
    <w:p w14:paraId="3A4C7EC3" w14:textId="77777777"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Delaware</w:t>
      </w:r>
    </w:p>
    <w:p w14:paraId="4A8E89F6" w14:textId="77777777" w:rsidR="00A60E99" w:rsidRPr="00DD7BD1" w:rsidRDefault="00A60E99" w:rsidP="00A60E99">
      <w:pPr>
        <w:spacing w:after="0" w:line="240" w:lineRule="auto"/>
        <w:jc w:val="center"/>
        <w:rPr>
          <w:rFonts w:ascii="Calibri" w:hAnsi="Calibri" w:cs="Calibri"/>
          <w:b/>
          <w:bCs/>
          <w:sz w:val="28"/>
          <w:szCs w:val="28"/>
          <w:shd w:val="clear" w:color="auto" w:fill="FFFFFF"/>
          <w:lang w:val="en"/>
        </w:rPr>
      </w:pPr>
      <w:bookmarkStart w:id="80" w:name="_Hlk213073269"/>
      <w:bookmarkStart w:id="81" w:name="_Hlk183179213"/>
      <w:r w:rsidRPr="00DD7BD1">
        <w:rPr>
          <w:rFonts w:ascii="Calibri" w:hAnsi="Calibri" w:cs="Calibri"/>
          <w:b/>
          <w:bCs/>
          <w:sz w:val="28"/>
          <w:szCs w:val="28"/>
          <w:shd w:val="clear" w:color="auto" w:fill="FFFFFF"/>
          <w:lang w:val="en"/>
        </w:rPr>
        <w:t xml:space="preserve">Paid Family &amp; Medical Leave Labor Notice – </w:t>
      </w:r>
    </w:p>
    <w:p w14:paraId="594F7802" w14:textId="77777777" w:rsidR="00A60E99" w:rsidRPr="00DD7BD1" w:rsidRDefault="00A60E99" w:rsidP="00A60E9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Distribution Deadline </w:t>
      </w:r>
      <w:r w:rsidRPr="00DD7BD1">
        <w:rPr>
          <w:rFonts w:ascii="Calibri" w:hAnsi="Calibri" w:cs="Calibri"/>
          <w:b/>
          <w:bCs/>
          <w:color w:val="C00000"/>
          <w:sz w:val="28"/>
          <w:szCs w:val="28"/>
          <w:shd w:val="clear" w:color="auto" w:fill="FFFFFF"/>
          <w:lang w:val="en"/>
        </w:rPr>
        <w:t xml:space="preserve">Dec 2, 2025 </w:t>
      </w:r>
      <w:r w:rsidRPr="00DD7BD1">
        <w:rPr>
          <w:rFonts w:ascii="Calibri" w:hAnsi="Calibri" w:cs="Calibri"/>
          <w:b/>
          <w:bCs/>
          <w:sz w:val="28"/>
          <w:szCs w:val="28"/>
          <w:shd w:val="clear" w:color="auto" w:fill="FFFFFF"/>
          <w:lang w:val="en"/>
        </w:rPr>
        <w:t xml:space="preserve">&amp; Benefits Effective </w:t>
      </w:r>
      <w:r w:rsidRPr="00DD7BD1">
        <w:rPr>
          <w:rFonts w:ascii="Calibri" w:hAnsi="Calibri" w:cs="Calibri"/>
          <w:b/>
          <w:bCs/>
          <w:color w:val="C00000"/>
          <w:sz w:val="28"/>
          <w:szCs w:val="28"/>
          <w:shd w:val="clear" w:color="auto" w:fill="FFFFFF"/>
          <w:lang w:val="en"/>
        </w:rPr>
        <w:t>Jan 1, 2026</w:t>
      </w:r>
    </w:p>
    <w:p w14:paraId="3914099C" w14:textId="320A98B3"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employees can begin filing claims through </w:t>
      </w:r>
      <w:r w:rsidRPr="00DD7BD1">
        <w:rPr>
          <w:rFonts w:ascii="Calibri" w:hAnsi="Calibri" w:cs="Calibri"/>
          <w:b/>
          <w:bCs/>
          <w:shd w:val="clear" w:color="auto" w:fill="FFFFFF"/>
        </w:rPr>
        <w:t>Delaware’s paid family and medical leave program (Paid Leave)</w:t>
      </w:r>
      <w:r w:rsidRPr="00DD7BD1">
        <w:rPr>
          <w:rFonts w:ascii="Calibri" w:hAnsi="Calibri" w:cs="Calibri"/>
          <w:shd w:val="clear" w:color="auto" w:fill="FFFFFF"/>
        </w:rPr>
        <w:t>. Employers with</w:t>
      </w:r>
      <w:r w:rsidRPr="00DD7BD1">
        <w:rPr>
          <w:rFonts w:ascii="Calibri" w:hAnsi="Calibri" w:cs="Calibri"/>
          <w:u w:val="single"/>
          <w:shd w:val="clear" w:color="auto" w:fill="FFFFFF"/>
        </w:rPr>
        <w:t xml:space="preserve"> 10 or more employees </w:t>
      </w:r>
      <w:r w:rsidRPr="00DD7BD1">
        <w:rPr>
          <w:rFonts w:ascii="Calibri" w:hAnsi="Calibri" w:cs="Calibri"/>
          <w:i/>
          <w:iCs/>
          <w:u w:val="single"/>
          <w:shd w:val="clear" w:color="auto" w:fill="FFFFFF"/>
        </w:rPr>
        <w:t>in the state </w:t>
      </w:r>
      <w:r w:rsidRPr="00DD7BD1">
        <w:rPr>
          <w:rFonts w:ascii="Calibri" w:hAnsi="Calibri" w:cs="Calibri"/>
          <w:shd w:val="clear" w:color="auto" w:fill="FFFFFF"/>
        </w:rPr>
        <w:t>are required to participate and provide employees with job-protected leave.</w:t>
      </w:r>
    </w:p>
    <w:p w14:paraId="2B22EC4E" w14:textId="7F1394F9"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By December 2, 2025, employers are required to give the </w:t>
      </w:r>
      <w:hyperlink r:id="rId622"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to all employees for a second time (this notice was </w:t>
      </w:r>
      <w:r w:rsidRPr="00DD7BD1">
        <w:rPr>
          <w:rFonts w:ascii="Calibri" w:hAnsi="Calibri" w:cs="Calibri"/>
          <w:i/>
          <w:iCs/>
          <w:shd w:val="clear" w:color="auto" w:fill="FFFFFF"/>
        </w:rPr>
        <w:t>also</w:t>
      </w:r>
      <w:r w:rsidRPr="00DD7BD1">
        <w:rPr>
          <w:rFonts w:ascii="Calibri" w:hAnsi="Calibri" w:cs="Calibri"/>
          <w:shd w:val="clear" w:color="auto" w:fill="FFFFFF"/>
        </w:rPr>
        <w:t> required in 2024). This needs to be provided to new employees upon hire, when an employee requests leave, or when an employer learns the employee might need leave.</w:t>
      </w:r>
    </w:p>
    <w:p w14:paraId="75D03B4F"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There are additional employer-required notices as well as a workplace poster that the state will provide (hopefully soon) on its </w:t>
      </w:r>
      <w:hyperlink r:id="rId623" w:tgtFrame="_blank" w:history="1">
        <w:r w:rsidRPr="00DD7BD1">
          <w:rPr>
            <w:rStyle w:val="Hyperlink"/>
            <w:rFonts w:ascii="Calibri" w:hAnsi="Calibri" w:cs="Calibri"/>
            <w:shd w:val="clear" w:color="auto" w:fill="FFFFFF"/>
          </w:rPr>
          <w:t>Paid Leave website</w:t>
        </w:r>
      </w:hyperlink>
      <w:r w:rsidRPr="00DD7BD1">
        <w:rPr>
          <w:rFonts w:ascii="Calibri" w:hAnsi="Calibri" w:cs="Calibri"/>
          <w:shd w:val="clear" w:color="auto" w:fill="FFFFFF"/>
        </w:rPr>
        <w:t>. There, you can also find FAQs, an overview of the program, and other resources for employers.</w:t>
      </w:r>
    </w:p>
    <w:p w14:paraId="508030C5"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Action Items</w:t>
      </w:r>
    </w:p>
    <w:p w14:paraId="60DBE52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Provide notices to employees, as required.</w:t>
      </w:r>
    </w:p>
    <w:p w14:paraId="6EF234F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Display the poster when issued by the Delaware Department of Labor.</w:t>
      </w:r>
    </w:p>
    <w:p w14:paraId="5CE621D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ETC is publishing an updated DE State Handbook Addendum in Dec to address Paid FML</w:t>
      </w:r>
    </w:p>
    <w:p w14:paraId="488B87EE" w14:textId="77777777" w:rsidR="00A60E99" w:rsidRPr="00DD7BD1" w:rsidRDefault="00A60E99" w:rsidP="00A60E99">
      <w:pPr>
        <w:spacing w:after="0" w:line="240" w:lineRule="auto"/>
        <w:jc w:val="center"/>
        <w:rPr>
          <w:rFonts w:ascii="Calibri" w:hAnsi="Calibri" w:cs="Calibri"/>
          <w:b/>
          <w:bCs/>
          <w:shd w:val="clear" w:color="auto" w:fill="FFFFFF"/>
          <w:lang w:val="en"/>
        </w:rPr>
      </w:pPr>
      <w:bookmarkStart w:id="82" w:name="_Hlk213073303"/>
      <w:bookmarkEnd w:id="80"/>
    </w:p>
    <w:p w14:paraId="243ADA93" w14:textId="6A7C95CB" w:rsidR="00A9583E" w:rsidRPr="00DD7BD1" w:rsidRDefault="00A9583E" w:rsidP="00A60E99">
      <w:pPr>
        <w:spacing w:after="0" w:line="240" w:lineRule="auto"/>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Enacts Pay Transparency – Eff </w:t>
      </w:r>
      <w:r w:rsidRPr="00DD7BD1">
        <w:rPr>
          <w:rFonts w:ascii="Calibri" w:hAnsi="Calibri" w:cs="Calibri"/>
          <w:b/>
          <w:bCs/>
          <w:color w:val="C00000"/>
          <w:sz w:val="28"/>
          <w:szCs w:val="28"/>
          <w:shd w:val="clear" w:color="auto" w:fill="FFFFFF"/>
          <w:lang w:val="en"/>
        </w:rPr>
        <w:t>Sept 26, 202</w:t>
      </w:r>
      <w:r w:rsidRPr="00DD7BD1">
        <w:rPr>
          <w:rFonts w:ascii="Calibri" w:hAnsi="Calibri" w:cs="Calibri"/>
          <w:b/>
          <w:bCs/>
          <w:color w:val="C00000"/>
          <w:sz w:val="28"/>
          <w:szCs w:val="28"/>
          <w:u w:val="single"/>
          <w:shd w:val="clear" w:color="auto" w:fill="FFFFFF"/>
          <w:lang w:val="en"/>
        </w:rPr>
        <w:t>7</w:t>
      </w:r>
    </w:p>
    <w:bookmarkEnd w:id="82"/>
    <w:p w14:paraId="2F1E2565" w14:textId="01E74181" w:rsidR="00A9583E" w:rsidRPr="00DD7BD1" w:rsidRDefault="00A9583E" w:rsidP="00A9583E">
      <w:pPr>
        <w:rPr>
          <w:rFonts w:ascii="Calibri" w:hAnsi="Calibri" w:cs="Calibri"/>
        </w:rPr>
      </w:pPr>
      <w:r w:rsidRPr="00DD7BD1">
        <w:rPr>
          <w:rFonts w:ascii="Calibri" w:hAnsi="Calibri" w:cs="Calibri"/>
        </w:rPr>
        <w:t xml:space="preserve">On Sept. 26, 2025, Delaware enacted a </w:t>
      </w:r>
      <w:hyperlink r:id="rId624" w:history="1">
        <w:r w:rsidRPr="00DD7BD1">
          <w:rPr>
            <w:rStyle w:val="Hyperlink"/>
            <w:rFonts w:ascii="Calibri" w:hAnsi="Calibri" w:cs="Calibri"/>
          </w:rPr>
          <w:t>law</w:t>
        </w:r>
      </w:hyperlink>
      <w:r w:rsidRPr="00DD7BD1">
        <w:rPr>
          <w:rFonts w:ascii="Calibri" w:hAnsi="Calibri" w:cs="Calibri"/>
        </w:rPr>
        <w:t xml:space="preserve"> (HB 105) requiring employers to include salary or wage ranges and benefits information in job postings. The law takes effect on </w:t>
      </w:r>
      <w:r w:rsidRPr="00DD7BD1">
        <w:rPr>
          <w:rFonts w:ascii="Calibri" w:hAnsi="Calibri" w:cs="Calibri"/>
          <w:b/>
          <w:bCs/>
        </w:rPr>
        <w:t>Sept. 26, 2027</w:t>
      </w:r>
      <w:r w:rsidRPr="00DD7BD1">
        <w:rPr>
          <w:rFonts w:ascii="Calibri" w:hAnsi="Calibri" w:cs="Calibri"/>
        </w:rPr>
        <w:t xml:space="preserve">, and applies to employers with 26 or more employees.  </w:t>
      </w:r>
    </w:p>
    <w:p w14:paraId="328D666A" w14:textId="77777777" w:rsidR="00A9583E" w:rsidRPr="00DD7BD1" w:rsidRDefault="00A9583E" w:rsidP="00A9583E">
      <w:pPr>
        <w:spacing w:after="120"/>
        <w:rPr>
          <w:rFonts w:ascii="Calibri" w:hAnsi="Calibri" w:cs="Calibri"/>
        </w:rPr>
      </w:pPr>
      <w:r w:rsidRPr="00DD7BD1">
        <w:rPr>
          <w:rFonts w:ascii="Calibri" w:hAnsi="Calibri" w:cs="Calibri"/>
        </w:rPr>
        <w:t xml:space="preserve">Employers must include the </w:t>
      </w:r>
      <w:r w:rsidRPr="00DD7BD1">
        <w:rPr>
          <w:rFonts w:ascii="Calibri" w:hAnsi="Calibri" w:cs="Calibri"/>
          <w:b/>
          <w:bCs/>
        </w:rPr>
        <w:t>hourly or salary compensation or compensation range</w:t>
      </w:r>
      <w:r w:rsidRPr="00DD7BD1">
        <w:rPr>
          <w:rFonts w:ascii="Calibri" w:hAnsi="Calibri" w:cs="Calibri"/>
        </w:rPr>
        <w:t xml:space="preserve"> and a </w:t>
      </w:r>
      <w:r w:rsidRPr="00DD7BD1">
        <w:rPr>
          <w:rFonts w:ascii="Calibri" w:hAnsi="Calibri" w:cs="Calibri"/>
          <w:b/>
          <w:bCs/>
        </w:rPr>
        <w:t>general description of benefits</w:t>
      </w:r>
      <w:r w:rsidRPr="00DD7BD1">
        <w:rPr>
          <w:rFonts w:ascii="Calibri" w:hAnsi="Calibri" w:cs="Calibri"/>
        </w:rPr>
        <w:t xml:space="preserve"> and </w:t>
      </w:r>
      <w:r w:rsidRPr="00DD7BD1">
        <w:rPr>
          <w:rFonts w:ascii="Calibri" w:hAnsi="Calibri" w:cs="Calibri"/>
          <w:b/>
          <w:bCs/>
        </w:rPr>
        <w:t>other compensation</w:t>
      </w:r>
      <w:r w:rsidRPr="00DD7BD1">
        <w:rPr>
          <w:rFonts w:ascii="Calibri" w:hAnsi="Calibri" w:cs="Calibri"/>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40D7ACA0" w14:textId="1FC8B1A1" w:rsidR="00A9583E" w:rsidRPr="00DD7BD1" w:rsidRDefault="00A9583E" w:rsidP="00A9583E">
      <w:pPr>
        <w:rPr>
          <w:rFonts w:ascii="Calibri" w:hAnsi="Calibri" w:cs="Calibri"/>
        </w:rPr>
      </w:pPr>
      <w:r w:rsidRPr="00DD7BD1">
        <w:rPr>
          <w:rFonts w:ascii="Calibri" w:hAnsi="Calibri" w:cs="Calibri"/>
        </w:rPr>
        <w:t>More to come closer to the effective date.</w:t>
      </w:r>
    </w:p>
    <w:p w14:paraId="6C2301AB" w14:textId="5414E66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Adds Housing Status as a Protected Characteristic –</w:t>
      </w:r>
      <w:r w:rsidRPr="00DD7BD1">
        <w:rPr>
          <w:rFonts w:ascii="Calibri" w:hAnsi="Calibri" w:cs="Calibri"/>
          <w:b/>
          <w:bCs/>
          <w:color w:val="C00000"/>
          <w:sz w:val="28"/>
          <w:szCs w:val="28"/>
          <w:shd w:val="clear" w:color="auto" w:fill="FFFFFF"/>
        </w:rPr>
        <w:t xml:space="preserve"> Sept 26, 2024</w:t>
      </w:r>
    </w:p>
    <w:bookmarkEnd w:id="81"/>
    <w:p w14:paraId="1603DED5"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state’s employment discrimination law, which applies to employers with four or more employees in the state, now includes </w:t>
      </w:r>
      <w:r w:rsidRPr="00DD7BD1">
        <w:rPr>
          <w:rFonts w:ascii="Calibri" w:hAnsi="Calibri" w:cs="Calibri"/>
          <w:i/>
          <w:iCs/>
          <w:shd w:val="clear" w:color="auto" w:fill="FFFFFF"/>
        </w:rPr>
        <w:t>housing status</w:t>
      </w:r>
      <w:r w:rsidRPr="00DD7BD1">
        <w:rPr>
          <w:rFonts w:ascii="Calibri" w:hAnsi="Calibri" w:cs="Calibri"/>
          <w:shd w:val="clear" w:color="auto" w:fill="FFFFFF"/>
        </w:rPr>
        <w:t> as a protected characteristic. </w:t>
      </w:r>
      <w:r w:rsidRPr="00DD7BD1">
        <w:rPr>
          <w:rFonts w:ascii="Calibri" w:hAnsi="Calibri" w:cs="Calibri"/>
          <w:i/>
          <w:iCs/>
          <w:shd w:val="clear" w:color="auto" w:fill="FFFFFF"/>
        </w:rPr>
        <w:t>Housing status</w:t>
      </w:r>
      <w:r w:rsidRPr="00DD7BD1">
        <w:rPr>
          <w:rFonts w:ascii="Calibri" w:hAnsi="Calibri" w:cs="Calibri"/>
          <w:shd w:val="clear" w:color="auto" w:fill="FFFFFF"/>
        </w:rPr>
        <w:t xml:space="preserve"> means a person or family’s overnight residence, regardless of permanence or habitability. </w:t>
      </w:r>
      <w:hyperlink r:id="rId625" w:tgtFrame="_blank" w:history="1">
        <w:r w:rsidRPr="00DD7BD1">
          <w:rPr>
            <w:rStyle w:val="Hyperlink"/>
            <w:rFonts w:ascii="Calibri" w:hAnsi="Calibri" w:cs="Calibri"/>
            <w:shd w:val="clear" w:color="auto" w:fill="FFFFFF"/>
          </w:rPr>
          <w:t>DE H 440</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enacted </w:t>
      </w:r>
      <w:r w:rsidRPr="00DD7BD1">
        <w:rPr>
          <w:rFonts w:ascii="Calibri" w:hAnsi="Calibri" w:cs="Calibri"/>
          <w:i/>
          <w:iCs/>
          <w:shd w:val="clear" w:color="auto" w:fill="FFFFFF"/>
        </w:rPr>
        <w:t>and</w:t>
      </w:r>
      <w:r w:rsidRPr="00DD7BD1">
        <w:rPr>
          <w:rFonts w:ascii="Calibri" w:hAnsi="Calibri" w:cs="Calibri"/>
          <w:shd w:val="clear" w:color="auto" w:fill="FFFFFF"/>
        </w:rPr>
        <w:t> effective on September 26, 2024.</w:t>
      </w:r>
    </w:p>
    <w:p w14:paraId="2D883F76" w14:textId="77777777" w:rsidR="00CD70B8" w:rsidRPr="00DD7BD1" w:rsidRDefault="00CD70B8" w:rsidP="00CD70B8">
      <w:pPr>
        <w:spacing w:after="0" w:line="240" w:lineRule="auto"/>
        <w:rPr>
          <w:rFonts w:ascii="Calibri" w:hAnsi="Calibri" w:cs="Calibri"/>
          <w:shd w:val="clear" w:color="auto" w:fill="FFFFFF"/>
        </w:rPr>
      </w:pPr>
    </w:p>
    <w:p w14:paraId="608B74EE" w14:textId="1A46D7AE" w:rsidR="003B29FD" w:rsidRPr="00DD7BD1" w:rsidRDefault="00CD70B8" w:rsidP="00334253">
      <w:pPr>
        <w:spacing w:after="0" w:line="240" w:lineRule="auto"/>
        <w:rPr>
          <w:rStyle w:val="Strong"/>
          <w:rFonts w:ascii="Calibri" w:hAnsi="Calibri" w:cs="Calibri"/>
          <w:b w:val="0"/>
          <w:bCs w:val="0"/>
          <w:shd w:val="clear" w:color="auto" w:fill="FFFFFF"/>
        </w:rPr>
      </w:pPr>
      <w:r w:rsidRPr="00DD7BD1">
        <w:rPr>
          <w:rFonts w:ascii="Calibri" w:hAnsi="Calibri" w:cs="Calibri"/>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DD7BD1" w:rsidRDefault="003B29FD" w:rsidP="00AF4ED7">
      <w:pPr>
        <w:spacing w:after="0" w:line="240" w:lineRule="auto"/>
        <w:jc w:val="center"/>
        <w:rPr>
          <w:rStyle w:val="Strong"/>
          <w:rFonts w:ascii="Calibri" w:eastAsia="Times New Roman" w:hAnsi="Calibri" w:cs="Calibri"/>
        </w:rPr>
      </w:pPr>
    </w:p>
    <w:p w14:paraId="23A7C20D" w14:textId="4D7A0408" w:rsidR="00AF4ED7" w:rsidRPr="00DD7BD1" w:rsidRDefault="00AF4ED7" w:rsidP="00AF4ED7">
      <w:pPr>
        <w:spacing w:after="0" w:line="240" w:lineRule="auto"/>
        <w:jc w:val="center"/>
        <w:rPr>
          <w:rFonts w:ascii="Calibri" w:hAnsi="Calibri" w:cs="Calibri"/>
          <w:b/>
          <w:bCs/>
          <w:color w:val="000000"/>
          <w:sz w:val="28"/>
          <w:szCs w:val="28"/>
          <w:shd w:val="clear" w:color="auto" w:fill="FAFAFA"/>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color w:val="000000"/>
          <w:sz w:val="28"/>
          <w:szCs w:val="28"/>
          <w:shd w:val="clear" w:color="auto" w:fill="FAFAFA"/>
        </w:rPr>
        <w:t>Family and Medical Leave Regulations Amended</w:t>
      </w:r>
    </w:p>
    <w:p w14:paraId="75CC43F0"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March 11, 2024, the following amendments to the Delaware Family and Medical Leave Act’s regulations will take effect:  </w:t>
      </w:r>
    </w:p>
    <w:p w14:paraId="38573883"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can’t be required to use more than 75% of their earned, unused paid time off (PTO) before accessing their Paid Family and Medical Leave (PFML) benefits. </w:t>
      </w:r>
    </w:p>
    <w:p w14:paraId="051FC9D8"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must be provided notice about their employer’s PTO/PFML coordination policy.</w:t>
      </w:r>
    </w:p>
    <w:p w14:paraId="2F8F0530"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may use PTO to supplement their wages (up to 100% of their average weekly wage) in an agreement with their employer. </w:t>
      </w:r>
    </w:p>
    <w:p w14:paraId="1CC6D23D"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Employers must provide a written PMFL notice, provided by the state, to existing Delaware employees at least 30 days before the start of contributions on January 1, 2025. This notice must also be provided to employees upon hire, when they submit a leave request, or when the employer "acquires knowledge" that an employee's leave may qualify for PFML. </w:t>
      </w:r>
    </w:p>
    <w:p w14:paraId="127C32CC"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DD7BD1"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Important dates are approaching for Delaware’s paid family and medical leave program (Paid Leave), which applies to employers with 10 or more employees in the state.</w:t>
            </w:r>
          </w:p>
          <w:p w14:paraId="7D2F8F7B"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The key implementation dates are as follows:</w:t>
            </w:r>
          </w:p>
          <w:p w14:paraId="24A05CCB"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1, 2024:</w:t>
            </w:r>
            <w:r w:rsidRPr="00DD7BD1">
              <w:rPr>
                <w:rFonts w:ascii="Calibri" w:hAnsi="Calibri" w:cs="Calibri"/>
              </w:rPr>
              <w:t> Employers need to set up an account with Delaware LaborFirst.</w:t>
            </w:r>
          </w:p>
          <w:p w14:paraId="37149C0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2, 2024:</w:t>
            </w:r>
            <w:r w:rsidRPr="00DD7BD1">
              <w:rPr>
                <w:rFonts w:ascii="Calibri" w:hAnsi="Calibri" w:cs="Calibri"/>
              </w:rPr>
              <w:t> Employers must provide employees with a Notice of Employee Rights. After December 2, new employees should receive a notice upon hire. This can be provided electronically.</w:t>
            </w:r>
          </w:p>
          <w:p w14:paraId="2CB1BE69"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2025:</w:t>
            </w:r>
            <w:r w:rsidRPr="00DD7BD1">
              <w:rPr>
                <w:rFonts w:ascii="Calibri" w:hAnsi="Calibri" w:cs="Calibri"/>
              </w:rPr>
              <w:t> Employers that are sharing the cost of the program with their employees must begin payroll deductions.</w:t>
            </w:r>
          </w:p>
          <w:p w14:paraId="39E29923"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April 30, 2025:</w:t>
            </w:r>
            <w:r w:rsidRPr="00DD7BD1">
              <w:rPr>
                <w:rFonts w:ascii="Calibri" w:hAnsi="Calibri" w:cs="Calibri"/>
              </w:rPr>
              <w:t> The first wage and hour report, as well as the first contribution payment, is due to the state.</w:t>
            </w:r>
          </w:p>
          <w:p w14:paraId="4519A92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2026:</w:t>
            </w:r>
            <w:r w:rsidRPr="00DD7BD1">
              <w:rPr>
                <w:rFonts w:ascii="Calibri" w:hAnsi="Calibri" w:cs="Calibri"/>
              </w:rPr>
              <w:t> Paid Leave benefits, which will provide job protection, will become available to employees.</w:t>
            </w:r>
          </w:p>
          <w:p w14:paraId="544502CE"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state has created a </w:t>
            </w:r>
            <w:hyperlink r:id="rId626" w:tgtFrame="_blank" w:history="1">
              <w:r w:rsidRPr="00DD7BD1">
                <w:rPr>
                  <w:rStyle w:val="Hyperlink"/>
                  <w:rFonts w:ascii="Calibri" w:hAnsi="Calibri" w:cs="Calibri"/>
                </w:rPr>
                <w:t>website</w:t>
              </w:r>
            </w:hyperlink>
            <w:r w:rsidRPr="00DD7BD1">
              <w:rPr>
                <w:rFonts w:ascii="Calibri" w:hAnsi="Calibri" w:cs="Calibri"/>
              </w:rPr>
              <w:t> with the Notice of Employee Rights, FAQs, an overview of the program, and other resources for employers.</w:t>
            </w:r>
          </w:p>
          <w:p w14:paraId="76897897" w14:textId="77777777" w:rsidR="00F26EA6" w:rsidRPr="00DD7BD1" w:rsidRDefault="00F26EA6" w:rsidP="00F26EA6">
            <w:pPr>
              <w:pStyle w:val="NormalWeb"/>
              <w:shd w:val="clear" w:color="auto" w:fill="FFFFFF"/>
              <w:spacing w:before="0" w:beforeAutospacing="0" w:after="0" w:afterAutospacing="0"/>
              <w:rPr>
                <w:rFonts w:ascii="Calibri" w:eastAsiaTheme="minorHAnsi" w:hAnsi="Calibri" w:cs="Calibri"/>
                <w:color w:val="0000FF"/>
                <w:u w:val="single"/>
              </w:rPr>
            </w:pPr>
            <w:r w:rsidRPr="00DD7BD1">
              <w:rPr>
                <w:rFonts w:ascii="Calibri" w:hAnsi="Calibri" w:cs="Calibri"/>
                <w:sz w:val="22"/>
                <w:szCs w:val="22"/>
              </w:rPr>
              <w:t>(Delaware 1401 </w:t>
            </w:r>
            <w:hyperlink r:id="rId627" w:tgtFrame="_blank" w:history="1">
              <w:r w:rsidRPr="00DD7BD1">
                <w:rPr>
                  <w:rStyle w:val="Hyperlink"/>
                  <w:rFonts w:ascii="Calibri" w:eastAsiaTheme="minorHAnsi" w:hAnsi="Calibri" w:cs="Calibri"/>
                  <w:sz w:val="22"/>
                  <w:szCs w:val="22"/>
                </w:rPr>
                <w:t>final rule</w:t>
              </w:r>
            </w:hyperlink>
            <w:r w:rsidRPr="00DD7BD1">
              <w:rPr>
                <w:rStyle w:val="Hyperlink"/>
                <w:rFonts w:ascii="Calibri" w:eastAsiaTheme="minorHAnsi" w:hAnsi="Calibri" w:cs="Calibri"/>
              </w:rPr>
              <w:t>)</w:t>
            </w:r>
          </w:p>
          <w:p w14:paraId="047A59E4" w14:textId="77777777" w:rsidR="00F26EA6" w:rsidRPr="00DD7BD1" w:rsidRDefault="00F26EA6" w:rsidP="00F26EA6">
            <w:pPr>
              <w:shd w:val="clear" w:color="auto" w:fill="FFFFFF"/>
              <w:spacing w:after="0" w:line="240" w:lineRule="auto"/>
              <w:rPr>
                <w:rFonts w:ascii="Calibri" w:hAnsi="Calibri" w:cs="Calibri"/>
              </w:rPr>
            </w:pPr>
          </w:p>
        </w:tc>
      </w:tr>
    </w:tbl>
    <w:p w14:paraId="515389B6" w14:textId="062514C0"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District of Columbia</w:t>
      </w:r>
    </w:p>
    <w:p w14:paraId="11E0C652" w14:textId="0B03D699" w:rsidR="00B24711" w:rsidRPr="00DD7BD1" w:rsidRDefault="00B24711" w:rsidP="00B24711">
      <w:pPr>
        <w:spacing w:after="0" w:line="240" w:lineRule="auto"/>
        <w:jc w:val="center"/>
        <w:rPr>
          <w:rFonts w:ascii="Calibri" w:hAnsi="Calibri" w:cs="Calibri"/>
          <w:b/>
          <w:bCs/>
          <w:color w:val="C00000"/>
          <w:sz w:val="28"/>
          <w:szCs w:val="28"/>
          <w:shd w:val="clear" w:color="auto" w:fill="FFFFFF"/>
        </w:rPr>
      </w:pPr>
      <w:bookmarkStart w:id="83" w:name="_Hlk205277656"/>
      <w:bookmarkStart w:id="84" w:name="_Hlk186727934"/>
      <w:r w:rsidRPr="00DD7BD1">
        <w:rPr>
          <w:rFonts w:ascii="Calibri" w:hAnsi="Calibri" w:cs="Calibri"/>
          <w:b/>
          <w:bCs/>
          <w:sz w:val="28"/>
          <w:szCs w:val="28"/>
          <w:shd w:val="clear" w:color="auto" w:fill="FFFFFF"/>
        </w:rPr>
        <w:t xml:space="preserve">Tipped Minimum Wage Increase &amp; Changed Effective Date– </w:t>
      </w:r>
      <w:r w:rsidRPr="00DD7BD1">
        <w:rPr>
          <w:rFonts w:ascii="Calibri" w:hAnsi="Calibri" w:cs="Calibri"/>
          <w:b/>
          <w:bCs/>
          <w:color w:val="C00000"/>
          <w:sz w:val="28"/>
          <w:szCs w:val="28"/>
          <w:shd w:val="clear" w:color="auto" w:fill="FFFFFF"/>
        </w:rPr>
        <w:t xml:space="preserve">Moved to Oct 1 </w:t>
      </w:r>
      <w:r w:rsidRPr="00DD7BD1">
        <w:rPr>
          <w:rFonts w:ascii="Calibri" w:hAnsi="Calibri" w:cs="Calibri"/>
          <w:b/>
          <w:bCs/>
          <w:sz w:val="28"/>
          <w:szCs w:val="28"/>
          <w:shd w:val="clear" w:color="auto" w:fill="FFFFFF"/>
        </w:rPr>
        <w:t>&amp;</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shd w:val="clear" w:color="auto" w:fill="FFFFFF"/>
        </w:rPr>
        <w:t xml:space="preserve">Tipped Min Wage </w:t>
      </w:r>
      <w:r w:rsidRPr="00DD7BD1">
        <w:rPr>
          <w:rFonts w:ascii="Calibri" w:hAnsi="Calibri" w:cs="Calibri"/>
          <w:b/>
          <w:bCs/>
          <w:color w:val="C00000"/>
          <w:sz w:val="28"/>
          <w:szCs w:val="28"/>
          <w:shd w:val="clear" w:color="auto" w:fill="FFFFFF"/>
        </w:rPr>
        <w:t>June 30, 2025</w:t>
      </w:r>
    </w:p>
    <w:bookmarkEnd w:id="83"/>
    <w:p w14:paraId="7724FD52" w14:textId="77777777" w:rsidR="00B24711" w:rsidRPr="00DD7BD1" w:rsidRDefault="00B24711" w:rsidP="00B24711">
      <w:pPr>
        <w:spacing w:after="0" w:line="240" w:lineRule="auto"/>
        <w:jc w:val="both"/>
        <w:rPr>
          <w:rFonts w:ascii="Calibri" w:hAnsi="Calibri" w:cs="Calibri"/>
          <w:sz w:val="23"/>
          <w:szCs w:val="23"/>
          <w:shd w:val="clear" w:color="auto" w:fill="FFFFFF"/>
        </w:rPr>
      </w:pPr>
      <w:r w:rsidRPr="00DD7BD1">
        <w:rPr>
          <w:rFonts w:ascii="Calibri" w:hAnsi="Calibri" w:cs="Calibri"/>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DD7BD1" w:rsidRDefault="00B24711" w:rsidP="00B24711">
      <w:pPr>
        <w:spacing w:after="0" w:line="240" w:lineRule="auto"/>
        <w:jc w:val="both"/>
        <w:rPr>
          <w:rFonts w:ascii="Calibri" w:hAnsi="Calibri" w:cs="Calibri"/>
          <w:sz w:val="23"/>
          <w:szCs w:val="23"/>
          <w:shd w:val="clear" w:color="auto" w:fill="FFFFFF"/>
          <w:lang w:val="en"/>
        </w:rPr>
      </w:pPr>
      <w:r w:rsidRPr="00DD7BD1">
        <w:rPr>
          <w:rFonts w:ascii="Calibri" w:hAnsi="Calibri" w:cs="Calibri"/>
          <w:sz w:val="23"/>
          <w:szCs w:val="23"/>
          <w:shd w:val="clear" w:color="auto" w:fill="FFFFFF"/>
        </w:rPr>
        <w:t xml:space="preserve">As a result, the tipped minimum wage remains at $10 per hour. The bill that made this change took immediate effect on </w:t>
      </w:r>
      <w:r w:rsidRPr="00DD7BD1">
        <w:rPr>
          <w:rFonts w:ascii="Calibri" w:hAnsi="Calibri" w:cs="Calibri"/>
          <w:color w:val="C00000"/>
          <w:sz w:val="23"/>
          <w:szCs w:val="23"/>
          <w:shd w:val="clear" w:color="auto" w:fill="FFFFFF"/>
        </w:rPr>
        <w:t>June 30, 2025.</w:t>
      </w:r>
    </w:p>
    <w:p w14:paraId="06C67D31" w14:textId="29724C86"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 </w:t>
      </w:r>
      <w:r w:rsidRPr="00DD7BD1">
        <w:rPr>
          <w:rFonts w:ascii="Calibri" w:hAnsi="Calibri" w:cs="Calibri"/>
          <w:b/>
          <w:bCs/>
          <w:color w:val="C00000"/>
          <w:sz w:val="28"/>
          <w:szCs w:val="28"/>
          <w:shd w:val="clear" w:color="auto" w:fill="FFFFFF"/>
          <w:lang w:val="en"/>
        </w:rPr>
        <w:t>– Eff July 1, 2025</w:t>
      </w:r>
    </w:p>
    <w:p w14:paraId="0C4A80A3" w14:textId="2140639E"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July 1, 2025, the District of Columbia minimum hourly wage will increase to $17.95. The minimum base wage for tipped employees will increase to $12 per hour.</w:t>
      </w:r>
    </w:p>
    <w:p w14:paraId="7C0C813A" w14:textId="3E3A660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NOTE: The D.C. Council passed emergency legislation to delay the </w:t>
      </w:r>
      <w:r w:rsidRPr="00DD7BD1">
        <w:rPr>
          <w:rFonts w:ascii="Calibri" w:hAnsi="Calibri" w:cs="Calibri"/>
          <w:i/>
          <w:iCs/>
          <w:shd w:val="clear" w:color="auto" w:fill="FFFFFF"/>
        </w:rPr>
        <w:t>tipped </w:t>
      </w:r>
      <w:r w:rsidRPr="00DD7BD1">
        <w:rPr>
          <w:rFonts w:ascii="Calibri" w:hAnsi="Calibri" w:cs="Calibri"/>
          <w:shd w:val="clear" w:color="auto" w:fill="FFFFFF"/>
        </w:rPr>
        <w:t>minimum wage increase until October 1, 2025. The bill was sent to the mayor, who is expected to sign it, but she hasn’t put pen to paper </w:t>
      </w:r>
      <w:r w:rsidRPr="00DD7BD1">
        <w:rPr>
          <w:rFonts w:ascii="Calibri" w:hAnsi="Calibri" w:cs="Calibri"/>
          <w:i/>
          <w:iCs/>
          <w:shd w:val="clear" w:color="auto" w:fill="FFFFFF"/>
        </w:rPr>
        <w:t>yet</w:t>
      </w:r>
      <w:r w:rsidRPr="00DD7BD1">
        <w:rPr>
          <w:rFonts w:ascii="Calibri" w:hAnsi="Calibri" w:cs="Calibri"/>
          <w:shd w:val="clear" w:color="auto" w:fill="FFFFFF"/>
        </w:rPr>
        <w:t>. Until she does, employers should be prepared to implement the minimum base wage of $12 per hour for tipped employees on July 1.</w:t>
      </w:r>
    </w:p>
    <w:p w14:paraId="484FAF7D" w14:textId="3A91879E" w:rsidR="00B939E8" w:rsidRPr="00DD7BD1" w:rsidRDefault="00B939E8" w:rsidP="00B939E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Universal Paid Leave Act’s Paid Family Leave Notice – Feb 1, 2025</w:t>
      </w:r>
    </w:p>
    <w:bookmarkEnd w:id="84"/>
    <w:p w14:paraId="340C2E65" w14:textId="77777777" w:rsidR="00B939E8" w:rsidRPr="00DD7BD1" w:rsidRDefault="00B939E8" w:rsidP="00B939E8">
      <w:pPr>
        <w:pStyle w:val="BodyText"/>
        <w:spacing w:after="0" w:line="240" w:lineRule="auto"/>
        <w:rPr>
          <w:rFonts w:cs="Calibri"/>
          <w:szCs w:val="22"/>
        </w:rPr>
      </w:pPr>
      <w:r w:rsidRPr="00DD7BD1">
        <w:rPr>
          <w:rFonts w:cs="Calibri"/>
          <w:color w:val="auto"/>
          <w:szCs w:val="22"/>
        </w:rPr>
        <w:t xml:space="preserve">The District of Columbia’s Office of Paid Family Leave has published the </w:t>
      </w:r>
      <w:r w:rsidRPr="00DD7BD1">
        <w:rPr>
          <w:rFonts w:cs="Calibri"/>
          <w:szCs w:val="22"/>
        </w:rPr>
        <w:t xml:space="preserve">program’s </w:t>
      </w:r>
      <w:hyperlink r:id="rId628" w:history="1">
        <w:r w:rsidRPr="00DD7BD1">
          <w:rPr>
            <w:rStyle w:val="Hyperlink"/>
            <w:rFonts w:cs="Calibri"/>
            <w:szCs w:val="22"/>
          </w:rPr>
          <w:t>2025 Notice to Employees</w:t>
        </w:r>
      </w:hyperlink>
      <w:r w:rsidRPr="00DD7BD1">
        <w:rPr>
          <w:rFonts w:cs="Calibri"/>
          <w:szCs w:val="22"/>
        </w:rPr>
        <w:t xml:space="preserve"> </w:t>
      </w:r>
      <w:r w:rsidRPr="00DD7BD1">
        <w:rPr>
          <w:rFonts w:cs="Calibri"/>
          <w:color w:val="auto"/>
          <w:szCs w:val="22"/>
        </w:rPr>
        <w:t xml:space="preserve">on its website. Employers must post the notice and provide a copy to covered employees by Feb. 1, 2025. </w:t>
      </w:r>
    </w:p>
    <w:p w14:paraId="525CA651" w14:textId="77777777" w:rsidR="00B939E8" w:rsidRPr="00DD7BD1" w:rsidRDefault="00B939E8" w:rsidP="00B939E8">
      <w:pPr>
        <w:pStyle w:val="SubHeader"/>
        <w:spacing w:line="240" w:lineRule="auto"/>
        <w:rPr>
          <w:rFonts w:cs="Calibri"/>
          <w:sz w:val="22"/>
          <w:szCs w:val="22"/>
        </w:rPr>
      </w:pPr>
    </w:p>
    <w:p w14:paraId="47655228" w14:textId="77777777" w:rsidR="00B939E8" w:rsidRPr="00DD7BD1" w:rsidRDefault="00B939E8" w:rsidP="00B939E8">
      <w:pPr>
        <w:pStyle w:val="SubHeader"/>
        <w:spacing w:line="240" w:lineRule="auto"/>
        <w:rPr>
          <w:rFonts w:cs="Calibri"/>
          <w:sz w:val="22"/>
          <w:szCs w:val="22"/>
        </w:rPr>
      </w:pPr>
      <w:r w:rsidRPr="00DD7BD1">
        <w:rPr>
          <w:rFonts w:cs="Calibri"/>
          <w:sz w:val="22"/>
          <w:szCs w:val="22"/>
        </w:rPr>
        <w:t>District of Columbia Paid Family Leave</w:t>
      </w:r>
    </w:p>
    <w:p w14:paraId="150DB57B"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district’s</w:t>
      </w:r>
      <w:r w:rsidRPr="00DD7BD1">
        <w:rPr>
          <w:rFonts w:cs="Calibri"/>
          <w:color w:val="auto"/>
          <w:szCs w:val="22"/>
        </w:rPr>
        <w:t xml:space="preserve"> </w:t>
      </w:r>
      <w:hyperlink r:id="rId629" w:history="1">
        <w:r w:rsidRPr="00DD7BD1">
          <w:rPr>
            <w:rStyle w:val="Hyperlink"/>
            <w:rFonts w:cs="Calibri"/>
            <w:szCs w:val="22"/>
          </w:rPr>
          <w:t>Universal Paid Leave Act</w:t>
        </w:r>
      </w:hyperlink>
      <w:r w:rsidRPr="00DD7BD1">
        <w:rPr>
          <w:rFonts w:cs="Calibri"/>
          <w:szCs w:val="22"/>
        </w:rPr>
        <w:t xml:space="preserve"> </w:t>
      </w:r>
      <w:r w:rsidRPr="00DD7BD1">
        <w:rPr>
          <w:rFonts w:cs="Calibri"/>
          <w:color w:val="auto"/>
          <w:szCs w:val="22"/>
        </w:rPr>
        <w:t>requires virtually all employers to</w:t>
      </w:r>
      <w:r w:rsidRPr="00DD7BD1">
        <w:rPr>
          <w:rFonts w:cs="Calibri"/>
          <w:b/>
          <w:color w:val="auto"/>
          <w:szCs w:val="22"/>
        </w:rPr>
        <w:t xml:space="preserve"> </w:t>
      </w:r>
      <w:r w:rsidRPr="00DD7BD1">
        <w:rPr>
          <w:rFonts w:cs="Calibri"/>
          <w:bCs/>
          <w:color w:val="auto"/>
          <w:szCs w:val="22"/>
        </w:rPr>
        <w:t xml:space="preserve">fund a </w:t>
      </w:r>
      <w:r w:rsidRPr="00DD7BD1">
        <w:rPr>
          <w:rFonts w:cs="Calibri"/>
          <w:color w:val="auto"/>
          <w:szCs w:val="22"/>
        </w:rPr>
        <w:t xml:space="preserve"> paid family leave benefit for employees </w:t>
      </w:r>
      <w:r w:rsidRPr="00DD7BD1">
        <w:rPr>
          <w:rFonts w:cs="Calibri"/>
          <w:color w:val="auto"/>
          <w:szCs w:val="22"/>
          <w:u w:val="single"/>
        </w:rPr>
        <w:t>through employer-paid payroll taxes</w:t>
      </w:r>
      <w:r w:rsidRPr="00DD7BD1">
        <w:rPr>
          <w:rFonts w:cs="Calibri"/>
          <w:color w:val="auto"/>
          <w:szCs w:val="22"/>
        </w:rPr>
        <w:t xml:space="preserve">. </w:t>
      </w:r>
    </w:p>
    <w:p w14:paraId="49F7E735"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 xml:space="preserve">program </w:t>
      </w:r>
      <w:r w:rsidRPr="00DD7BD1">
        <w:rPr>
          <w:rFonts w:cs="Calibri"/>
          <w:color w:val="auto"/>
          <w:szCs w:val="22"/>
        </w:rPr>
        <w:t>provides eligible employees with cash benefits for up to:</w:t>
      </w:r>
    </w:p>
    <w:p w14:paraId="466DA695"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parental bonding leave;</w:t>
      </w:r>
    </w:p>
    <w:p w14:paraId="779C8328"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 xml:space="preserve">Twelve weeks of family leave to care for ill family members; </w:t>
      </w:r>
    </w:p>
    <w:p w14:paraId="4A609E5A"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medical leave for an employee’s own serious health condition; and</w:t>
      </w:r>
    </w:p>
    <w:p w14:paraId="77A7B03E"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Two weeks of prenatal leave.</w:t>
      </w:r>
    </w:p>
    <w:p w14:paraId="77213AA6"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 xml:space="preserve">Of note, this program does not provide job-protected leave. </w:t>
      </w:r>
    </w:p>
    <w:p w14:paraId="5897882B" w14:textId="77777777" w:rsidR="00B939E8" w:rsidRPr="00DD7BD1" w:rsidRDefault="00B939E8" w:rsidP="008C6649">
      <w:pPr>
        <w:spacing w:after="0" w:line="240" w:lineRule="auto"/>
        <w:jc w:val="center"/>
        <w:rPr>
          <w:rFonts w:ascii="Calibri" w:hAnsi="Calibri" w:cs="Calibri"/>
          <w:b/>
          <w:bCs/>
          <w:shd w:val="clear" w:color="auto" w:fill="FFFFFF"/>
          <w:lang w:val="en"/>
        </w:rPr>
      </w:pPr>
    </w:p>
    <w:p w14:paraId="73DD49AC" w14:textId="43380EAB" w:rsidR="008C6649" w:rsidRPr="00DD7BD1" w:rsidRDefault="008C6649" w:rsidP="008C664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6D912249" w14:textId="134104F9" w:rsidR="008C6649" w:rsidRPr="00DD7BD1" w:rsidRDefault="008C6649" w:rsidP="008C6649">
      <w:p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On July 1, 2024, the District of Columbia minimum hourly wage will increase to $17.50. The minimum base wage for tipped employees will increase to $10 per hour.</w:t>
      </w:r>
    </w:p>
    <w:p w14:paraId="05B37C22" w14:textId="77777777" w:rsidR="008C6649" w:rsidRPr="00DD7BD1" w:rsidRDefault="008C6649" w:rsidP="008C6649">
      <w:pPr>
        <w:spacing w:after="0" w:line="240" w:lineRule="auto"/>
        <w:rPr>
          <w:rFonts w:ascii="Calibri" w:hAnsi="Calibri" w:cs="Calibri"/>
          <w:b/>
          <w:bCs/>
          <w:sz w:val="20"/>
          <w:szCs w:val="20"/>
          <w:shd w:val="clear" w:color="auto" w:fill="FFFFFF"/>
          <w:lang w:val="en"/>
        </w:rPr>
      </w:pPr>
    </w:p>
    <w:p w14:paraId="0CD6DC45" w14:textId="77777777" w:rsidR="00AF4ED7" w:rsidRPr="00DD7BD1" w:rsidRDefault="00AF4ED7" w:rsidP="00AF4ED7">
      <w:pPr>
        <w:pStyle w:val="MainTitle"/>
        <w:spacing w:after="0" w:line="240" w:lineRule="auto"/>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New District Voting Leave Regulations</w:t>
      </w:r>
    </w:p>
    <w:p w14:paraId="29CCEBA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z w:val="16"/>
          <w:szCs w:val="16"/>
          <w:highlight w:val="lightGray"/>
        </w:rPr>
      </w:pPr>
    </w:p>
    <w:p w14:paraId="222236EA" w14:textId="64E5FA2F"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Learn More:</w:t>
      </w:r>
      <w:r w:rsidRPr="00DD7BD1">
        <w:rPr>
          <w:rFonts w:ascii="Calibri" w:hAnsi="Calibri" w:cs="Calibri"/>
          <w:sz w:val="22"/>
          <w:szCs w:val="22"/>
        </w:rPr>
        <w:t xml:space="preserve"> On May 10, 2024, D.C. published final regulations affecting the District’s voting leave law that took effect immediately. The new regulations require employers to post the </w:t>
      </w:r>
      <w:hyperlink r:id="rId630" w:tgtFrame="_blank" w:history="1">
        <w:r w:rsidRPr="00DD7BD1">
          <w:rPr>
            <w:rStyle w:val="Hyperlink"/>
            <w:rFonts w:ascii="Calibri" w:hAnsi="Calibri" w:cs="Calibri"/>
            <w:color w:val="1155CC"/>
            <w:sz w:val="22"/>
            <w:szCs w:val="22"/>
          </w:rPr>
          <w:t>Time Off to Vote notice</w:t>
        </w:r>
      </w:hyperlink>
      <w:r w:rsidRPr="00DD7BD1">
        <w:rPr>
          <w:rFonts w:ascii="Calibri" w:hAnsi="Calibri" w:cs="Calibri"/>
          <w:color w:val="282828"/>
          <w:sz w:val="22"/>
          <w:szCs w:val="22"/>
        </w:rPr>
        <w:t> </w:t>
      </w:r>
      <w:r w:rsidRPr="00DD7BD1">
        <w:rPr>
          <w:rFonts w:ascii="Calibri" w:hAnsi="Calibri" w:cs="Calibri"/>
          <w:sz w:val="22"/>
          <w:szCs w:val="22"/>
        </w:rPr>
        <w:t xml:space="preserve">in a conspicuous location in the workplace </w:t>
      </w:r>
      <w:r w:rsidRPr="00DD7BD1">
        <w:rPr>
          <w:rFonts w:ascii="Calibri" w:hAnsi="Calibri" w:cs="Calibri"/>
          <w:sz w:val="22"/>
          <w:szCs w:val="22"/>
          <w:u w:val="single"/>
        </w:rPr>
        <w:t>at least 60 days before all scheduled elections</w:t>
      </w:r>
      <w:r w:rsidRPr="00DD7BD1">
        <w:rPr>
          <w:rFonts w:ascii="Calibri" w:hAnsi="Calibri" w:cs="Calibri"/>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 The regulations also clarify that employers can’t require employees to provide more than seven days’ notice to take voting leave unless an already existing policy requires more.</w:t>
      </w:r>
    </w:p>
    <w:p w14:paraId="70B4FA87" w14:textId="77777777" w:rsidR="00AF4ED7" w:rsidRPr="00DD7BD1" w:rsidRDefault="00AF4ED7" w:rsidP="00AF4ED7">
      <w:pPr>
        <w:pStyle w:val="NormalWeb"/>
        <w:shd w:val="clear" w:color="auto" w:fill="FFFFFF"/>
        <w:spacing w:before="0" w:beforeAutospacing="0" w:after="0" w:afterAutospacing="0"/>
        <w:rPr>
          <w:rStyle w:val="Strong"/>
          <w:rFonts w:ascii="Calibri" w:hAnsi="Calibri" w:cs="Calibri"/>
          <w:b w:val="0"/>
          <w:bCs w:val="0"/>
          <w:sz w:val="16"/>
          <w:szCs w:val="16"/>
        </w:rPr>
      </w:pPr>
    </w:p>
    <w:p w14:paraId="15A186AD" w14:textId="1140255C" w:rsidR="00AF4ED7" w:rsidRPr="00DD7BD1" w:rsidRDefault="00AF4ED7" w:rsidP="00AF4ED7">
      <w:pPr>
        <w:pStyle w:val="MainTitle"/>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Upcoming</w:t>
      </w:r>
      <w:r w:rsidRPr="00DD7BD1">
        <w:rPr>
          <w:rStyle w:val="Strong"/>
          <w:rFonts w:ascii="Calibri" w:hAnsi="Calibri" w:cs="Calibri"/>
          <w:sz w:val="28"/>
          <w:szCs w:val="28"/>
        </w:rPr>
        <w:t xml:space="preserve"> </w:t>
      </w:r>
      <w:r w:rsidRPr="00DD7BD1">
        <w:rPr>
          <w:rStyle w:val="Strong"/>
          <w:rFonts w:ascii="Calibri" w:eastAsia="Times New Roman" w:hAnsi="Calibri" w:cs="Calibri"/>
          <w:b/>
          <w:bCs w:val="0"/>
          <w:color w:val="auto"/>
          <w:sz w:val="28"/>
          <w:szCs w:val="28"/>
        </w:rPr>
        <w:t>DC Enacts New Wage Transparency Requirements Eff June 30, 2024</w:t>
      </w:r>
    </w:p>
    <w:p w14:paraId="70B86240"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Employer Take-away:</w:t>
      </w:r>
    </w:p>
    <w:p w14:paraId="6C9E356C"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Ensure each job posting has a good faith estimate of the position’s pay range</w:t>
      </w:r>
    </w:p>
    <w:p w14:paraId="0C7459F6"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Remove salary history questions from your job applications (or at least make them clearly optional)</w:t>
      </w:r>
    </w:p>
    <w:p w14:paraId="66ABF13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Train hiring managers on what they can and cannot ask about as well as what they must disclose</w:t>
      </w:r>
    </w:p>
    <w:p w14:paraId="6D524D7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Post the required notice</w:t>
      </w:r>
    </w:p>
    <w:p w14:paraId="09735ADA" w14:textId="77777777" w:rsidR="00AF4ED7" w:rsidRPr="00DD7BD1" w:rsidRDefault="00AF4ED7" w:rsidP="00AF4ED7">
      <w:pPr>
        <w:shd w:val="clear" w:color="auto" w:fill="FFFFFF"/>
        <w:spacing w:after="0" w:line="240" w:lineRule="auto"/>
        <w:rPr>
          <w:rFonts w:ascii="Calibri" w:eastAsia="Times New Roman" w:hAnsi="Calibri" w:cs="Calibri"/>
          <w:sz w:val="16"/>
          <w:szCs w:val="16"/>
        </w:rPr>
      </w:pPr>
    </w:p>
    <w:p w14:paraId="297117B7"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Learn More:</w:t>
      </w:r>
    </w:p>
    <w:p w14:paraId="72A79BFF" w14:textId="77777777" w:rsidR="00AF4ED7" w:rsidRPr="00DD7BD1" w:rsidRDefault="00AF4ED7" w:rsidP="00AF4ED7">
      <w:pPr>
        <w:spacing w:after="0" w:line="240" w:lineRule="auto"/>
        <w:jc w:val="both"/>
        <w:rPr>
          <w:rFonts w:ascii="Calibri" w:hAnsi="Calibri" w:cs="Calibri"/>
        </w:rPr>
      </w:pPr>
      <w:r w:rsidRPr="00DD7BD1">
        <w:rPr>
          <w:rFonts w:ascii="Calibri" w:hAnsi="Calibri" w:cs="Calibri"/>
        </w:rPr>
        <w:t xml:space="preserve">On Jan. 12, 2024, the District of Columbia (the District) enacted the </w:t>
      </w:r>
      <w:hyperlink r:id="rId631" w:history="1">
        <w:r w:rsidRPr="00DD7BD1">
          <w:rPr>
            <w:rStyle w:val="Hyperlink"/>
            <w:rFonts w:ascii="Calibri" w:hAnsi="Calibri" w:cs="Calibri"/>
          </w:rPr>
          <w:t>Wage Transparency Omnibus Amendment Act of 2023</w:t>
        </w:r>
      </w:hyperlink>
      <w:r w:rsidRPr="00DD7BD1">
        <w:rPr>
          <w:rFonts w:ascii="Calibri" w:hAnsi="Calibri" w:cs="Calibri"/>
        </w:rPr>
        <w:t xml:space="preserve">, amending the Wage Transparency Act of 2014. The amended law </w:t>
      </w:r>
      <w:r w:rsidRPr="00DD7BD1">
        <w:rPr>
          <w:rFonts w:ascii="Calibri" w:hAnsi="Calibri" w:cs="Calibri"/>
          <w:b/>
          <w:bCs/>
        </w:rPr>
        <w:t>requires pay and benefits disclosures, prohibits wage history inquiries and expands employee protections regarding compensation discussions</w:t>
      </w:r>
      <w:r w:rsidRPr="00DD7BD1">
        <w:rPr>
          <w:rFonts w:ascii="Calibri" w:hAnsi="Calibri" w:cs="Calibri"/>
        </w:rPr>
        <w:t xml:space="preserve">. The amended law takes effect on </w:t>
      </w:r>
      <w:r w:rsidRPr="00DD7BD1">
        <w:rPr>
          <w:rFonts w:ascii="Calibri" w:hAnsi="Calibri" w:cs="Calibri"/>
          <w:b/>
          <w:bCs/>
        </w:rPr>
        <w:t>June 30, 2024</w:t>
      </w:r>
      <w:r w:rsidRPr="00DD7BD1">
        <w:rPr>
          <w:rFonts w:ascii="Calibri" w:hAnsi="Calibri" w:cs="Calibri"/>
        </w:rPr>
        <w:t>, and applies to all nongovernmental employers with at least one employee in the District.</w:t>
      </w:r>
    </w:p>
    <w:p w14:paraId="231881A5" w14:textId="77777777" w:rsidR="00AF4ED7" w:rsidRPr="00DD7BD1" w:rsidRDefault="00AF4ED7" w:rsidP="00AF4ED7">
      <w:pPr>
        <w:spacing w:after="0" w:line="240" w:lineRule="auto"/>
        <w:jc w:val="both"/>
        <w:rPr>
          <w:rFonts w:ascii="Calibri" w:hAnsi="Calibri" w:cs="Calibri"/>
          <w:sz w:val="12"/>
          <w:szCs w:val="12"/>
        </w:rPr>
      </w:pPr>
    </w:p>
    <w:p w14:paraId="7E326217"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Required Pay and Benefits Disclosures</w:t>
      </w:r>
    </w:p>
    <w:p w14:paraId="6DEA13A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Amended law </w:t>
      </w:r>
      <w:r w:rsidRPr="00DD7BD1">
        <w:rPr>
          <w:rFonts w:cs="Calibri"/>
          <w:b/>
          <w:bCs/>
          <w:color w:val="auto"/>
          <w:szCs w:val="22"/>
        </w:rPr>
        <w:t>requires employers to include in all job postings the minimum and maximum salary or hourly pay that they believe, in good faith, they would pay for the position</w:t>
      </w:r>
      <w:r w:rsidRPr="00DD7BD1">
        <w:rPr>
          <w:rFonts w:cs="Calibri"/>
          <w:color w:val="auto"/>
          <w:szCs w:val="22"/>
        </w:rPr>
        <w:t xml:space="preserve">. </w:t>
      </w:r>
    </w:p>
    <w:p w14:paraId="4801AF7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Pay ranges must be included in both external and internal postings, including those for internal promotions or transfer opportunities. </w:t>
      </w:r>
    </w:p>
    <w:p w14:paraId="03B60796"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Disclosure of health care benefits disclosed prior to each candidate’s first interview</w:t>
      </w:r>
    </w:p>
    <w:p w14:paraId="794DA94E"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Prohibition on Wage History Inquiries</w:t>
      </w:r>
    </w:p>
    <w:p w14:paraId="33650ECC"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Seeking a candidate’s wage history from a former employer.  </w:t>
      </w:r>
    </w:p>
    <w:p w14:paraId="5050FDF0"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Expanded Protections for Compensation Discussions</w:t>
      </w:r>
    </w:p>
    <w:p w14:paraId="4E2AAEF0" w14:textId="77777777" w:rsidR="00AF4ED7" w:rsidRPr="00DD7BD1" w:rsidRDefault="00AF4ED7" w:rsidP="00AF4ED7">
      <w:pPr>
        <w:pStyle w:val="BodyText"/>
        <w:spacing w:after="0" w:line="240" w:lineRule="auto"/>
        <w:ind w:left="720"/>
        <w:rPr>
          <w:rFonts w:cs="Calibri"/>
          <w:color w:val="auto"/>
          <w:szCs w:val="22"/>
        </w:rPr>
      </w:pPr>
      <w:r w:rsidRPr="00DD7BD1">
        <w:rPr>
          <w:rFonts w:cs="Calibri"/>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DD7BD1" w:rsidRDefault="00AF4ED7" w:rsidP="00AF4ED7">
      <w:pPr>
        <w:pStyle w:val="BodyText"/>
        <w:spacing w:after="0" w:line="240" w:lineRule="auto"/>
        <w:rPr>
          <w:rFonts w:cs="Calibri"/>
          <w:b/>
          <w:color w:val="auto"/>
          <w:szCs w:val="22"/>
        </w:rPr>
      </w:pPr>
      <w:r w:rsidRPr="00DD7BD1">
        <w:rPr>
          <w:rFonts w:cs="Calibri"/>
          <w:b/>
          <w:color w:val="auto"/>
          <w:szCs w:val="22"/>
        </w:rPr>
        <w:t>Notice Requirements</w:t>
      </w:r>
    </w:p>
    <w:p w14:paraId="6E3B8F8D" w14:textId="77777777" w:rsidR="00AF4ED7" w:rsidRPr="00DD7BD1" w:rsidRDefault="00AF4ED7">
      <w:pPr>
        <w:pStyle w:val="BodyText"/>
        <w:numPr>
          <w:ilvl w:val="0"/>
          <w:numId w:val="19"/>
        </w:numPr>
        <w:spacing w:after="0" w:line="240" w:lineRule="auto"/>
        <w:rPr>
          <w:rFonts w:cs="Calibri"/>
          <w:color w:val="auto"/>
        </w:rPr>
      </w:pPr>
      <w:r w:rsidRPr="00DD7BD1">
        <w:rPr>
          <w:rFonts w:cs="Calibri"/>
          <w:color w:val="000000" w:themeColor="text1"/>
        </w:rPr>
        <w:t xml:space="preserve">Post a notice of employee rights under the amended law in at least one conspicuous location where employees congregate. ETC will monitor &amp; provide released workplace notices. </w:t>
      </w:r>
      <w:r w:rsidRPr="00DD7BD1">
        <w:rPr>
          <w:rFonts w:cs="Calibri"/>
          <w:color w:val="000000" w:themeColor="text1"/>
          <w:shd w:val="clear" w:color="auto" w:fill="FFFFFF"/>
        </w:rPr>
        <w:t> D.C. has not yet made a template notice available, but employers that are eager to comply can print and post these in the workplace: </w:t>
      </w:r>
      <w:hyperlink r:id="rId632" w:tgtFrame="_blank" w:history="1">
        <w:r w:rsidRPr="00DD7BD1">
          <w:rPr>
            <w:rStyle w:val="Hyperlink"/>
            <w:rFonts w:cs="Calibri"/>
            <w:color w:val="1155CC"/>
            <w:shd w:val="clear" w:color="auto" w:fill="FFFFFF"/>
          </w:rPr>
          <w:t>pay disclosure</w:t>
        </w:r>
      </w:hyperlink>
      <w:r w:rsidRPr="00DD7BD1">
        <w:rPr>
          <w:rFonts w:cs="Calibri"/>
          <w:color w:val="282828"/>
          <w:shd w:val="clear" w:color="auto" w:fill="FFFFFF"/>
        </w:rPr>
        <w:t> </w:t>
      </w:r>
      <w:r w:rsidRPr="00DD7BD1">
        <w:rPr>
          <w:rFonts w:cs="Calibri"/>
          <w:color w:val="000000" w:themeColor="text1"/>
          <w:shd w:val="clear" w:color="auto" w:fill="FFFFFF"/>
        </w:rPr>
        <w:t>and</w:t>
      </w:r>
      <w:r w:rsidRPr="00DD7BD1">
        <w:rPr>
          <w:rFonts w:cs="Calibri"/>
          <w:color w:val="282828"/>
          <w:shd w:val="clear" w:color="auto" w:fill="FFFFFF"/>
        </w:rPr>
        <w:t> </w:t>
      </w:r>
      <w:hyperlink r:id="rId633" w:tgtFrame="_blank" w:history="1">
        <w:r w:rsidRPr="00DD7BD1">
          <w:rPr>
            <w:rStyle w:val="Hyperlink"/>
            <w:rFonts w:cs="Calibri"/>
            <w:color w:val="1155CC"/>
            <w:shd w:val="clear" w:color="auto" w:fill="FFFFFF"/>
          </w:rPr>
          <w:t>salary history</w:t>
        </w:r>
      </w:hyperlink>
      <w:r w:rsidRPr="00DD7BD1">
        <w:rPr>
          <w:rFonts w:cs="Calibri"/>
          <w:color w:val="282828"/>
          <w:shd w:val="clear" w:color="auto" w:fill="FFFFFF"/>
        </w:rPr>
        <w:t xml:space="preserve">.  </w:t>
      </w:r>
      <w:r w:rsidRPr="00DD7BD1">
        <w:rPr>
          <w:rFonts w:cs="Calibri"/>
          <w:color w:val="000000" w:themeColor="text1"/>
          <w:shd w:val="clear" w:color="auto" w:fill="FFFFFF"/>
        </w:rPr>
        <w:t>Once a workplace Notice is released, ETC will alert employers via the HR WIRE publication.</w:t>
      </w:r>
    </w:p>
    <w:p w14:paraId="7D8B596D" w14:textId="5B460A76" w:rsidR="00AF4ED7" w:rsidRPr="00DD7BD1" w:rsidRDefault="00AF4ED7" w:rsidP="00AF4ED7">
      <w:pPr>
        <w:pStyle w:val="BodyText"/>
        <w:spacing w:after="0" w:line="240" w:lineRule="auto"/>
        <w:rPr>
          <w:rFonts w:cs="Calibri"/>
          <w:color w:val="000000" w:themeColor="text1"/>
          <w:shd w:val="clear" w:color="auto" w:fill="FFFFFF"/>
        </w:rPr>
      </w:pPr>
      <w:r w:rsidRPr="00DD7BD1">
        <w:rPr>
          <w:rFonts w:cs="Calibri"/>
          <w:color w:val="auto"/>
          <w:shd w:val="clear" w:color="auto" w:fill="FFFFFF"/>
        </w:rPr>
        <w:t>(</w:t>
      </w:r>
      <w:hyperlink r:id="rId634" w:tgtFrame="_blank" w:history="1">
        <w:r w:rsidRPr="00DD7BD1">
          <w:rPr>
            <w:rStyle w:val="Hyperlink"/>
            <w:rFonts w:cs="Calibri"/>
            <w:color w:val="3052DA"/>
            <w:shd w:val="clear" w:color="auto" w:fill="FFFFFF"/>
          </w:rPr>
          <w:t>DC B 194</w:t>
        </w:r>
      </w:hyperlink>
      <w:r w:rsidRPr="00DD7BD1">
        <w:rPr>
          <w:rFonts w:cs="Calibri"/>
          <w:color w:val="282828"/>
          <w:shd w:val="clear" w:color="auto" w:fill="FFFFFF"/>
        </w:rPr>
        <w:t> </w:t>
      </w:r>
      <w:r w:rsidRPr="00DD7BD1">
        <w:rPr>
          <w:rFonts w:cs="Calibri"/>
          <w:color w:val="000000" w:themeColor="text1"/>
          <w:shd w:val="clear" w:color="auto" w:fill="FFFFFF"/>
        </w:rPr>
        <w:t>was signed by the mayor on January 1, 2024)</w:t>
      </w:r>
    </w:p>
    <w:p w14:paraId="3B5D8C1F" w14:textId="77777777" w:rsidR="001C5F42" w:rsidRPr="00DD7BD1" w:rsidRDefault="001C5F42" w:rsidP="001C5F42">
      <w:pPr>
        <w:spacing w:after="0" w:line="240" w:lineRule="auto"/>
        <w:jc w:val="both"/>
        <w:rPr>
          <w:rFonts w:ascii="Calibri" w:hAnsi="Calibri" w:cs="Calibri"/>
          <w:b/>
          <w:bCs/>
          <w:color w:val="2E74B5" w:themeColor="accent5" w:themeShade="BF"/>
          <w:sz w:val="20"/>
          <w:szCs w:val="20"/>
          <w:shd w:val="clear" w:color="auto" w:fill="FFFFFF"/>
          <w:lang w:val="en"/>
        </w:rPr>
      </w:pPr>
    </w:p>
    <w:p w14:paraId="64E462F5" w14:textId="40008B44" w:rsidR="00C55769" w:rsidRPr="00DD7BD1" w:rsidRDefault="00C55769"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Florida</w:t>
      </w:r>
    </w:p>
    <w:p w14:paraId="27956461" w14:textId="060CB5AC" w:rsidR="00A85628" w:rsidRPr="00DD7BD1" w:rsidRDefault="00A85628" w:rsidP="00A85628">
      <w:pPr>
        <w:spacing w:after="0" w:line="240" w:lineRule="auto"/>
        <w:ind w:right="-180"/>
        <w:jc w:val="center"/>
        <w:rPr>
          <w:rFonts w:ascii="Calibri" w:hAnsi="Calibri" w:cs="Calibri"/>
          <w:b/>
          <w:sz w:val="28"/>
        </w:rPr>
      </w:pPr>
      <w:bookmarkStart w:id="85" w:name="_Hlk212642589"/>
      <w:r w:rsidRPr="00DD7BD1">
        <w:rPr>
          <w:rFonts w:ascii="Calibri" w:hAnsi="Calibri" w:cs="Calibri"/>
          <w:b/>
          <w:bCs/>
          <w:sz w:val="28"/>
          <w:szCs w:val="28"/>
          <w:shd w:val="clear" w:color="auto" w:fill="FFFFFF"/>
        </w:rPr>
        <w:t>State Minimum Wage Increases –</w:t>
      </w:r>
      <w:r w:rsidRPr="00DD7BD1">
        <w:rPr>
          <w:rFonts w:ascii="Calibri" w:hAnsi="Calibri" w:cs="Calibri"/>
          <w:b/>
          <w:spacing w:val="-8"/>
          <w:sz w:val="28"/>
        </w:rPr>
        <w:t xml:space="preserve"> </w:t>
      </w:r>
      <w:r w:rsidRPr="00DD7BD1">
        <w:rPr>
          <w:rFonts w:ascii="Calibri" w:hAnsi="Calibri" w:cs="Calibri"/>
          <w:b/>
          <w:bCs/>
          <w:color w:val="C00000"/>
          <w:sz w:val="28"/>
          <w:szCs w:val="28"/>
          <w:shd w:val="clear" w:color="auto" w:fill="FFFFFF"/>
        </w:rPr>
        <w:t>Eff Sept 30, 2025</w:t>
      </w:r>
    </w:p>
    <w:bookmarkEnd w:id="85"/>
    <w:p w14:paraId="3963B9BA" w14:textId="4BF6A750" w:rsidR="00A85628" w:rsidRPr="00DD7BD1" w:rsidRDefault="00A85628" w:rsidP="00A85628">
      <w:pPr>
        <w:pStyle w:val="BodyText"/>
        <w:spacing w:after="0" w:line="240" w:lineRule="auto"/>
        <w:ind w:right="-180"/>
        <w:rPr>
          <w:rFonts w:cs="Calibri"/>
          <w:color w:val="auto"/>
          <w:spacing w:val="-2"/>
          <w:w w:val="110"/>
          <w:szCs w:val="22"/>
        </w:rPr>
      </w:pPr>
      <w:r w:rsidRPr="00DD7BD1">
        <w:rPr>
          <w:rFonts w:cs="Calibri"/>
          <w:color w:val="auto"/>
          <w:w w:val="110"/>
          <w:szCs w:val="22"/>
        </w:rPr>
        <w:t>Starting</w:t>
      </w:r>
      <w:r w:rsidRPr="00DD7BD1">
        <w:rPr>
          <w:rFonts w:cs="Calibri"/>
          <w:color w:val="auto"/>
          <w:spacing w:val="-2"/>
          <w:w w:val="110"/>
          <w:szCs w:val="22"/>
        </w:rPr>
        <w:t xml:space="preserve"> </w:t>
      </w:r>
      <w:r w:rsidRPr="00DD7BD1">
        <w:rPr>
          <w:rFonts w:cs="Calibri"/>
          <w:color w:val="auto"/>
          <w:w w:val="110"/>
          <w:szCs w:val="22"/>
        </w:rPr>
        <w:t>September</w:t>
      </w:r>
      <w:r w:rsidRPr="00DD7BD1">
        <w:rPr>
          <w:rFonts w:cs="Calibri"/>
          <w:color w:val="auto"/>
          <w:spacing w:val="-1"/>
          <w:w w:val="110"/>
          <w:szCs w:val="22"/>
        </w:rPr>
        <w:t xml:space="preserve"> </w:t>
      </w:r>
      <w:r w:rsidRPr="00DD7BD1">
        <w:rPr>
          <w:rFonts w:cs="Calibri"/>
          <w:color w:val="auto"/>
          <w:w w:val="110"/>
          <w:szCs w:val="22"/>
        </w:rPr>
        <w:t>30,</w:t>
      </w:r>
      <w:r w:rsidRPr="00DD7BD1">
        <w:rPr>
          <w:rFonts w:cs="Calibri"/>
          <w:color w:val="auto"/>
          <w:spacing w:val="-1"/>
          <w:w w:val="110"/>
          <w:szCs w:val="22"/>
        </w:rPr>
        <w:t xml:space="preserve"> </w:t>
      </w:r>
      <w:r w:rsidRPr="00DD7BD1">
        <w:rPr>
          <w:rFonts w:cs="Calibri"/>
          <w:color w:val="auto"/>
          <w:w w:val="110"/>
          <w:szCs w:val="22"/>
        </w:rPr>
        <w:t>2025,</w:t>
      </w:r>
      <w:r w:rsidRPr="00DD7BD1">
        <w:rPr>
          <w:rFonts w:cs="Calibri"/>
          <w:color w:val="auto"/>
          <w:spacing w:val="-4"/>
          <w:w w:val="110"/>
          <w:szCs w:val="22"/>
        </w:rPr>
        <w:t xml:space="preserve"> </w:t>
      </w:r>
      <w:r w:rsidRPr="00DD7BD1">
        <w:rPr>
          <w:rFonts w:cs="Calibri"/>
          <w:color w:val="auto"/>
          <w:w w:val="110"/>
          <w:szCs w:val="22"/>
        </w:rPr>
        <w:t>Florida’s 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w w:val="110"/>
          <w:szCs w:val="22"/>
        </w:rPr>
        <w:t>will</w:t>
      </w:r>
      <w:r w:rsidRPr="00DD7BD1">
        <w:rPr>
          <w:rFonts w:cs="Calibri"/>
          <w:color w:val="auto"/>
          <w:spacing w:val="-2"/>
          <w:w w:val="110"/>
          <w:szCs w:val="22"/>
        </w:rPr>
        <w:t xml:space="preserve"> </w:t>
      </w:r>
      <w:r w:rsidRPr="00DD7BD1">
        <w:rPr>
          <w:rFonts w:cs="Calibri"/>
          <w:color w:val="auto"/>
          <w:w w:val="110"/>
          <w:szCs w:val="22"/>
        </w:rPr>
        <w:t>increase</w:t>
      </w:r>
      <w:r w:rsidRPr="00DD7BD1">
        <w:rPr>
          <w:rFonts w:cs="Calibri"/>
          <w:color w:val="auto"/>
          <w:spacing w:val="-1"/>
          <w:w w:val="110"/>
          <w:szCs w:val="22"/>
        </w:rPr>
        <w:t xml:space="preserve"> </w:t>
      </w:r>
      <w:r w:rsidRPr="00DD7BD1">
        <w:rPr>
          <w:rFonts w:cs="Calibri"/>
          <w:color w:val="auto"/>
          <w:w w:val="110"/>
          <w:szCs w:val="22"/>
        </w:rPr>
        <w:t>to $14</w:t>
      </w:r>
      <w:r w:rsidRPr="00DD7BD1">
        <w:rPr>
          <w:rFonts w:cs="Calibri"/>
          <w:color w:val="auto"/>
          <w:spacing w:val="-1"/>
          <w:w w:val="110"/>
          <w:szCs w:val="22"/>
        </w:rPr>
        <w:t xml:space="preserve"> </w:t>
      </w:r>
      <w:r w:rsidRPr="00DD7BD1">
        <w:rPr>
          <w:rFonts w:cs="Calibri"/>
          <w:color w:val="auto"/>
          <w:w w:val="110"/>
          <w:szCs w:val="22"/>
        </w:rPr>
        <w:t>per</w:t>
      </w:r>
      <w:r w:rsidRPr="00DD7BD1">
        <w:rPr>
          <w:rFonts w:cs="Calibri"/>
          <w:color w:val="auto"/>
          <w:spacing w:val="-3"/>
          <w:w w:val="110"/>
          <w:szCs w:val="22"/>
        </w:rPr>
        <w:t xml:space="preserve"> </w:t>
      </w:r>
      <w:r w:rsidRPr="00DD7BD1">
        <w:rPr>
          <w:rFonts w:cs="Calibri"/>
          <w:color w:val="auto"/>
          <w:w w:val="110"/>
          <w:szCs w:val="22"/>
        </w:rPr>
        <w:t>hour.</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minimum</w:t>
      </w:r>
      <w:r w:rsidRPr="00DD7BD1">
        <w:rPr>
          <w:rFonts w:cs="Calibri"/>
          <w:color w:val="auto"/>
          <w:spacing w:val="-1"/>
          <w:w w:val="110"/>
          <w:szCs w:val="22"/>
        </w:rPr>
        <w:t xml:space="preserve"> </w:t>
      </w:r>
      <w:r w:rsidRPr="00DD7BD1">
        <w:rPr>
          <w:rFonts w:cs="Calibri"/>
          <w:color w:val="auto"/>
          <w:w w:val="110"/>
          <w:szCs w:val="22"/>
        </w:rPr>
        <w:t>base</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spacing w:val="-5"/>
          <w:w w:val="110"/>
          <w:szCs w:val="22"/>
        </w:rPr>
        <w:t>for</w:t>
      </w:r>
      <w:r w:rsidRPr="00DD7BD1">
        <w:rPr>
          <w:rFonts w:cs="Calibri"/>
          <w:color w:val="auto"/>
          <w:szCs w:val="22"/>
        </w:rPr>
        <w:t xml:space="preserve"> </w:t>
      </w:r>
      <w:r w:rsidRPr="00DD7BD1">
        <w:rPr>
          <w:rFonts w:cs="Calibri"/>
          <w:color w:val="auto"/>
          <w:spacing w:val="-2"/>
          <w:w w:val="110"/>
          <w:szCs w:val="22"/>
        </w:rPr>
        <w:t>tipped</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4"/>
          <w:w w:val="110"/>
          <w:szCs w:val="22"/>
        </w:rPr>
        <w:t xml:space="preserve"> </w:t>
      </w:r>
      <w:r w:rsidRPr="00DD7BD1">
        <w:rPr>
          <w:rFonts w:cs="Calibri"/>
          <w:color w:val="auto"/>
          <w:spacing w:val="-2"/>
          <w:w w:val="110"/>
          <w:szCs w:val="22"/>
        </w:rPr>
        <w:t>will</w:t>
      </w:r>
      <w:r w:rsidRPr="00DD7BD1">
        <w:rPr>
          <w:rFonts w:cs="Calibri"/>
          <w:color w:val="auto"/>
          <w:spacing w:val="-8"/>
          <w:w w:val="110"/>
          <w:szCs w:val="22"/>
        </w:rPr>
        <w:t xml:space="preserve"> </w:t>
      </w:r>
      <w:r w:rsidRPr="00DD7BD1">
        <w:rPr>
          <w:rFonts w:cs="Calibri"/>
          <w:color w:val="auto"/>
          <w:spacing w:val="-2"/>
          <w:w w:val="110"/>
          <w:szCs w:val="22"/>
        </w:rPr>
        <w:t>increase</w:t>
      </w:r>
      <w:r w:rsidRPr="00DD7BD1">
        <w:rPr>
          <w:rFonts w:cs="Calibri"/>
          <w:color w:val="auto"/>
          <w:spacing w:val="-4"/>
          <w:w w:val="110"/>
          <w:szCs w:val="22"/>
        </w:rPr>
        <w:t xml:space="preserve"> </w:t>
      </w:r>
      <w:r w:rsidRPr="00DD7BD1">
        <w:rPr>
          <w:rFonts w:cs="Calibri"/>
          <w:color w:val="auto"/>
          <w:spacing w:val="-2"/>
          <w:w w:val="110"/>
          <w:szCs w:val="22"/>
        </w:rPr>
        <w:t>to</w:t>
      </w:r>
      <w:r w:rsidRPr="00DD7BD1">
        <w:rPr>
          <w:rFonts w:cs="Calibri"/>
          <w:color w:val="auto"/>
          <w:spacing w:val="-5"/>
          <w:w w:val="110"/>
          <w:szCs w:val="22"/>
        </w:rPr>
        <w:t xml:space="preserve"> </w:t>
      </w:r>
      <w:r w:rsidRPr="00DD7BD1">
        <w:rPr>
          <w:rFonts w:cs="Calibri"/>
          <w:color w:val="auto"/>
          <w:spacing w:val="-2"/>
          <w:w w:val="110"/>
          <w:szCs w:val="22"/>
        </w:rPr>
        <w:t>$10.98</w:t>
      </w:r>
      <w:r w:rsidRPr="00DD7BD1">
        <w:rPr>
          <w:rFonts w:cs="Calibri"/>
          <w:color w:val="auto"/>
          <w:spacing w:val="-7"/>
          <w:w w:val="110"/>
          <w:szCs w:val="22"/>
        </w:rPr>
        <w:t xml:space="preserve"> </w:t>
      </w:r>
      <w:r w:rsidRPr="00DD7BD1">
        <w:rPr>
          <w:rFonts w:cs="Calibri"/>
          <w:color w:val="auto"/>
          <w:spacing w:val="-2"/>
          <w:w w:val="110"/>
          <w:szCs w:val="22"/>
        </w:rPr>
        <w:t>per</w:t>
      </w:r>
      <w:r w:rsidRPr="00DD7BD1">
        <w:rPr>
          <w:rFonts w:cs="Calibri"/>
          <w:color w:val="auto"/>
          <w:spacing w:val="-9"/>
          <w:w w:val="110"/>
          <w:szCs w:val="22"/>
        </w:rPr>
        <w:t xml:space="preserve"> </w:t>
      </w:r>
      <w:r w:rsidRPr="00DD7BD1">
        <w:rPr>
          <w:rFonts w:cs="Calibri"/>
          <w:color w:val="auto"/>
          <w:spacing w:val="-2"/>
          <w:w w:val="110"/>
          <w:szCs w:val="22"/>
        </w:rPr>
        <w:t>hour.</w:t>
      </w:r>
    </w:p>
    <w:p w14:paraId="79C7EE45" w14:textId="77777777" w:rsidR="00A85628" w:rsidRPr="00DD7BD1" w:rsidRDefault="00A85628" w:rsidP="00A85628">
      <w:pPr>
        <w:pStyle w:val="BodyText"/>
        <w:spacing w:after="0" w:line="240" w:lineRule="auto"/>
        <w:ind w:right="-180"/>
        <w:rPr>
          <w:rFonts w:cs="Calibri"/>
          <w:color w:val="auto"/>
          <w:szCs w:val="22"/>
        </w:rPr>
      </w:pPr>
    </w:p>
    <w:p w14:paraId="61B94AF7" w14:textId="79F939FB" w:rsidR="00C55769" w:rsidRPr="00DD7BD1" w:rsidRDefault="00A85628" w:rsidP="00C5576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State’s</w:t>
      </w:r>
      <w:r w:rsidR="00C55769" w:rsidRPr="00DD7BD1">
        <w:rPr>
          <w:rFonts w:ascii="Calibri" w:hAnsi="Calibri" w:cs="Calibri"/>
          <w:b/>
          <w:bCs/>
          <w:sz w:val="28"/>
          <w:szCs w:val="28"/>
          <w:shd w:val="clear" w:color="auto" w:fill="FFFFFF"/>
          <w:lang w:val="en"/>
        </w:rPr>
        <w:t xml:space="preserve"> Non-Compete Bill Becomes Law</w:t>
      </w:r>
    </w:p>
    <w:p w14:paraId="1C7DD24E"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Governor Ron DeSantis has allowed Florida’s expansive noncompete bill to become law without his signature. The Florida Contracts Honoring Opportunity, Investment, Confidentiality, and Economic Growth (CHOICE) Act significantly expands the enforceability of noncompete agreements in Florida and became effective immediately. </w:t>
      </w:r>
    </w:p>
    <w:p w14:paraId="21F9B562"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03B0292D"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law addresses both garden leave agreements and noncompete agreements. With regard to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5F63C524"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30DF041E" w14:textId="77777777" w:rsidR="00C55769" w:rsidRPr="00DD7BD1" w:rsidRDefault="00C55769" w:rsidP="00C55769">
      <w:pPr>
        <w:spacing w:after="0" w:line="240" w:lineRule="auto"/>
        <w:jc w:val="both"/>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p>
    <w:p w14:paraId="76ADD128" w14:textId="77777777" w:rsidR="00C55769" w:rsidRPr="00DD7BD1" w:rsidRDefault="00C55769" w:rsidP="00C55769">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DD7BD1" w:rsidRDefault="00C55769" w:rsidP="001C5F42">
      <w:pPr>
        <w:spacing w:after="0" w:line="240" w:lineRule="auto"/>
        <w:jc w:val="both"/>
        <w:rPr>
          <w:rFonts w:ascii="Calibri" w:hAnsi="Calibri" w:cs="Calibri"/>
          <w:b/>
          <w:bCs/>
          <w:color w:val="2E74B5" w:themeColor="accent5" w:themeShade="BF"/>
          <w:sz w:val="16"/>
          <w:szCs w:val="16"/>
          <w:shd w:val="clear" w:color="auto" w:fill="FFFFFF"/>
          <w:lang w:val="en"/>
        </w:rPr>
      </w:pPr>
    </w:p>
    <w:p w14:paraId="0D56EE66" w14:textId="2B011DE3"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Georgia</w:t>
      </w:r>
    </w:p>
    <w:p w14:paraId="27CB7A32"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Eliminates Subminimum Wage – </w:t>
      </w:r>
      <w:r w:rsidRPr="00DD7BD1">
        <w:rPr>
          <w:rFonts w:ascii="Calibri" w:hAnsi="Calibri" w:cs="Calibri"/>
          <w:b/>
          <w:bCs/>
          <w:color w:val="C00000"/>
          <w:sz w:val="28"/>
          <w:szCs w:val="28"/>
          <w:shd w:val="clear" w:color="auto" w:fill="FFFFFF"/>
          <w:lang w:val="en"/>
        </w:rPr>
        <w:t>Eff July 1, 2025</w:t>
      </w:r>
    </w:p>
    <w:p w14:paraId="710E5FCC" w14:textId="4879AA93"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July 1, 2025, Georgia will begin phasing out the subminimum wage for employees with disabilities.  </w:t>
      </w:r>
    </w:p>
    <w:p w14:paraId="2F4FDA7D" w14:textId="7E919DB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with a valid U.S. Department of Labor (DOL) certificate that allows this practice and was issued </w:t>
      </w:r>
      <w:r w:rsidRPr="00DD7BD1">
        <w:rPr>
          <w:rFonts w:ascii="Calibri" w:hAnsi="Calibri" w:cs="Calibri"/>
          <w:i/>
          <w:iCs/>
          <w:shd w:val="clear" w:color="auto" w:fill="FFFFFF"/>
        </w:rPr>
        <w:t>on or before July 1, 2025</w:t>
      </w:r>
      <w:r w:rsidRPr="00DD7BD1">
        <w:rPr>
          <w:rFonts w:ascii="Calibri" w:hAnsi="Calibri" w:cs="Calibri"/>
          <w:shd w:val="clear" w:color="auto" w:fill="FFFFFF"/>
        </w:rPr>
        <w:t>, can continue to pay employees with disabilities less than the minimum wage for a limited time, but they’ll need to increase wages as follows: </w:t>
      </w:r>
    </w:p>
    <w:p w14:paraId="257DB8A4" w14:textId="77777777"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2026, they must pay at least half of the federal minimum wage </w:t>
      </w:r>
    </w:p>
    <w:p w14:paraId="0ACD9573" w14:textId="4AD83298"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2027, they must pay at least the federal minimum wage </w:t>
      </w:r>
    </w:p>
    <w:p w14:paraId="6DB3DA52" w14:textId="6319C43D"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in Georgia that did not get a valid DOL certificate by July 1, 2025, won’t be able to pay employees with disabilities less than the federal minimum</w:t>
      </w:r>
    </w:p>
    <w:p w14:paraId="0ED5521D" w14:textId="16484F90" w:rsidR="001C5F42" w:rsidRPr="00DD7BD1" w:rsidRDefault="001C5F42"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Hawaii</w:t>
      </w:r>
    </w:p>
    <w:p w14:paraId="52C3A064" w14:textId="77777777" w:rsidR="000E6A4D" w:rsidRPr="00DD7BD1" w:rsidRDefault="000E6A4D" w:rsidP="000E6A4D">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Minimum Wage Increases – </w:t>
      </w:r>
      <w:r w:rsidRPr="00DD7BD1">
        <w:rPr>
          <w:rFonts w:ascii="Calibri" w:hAnsi="Calibri" w:cs="Calibri"/>
          <w:b/>
          <w:bCs/>
          <w:color w:val="C00000"/>
          <w:sz w:val="28"/>
          <w:szCs w:val="28"/>
          <w:shd w:val="clear" w:color="auto" w:fill="FFFFFF"/>
          <w:lang w:val="en"/>
        </w:rPr>
        <w:t>Jan 1, 2026</w:t>
      </w:r>
    </w:p>
    <w:p w14:paraId="05FE999E" w14:textId="7EA2673B" w:rsidR="008C12F1" w:rsidRPr="00DD7BD1" w:rsidRDefault="000E6A4D" w:rsidP="000E6A4D">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Hawaii’s minimum wage will increase to $16 per hour. The minimum base wage for tipped employees will increase to $14.75 per hour. Note that employers can </w:t>
      </w:r>
      <w:r w:rsidRPr="00DD7BD1">
        <w:rPr>
          <w:rFonts w:ascii="Calibri" w:hAnsi="Calibri" w:cs="Calibri"/>
          <w:i/>
          <w:iCs/>
          <w:shd w:val="clear" w:color="auto" w:fill="FFFFFF"/>
        </w:rPr>
        <w:t>only </w:t>
      </w:r>
      <w:r w:rsidRPr="00DD7BD1">
        <w:rPr>
          <w:rFonts w:ascii="Calibri" w:hAnsi="Calibri" w:cs="Calibri"/>
          <w:shd w:val="clear" w:color="auto" w:fill="FFFFFF"/>
        </w:rPr>
        <w:t>pay the base wage if the employee earns at least $23 per hour, including their tips.</w:t>
      </w:r>
    </w:p>
    <w:p w14:paraId="162CFD1B" w14:textId="302E945E"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Captive Audience Ban – July 2, 2024</w:t>
      </w:r>
    </w:p>
    <w:p w14:paraId="56F6BBEA" w14:textId="5299A5B9" w:rsidR="000F6584" w:rsidRPr="00DD7BD1" w:rsidRDefault="000F6584" w:rsidP="000F6584">
      <w:pPr>
        <w:spacing w:after="0" w:line="240" w:lineRule="auto"/>
        <w:rPr>
          <w:rFonts w:ascii="Calibri" w:hAnsi="Calibri" w:cs="Calibri"/>
        </w:rPr>
      </w:pPr>
      <w:r w:rsidRPr="00DD7BD1">
        <w:rPr>
          <w:rFonts w:ascii="Calibri" w:hAnsi="Calibri" w:cs="Calibri"/>
        </w:rPr>
        <w:t xml:space="preserve">Hawaii enacted a </w:t>
      </w:r>
      <w:hyperlink r:id="rId635" w:history="1">
        <w:r w:rsidRPr="00DD7BD1">
          <w:rPr>
            <w:rStyle w:val="Hyperlink"/>
            <w:rFonts w:ascii="Calibri" w:hAnsi="Calibri" w:cs="Calibri"/>
          </w:rPr>
          <w:t>captive audience ban</w:t>
        </w:r>
      </w:hyperlink>
      <w:r w:rsidRPr="00DD7BD1">
        <w:rPr>
          <w:rFonts w:ascii="Calibri" w:hAnsi="Calibri" w:cs="Calibri"/>
        </w:rPr>
        <w:t xml:space="preserve">, protecting workers from retaliation for refusing to attend meetings or listen to their employer’s speech on political matters. The new law, </w:t>
      </w:r>
      <w:hyperlink r:id="rId636" w:tgtFrame="_blank" w:history="1">
        <w:r w:rsidRPr="00DD7BD1">
          <w:rPr>
            <w:rStyle w:val="Hyperlink"/>
            <w:rFonts w:ascii="Calibri" w:hAnsi="Calibri" w:cs="Calibri"/>
            <w:shd w:val="clear" w:color="auto" w:fill="FFFFFF"/>
          </w:rPr>
          <w:t>HI S 2715</w:t>
        </w:r>
      </w:hyperlink>
      <w:r w:rsidRPr="00DD7BD1">
        <w:rPr>
          <w:rStyle w:val="Hyperlink"/>
          <w:rFonts w:ascii="Calibri" w:hAnsi="Calibri" w:cs="Calibri"/>
          <w:shd w:val="clear" w:color="auto" w:fill="FFFFFF"/>
        </w:rPr>
        <w:t>,</w:t>
      </w:r>
      <w:r w:rsidRPr="00DD7BD1">
        <w:rPr>
          <w:rFonts w:ascii="Calibri" w:hAnsi="Calibri" w:cs="Calibri"/>
        </w:rPr>
        <w:t xml:space="preserve"> became effective on July 2, 2024.</w:t>
      </w:r>
      <w:r w:rsidRPr="00DD7BD1">
        <w:rPr>
          <w:rFonts w:ascii="Calibri" w:hAnsi="Calibri" w:cs="Calibri"/>
          <w:shd w:val="clear" w:color="auto" w:fill="FFFFFF"/>
        </w:rPr>
        <w:t> </w:t>
      </w:r>
    </w:p>
    <w:p w14:paraId="5293E84F" w14:textId="77777777" w:rsidR="000F6584" w:rsidRPr="00DD7BD1" w:rsidRDefault="000F6584" w:rsidP="000F6584">
      <w:pPr>
        <w:spacing w:after="0" w:line="240" w:lineRule="auto"/>
        <w:rPr>
          <w:rFonts w:ascii="Calibri" w:hAnsi="Calibri" w:cs="Calibri"/>
        </w:rPr>
      </w:pPr>
      <w:r w:rsidRPr="00DD7BD1">
        <w:rPr>
          <w:rFonts w:ascii="Calibri" w:hAnsi="Calibri" w:cs="Calibri"/>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DD7BD1" w:rsidRDefault="000F6584" w:rsidP="000F6584">
      <w:pPr>
        <w:spacing w:after="0" w:line="240" w:lineRule="auto"/>
        <w:rPr>
          <w:rFonts w:ascii="Calibri" w:hAnsi="Calibri" w:cs="Calibri"/>
        </w:rPr>
      </w:pPr>
    </w:p>
    <w:p w14:paraId="3CBCA227" w14:textId="77777777" w:rsidR="000F6584" w:rsidRPr="00DD7BD1" w:rsidRDefault="000F6584" w:rsidP="000F6584">
      <w:pPr>
        <w:spacing w:after="0" w:line="240" w:lineRule="auto"/>
        <w:rPr>
          <w:rFonts w:ascii="Calibri" w:hAnsi="Calibri" w:cs="Calibri"/>
        </w:rPr>
      </w:pPr>
      <w:r w:rsidRPr="00DD7BD1">
        <w:rPr>
          <w:rFonts w:ascii="Calibri" w:hAnsi="Calibri" w:cs="Calibri"/>
        </w:rPr>
        <w:t>The new law prohibits employers from discharging, disciplining, or otherwise penalizing or threatening any adverse employment action against an employee because they decline to:</w:t>
      </w:r>
    </w:p>
    <w:p w14:paraId="2BA57BF9" w14:textId="77777777" w:rsidR="000F6584" w:rsidRPr="00DD7BD1" w:rsidRDefault="000F6584" w:rsidP="000F6584">
      <w:pPr>
        <w:pStyle w:val="Bullet"/>
        <w:spacing w:line="240" w:lineRule="auto"/>
        <w:ind w:left="576" w:hanging="288"/>
        <w:rPr>
          <w:rFonts w:cs="Calibri"/>
          <w:color w:val="auto"/>
        </w:rPr>
      </w:pPr>
      <w:r w:rsidRPr="00DD7BD1">
        <w:rPr>
          <w:rFonts w:cs="Calibri"/>
          <w:color w:val="auto"/>
        </w:rPr>
        <w:t>Attend or participate in an employer-sponsored meeting, or any portion of a meeting, that communicates the employer’s opinions about political matters; or</w:t>
      </w:r>
    </w:p>
    <w:p w14:paraId="0691D614" w14:textId="77777777" w:rsidR="000F6584" w:rsidRPr="00DD7BD1" w:rsidRDefault="000F6584" w:rsidP="000F6584">
      <w:pPr>
        <w:pStyle w:val="Bullet"/>
        <w:spacing w:line="240" w:lineRule="auto"/>
        <w:ind w:left="576" w:hanging="288"/>
        <w:rPr>
          <w:rFonts w:cs="Calibri"/>
          <w:color w:val="auto"/>
        </w:rPr>
      </w:pPr>
      <w:r w:rsidRPr="00DD7BD1">
        <w:rPr>
          <w:rFonts w:cs="Calibri"/>
          <w:color w:val="auto"/>
        </w:rPr>
        <w:t xml:space="preserve">Receive or listen to a communication from the employer that communicates the employer’s opinions about political matters. </w:t>
      </w:r>
    </w:p>
    <w:p w14:paraId="23CE6FD8" w14:textId="77777777" w:rsidR="000F6584" w:rsidRPr="00DD7BD1" w:rsidRDefault="000F6584" w:rsidP="000F6584">
      <w:pPr>
        <w:pStyle w:val="Bullet"/>
        <w:numPr>
          <w:ilvl w:val="0"/>
          <w:numId w:val="0"/>
        </w:numPr>
        <w:spacing w:line="240" w:lineRule="auto"/>
        <w:rPr>
          <w:rFonts w:cs="Calibri"/>
          <w:color w:val="auto"/>
        </w:rPr>
      </w:pPr>
      <w:r w:rsidRPr="00DD7BD1">
        <w:rPr>
          <w:rFonts w:cs="Calibri"/>
          <w:color w:val="auto"/>
        </w:rPr>
        <w:t xml:space="preserve">Under the new law, “political matters” means anything related to an attempt to influence a future vote made by individuals in an audience. </w:t>
      </w:r>
    </w:p>
    <w:p w14:paraId="7C046212" w14:textId="39ABA076" w:rsidR="007555BC" w:rsidRPr="00DD7BD1" w:rsidRDefault="000F6584" w:rsidP="00503F70">
      <w:pPr>
        <w:spacing w:after="0" w:line="240" w:lineRule="auto"/>
        <w:rPr>
          <w:rFonts w:ascii="Calibri" w:hAnsi="Calibri" w:cs="Calibri"/>
        </w:rPr>
      </w:pPr>
      <w:r w:rsidRPr="00DD7BD1">
        <w:rPr>
          <w:rFonts w:ascii="Calibri" w:hAnsi="Calibri" w:cs="Calibri"/>
        </w:rPr>
        <w:t xml:space="preserve">The new law does </w:t>
      </w:r>
      <w:r w:rsidRPr="00DD7BD1">
        <w:rPr>
          <w:rFonts w:ascii="Calibri" w:hAnsi="Calibri" w:cs="Calibri"/>
          <w:b/>
          <w:bCs/>
        </w:rPr>
        <w:t>not</w:t>
      </w:r>
      <w:r w:rsidRPr="00DD7BD1">
        <w:rPr>
          <w:rFonts w:ascii="Calibri" w:hAnsi="Calibri" w:cs="Calibri"/>
        </w:rPr>
        <w:t xml:space="preserve"> prohibit an employer from conducting meetings or engaging in communications involving political matters as long as attendance by the employee is entirely voluntary. </w:t>
      </w:r>
    </w:p>
    <w:p w14:paraId="24F611E7" w14:textId="77777777" w:rsidR="003B29FD" w:rsidRPr="00DD7BD1" w:rsidRDefault="003B29FD"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759D5855" w14:textId="305298FC" w:rsidR="0036492C" w:rsidRPr="00DD7BD1" w:rsidRDefault="00022BF0" w:rsidP="0036492C">
      <w:pPr>
        <w:tabs>
          <w:tab w:val="left" w:pos="1650"/>
        </w:tabs>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Illinois</w:t>
      </w:r>
      <w:bookmarkStart w:id="86" w:name="_Hlk186728023"/>
    </w:p>
    <w:p w14:paraId="48BD4AE9" w14:textId="77777777" w:rsidR="009C7E0F" w:rsidRDefault="009C7E0F" w:rsidP="00D8177D">
      <w:pPr>
        <w:jc w:val="center"/>
        <w:rPr>
          <w:b/>
          <w:bCs/>
          <w:caps/>
          <w:color w:val="0070C0"/>
          <w:sz w:val="26"/>
          <w:szCs w:val="26"/>
        </w:rPr>
      </w:pPr>
      <w:bookmarkStart w:id="87" w:name="_Hlk213073419"/>
      <w:bookmarkStart w:id="88" w:name="_Hlk205277861"/>
      <w:r w:rsidRPr="00D542D4">
        <w:rPr>
          <w:b/>
          <w:bCs/>
          <w:caps/>
          <w:noProof/>
          <w:color w:val="0070C0"/>
          <w:sz w:val="26"/>
          <w:szCs w:val="26"/>
        </w:rPr>
        <w:t>Reminder:</w:t>
      </w:r>
      <w:r w:rsidRPr="00D542D4">
        <w:rPr>
          <w:b/>
          <w:bCs/>
          <w:caps/>
          <w:noProof/>
          <w:color w:val="0E425C"/>
          <w:sz w:val="26"/>
          <w:szCs w:val="26"/>
        </w:rPr>
        <w:t xml:space="preserve"> Annual Pay Certification Reporting Deadline</w:t>
      </w:r>
      <w:r w:rsidRPr="0043631A">
        <w:rPr>
          <w:rFonts w:ascii="Roboto" w:hAnsi="Roboto"/>
          <w:b/>
          <w:bCs/>
          <w:color w:val="C00000"/>
          <w:shd w:val="clear" w:color="auto" w:fill="FFFFFF"/>
          <w:lang w:val="en"/>
        </w:rPr>
        <w:t xml:space="preserve"> </w:t>
      </w:r>
      <w:r w:rsidRPr="00D542D4">
        <w:rPr>
          <w:b/>
          <w:bCs/>
          <w:caps/>
          <w:color w:val="0070C0"/>
          <w:sz w:val="26"/>
          <w:szCs w:val="26"/>
        </w:rPr>
        <w:t>April 24, 2026</w:t>
      </w:r>
    </w:p>
    <w:p w14:paraId="20EF98A0" w14:textId="77777777" w:rsidR="009C7E0F" w:rsidRPr="002F6B18" w:rsidRDefault="009C7E0F" w:rsidP="009C7E0F">
      <w:pPr>
        <w:rPr>
          <w:b/>
          <w:bCs/>
          <w:shd w:val="clear" w:color="auto" w:fill="FFFFFF"/>
          <w:lang w:val="en"/>
        </w:rPr>
      </w:pPr>
      <w:r w:rsidRPr="002F6B18">
        <w:rPr>
          <w:shd w:val="clear" w:color="auto" w:fill="FFFFFF"/>
        </w:rPr>
        <w:t xml:space="preserve">Illinois law requires private businesses with 100 or more employees </w:t>
      </w:r>
      <w:r w:rsidRPr="002F6B18">
        <w:rPr>
          <w:u w:val="single"/>
          <w:shd w:val="clear" w:color="auto" w:fill="FFFFFF"/>
        </w:rPr>
        <w:t xml:space="preserve">in the State of Illinois </w:t>
      </w:r>
      <w:r w:rsidRPr="002F6B18">
        <w:rPr>
          <w:shd w:val="clear" w:color="auto" w:fill="FFFFFF"/>
        </w:rPr>
        <w:t>to submit an application to obtain an Equal Pay Registration Certificate (EPRC) by providing certain pay, demographic, and other data to the Illinois Department of Labor (IDOL) by March 24, 2024, and to recertify every two years after the first submission. </w:t>
      </w:r>
    </w:p>
    <w:p w14:paraId="22BEECA5" w14:textId="77777777" w:rsidR="009C7E0F" w:rsidRPr="002F6B18" w:rsidRDefault="009C7E0F" w:rsidP="009C7E0F">
      <w:pPr>
        <w:rPr>
          <w:shd w:val="clear" w:color="auto" w:fill="FFFFFF"/>
        </w:rPr>
      </w:pPr>
      <w:r w:rsidRPr="002F6B18">
        <w:rPr>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11894A77" w14:textId="77777777" w:rsidR="009C7E0F" w:rsidRPr="002F6B18" w:rsidRDefault="009C7E0F">
      <w:pPr>
        <w:pStyle w:val="ListParagraph"/>
        <w:numPr>
          <w:ilvl w:val="0"/>
          <w:numId w:val="332"/>
        </w:numPr>
        <w:spacing w:after="100" w:line="276" w:lineRule="auto"/>
        <w:rPr>
          <w:shd w:val="clear" w:color="auto" w:fill="FFFFFF"/>
        </w:rPr>
      </w:pPr>
      <w:r w:rsidRPr="002F6B18">
        <w:rPr>
          <w:shd w:val="clear" w:color="auto" w:fill="FFFFFF"/>
        </w:rPr>
        <w:t>E</w:t>
      </w:r>
      <w:r w:rsidRPr="002F6B18">
        <w:rPr>
          <w:shd w:val="clear" w:color="auto" w:fill="FFFFFF"/>
          <w:lang w:val="en"/>
        </w:rPr>
        <w:t xml:space="preserve">qual Pay Registration Certificate (EPRC) </w:t>
      </w:r>
      <w:hyperlink r:id="rId637" w:history="1">
        <w:r w:rsidRPr="002F6B18">
          <w:rPr>
            <w:rStyle w:val="Hyperlink"/>
            <w:shd w:val="clear" w:color="auto" w:fill="FFFFFF"/>
            <w:lang w:val="en"/>
          </w:rPr>
          <w:t>FAQs</w:t>
        </w:r>
      </w:hyperlink>
      <w:r w:rsidRPr="002F6B18">
        <w:rPr>
          <w:shd w:val="clear" w:color="auto" w:fill="FFFFFF"/>
          <w:lang w:val="en"/>
        </w:rPr>
        <w:t xml:space="preserve"> </w:t>
      </w:r>
    </w:p>
    <w:p w14:paraId="5AFA6682" w14:textId="77777777" w:rsidR="009C7E0F" w:rsidRPr="002F6B18" w:rsidRDefault="009C7E0F">
      <w:pPr>
        <w:pStyle w:val="ListParagraph"/>
        <w:numPr>
          <w:ilvl w:val="0"/>
          <w:numId w:val="332"/>
        </w:numPr>
        <w:spacing w:after="100" w:line="276" w:lineRule="auto"/>
        <w:rPr>
          <w:shd w:val="clear" w:color="auto" w:fill="FFFFFF"/>
        </w:rPr>
      </w:pPr>
      <w:r w:rsidRPr="002F6B18">
        <w:rPr>
          <w:rStyle w:val="Hyperlink"/>
          <w:i/>
          <w:iCs/>
        </w:rPr>
        <w:t>https://labor.illinois.gov/laws-rules/conmed/eprc.html</w:t>
      </w:r>
    </w:p>
    <w:p w14:paraId="51D73947" w14:textId="77777777" w:rsidR="009C7E0F" w:rsidRDefault="009C7E0F" w:rsidP="005C0763">
      <w:pPr>
        <w:spacing w:after="0" w:line="240" w:lineRule="auto"/>
        <w:ind w:left="1080"/>
        <w:rPr>
          <w:rFonts w:ascii="Calibri" w:hAnsi="Calibri" w:cs="Calibri"/>
          <w:b/>
          <w:bCs/>
          <w:color w:val="C00000"/>
          <w:sz w:val="28"/>
          <w:szCs w:val="28"/>
          <w:shd w:val="clear" w:color="auto" w:fill="FFFFFF"/>
          <w:lang w:val="en"/>
        </w:rPr>
      </w:pPr>
    </w:p>
    <w:p w14:paraId="52CA105D" w14:textId="4F718A66" w:rsidR="005C0763" w:rsidRPr="00DD7BD1" w:rsidRDefault="005C0763" w:rsidP="005C0763">
      <w:pPr>
        <w:spacing w:after="0" w:line="240" w:lineRule="auto"/>
        <w:ind w:left="1080"/>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New/Reminder:</w:t>
      </w:r>
      <w:r w:rsidRPr="00DD7BD1">
        <w:rPr>
          <w:rFonts w:ascii="Calibri" w:hAnsi="Calibri" w:cs="Calibri"/>
          <w:b/>
          <w:bCs/>
          <w:sz w:val="28"/>
          <w:szCs w:val="28"/>
          <w:shd w:val="clear" w:color="auto" w:fill="FFFFFF"/>
          <w:lang w:val="en"/>
        </w:rPr>
        <w:t xml:space="preserve"> Annual Pay Certification Reporting – </w:t>
      </w:r>
      <w:r w:rsidRPr="00DD7BD1">
        <w:rPr>
          <w:rFonts w:ascii="Calibri" w:hAnsi="Calibri" w:cs="Calibri"/>
          <w:b/>
          <w:bCs/>
          <w:color w:val="C00000"/>
          <w:sz w:val="28"/>
          <w:szCs w:val="28"/>
          <w:shd w:val="clear" w:color="auto" w:fill="FFFFFF"/>
          <w:lang w:val="en"/>
        </w:rPr>
        <w:t>Deadline April 24, 2026</w:t>
      </w:r>
    </w:p>
    <w:p w14:paraId="0E06AB76" w14:textId="2312946E"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 xml:space="preserve">Illinois law requires private businesses with 100 or more employees </w:t>
      </w:r>
      <w:r w:rsidRPr="00DD7BD1">
        <w:rPr>
          <w:rFonts w:ascii="Calibri" w:hAnsi="Calibri" w:cs="Calibri"/>
          <w:u w:val="single"/>
          <w:shd w:val="clear" w:color="auto" w:fill="FFFFFF"/>
        </w:rPr>
        <w:t xml:space="preserve">in the State of Illinois </w:t>
      </w:r>
      <w:r w:rsidRPr="00DD7BD1">
        <w:rPr>
          <w:rFonts w:ascii="Calibri" w:hAnsi="Calibri" w:cs="Calibri"/>
          <w:shd w:val="clear" w:color="auto" w:fill="FFFFFF"/>
        </w:rPr>
        <w:t>to submit an application to obtain an Equal Pay Registration Certificate (EPRC) by providing certain pay, demographic, and other data to the Illinois Department of Labor (IDOL) by March 24, 2024, and to recertify every two years after the first submission. </w:t>
      </w:r>
    </w:p>
    <w:p w14:paraId="7DAEED2E" w14:textId="4BBEF774"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3ACDEA35" w14:textId="77777777" w:rsidR="005C0763" w:rsidRPr="00DD7BD1" w:rsidRDefault="005C0763" w:rsidP="005C0763">
      <w:pPr>
        <w:spacing w:after="0" w:line="240" w:lineRule="auto"/>
        <w:ind w:left="450"/>
        <w:rPr>
          <w:rFonts w:ascii="Calibri" w:hAnsi="Calibri" w:cs="Calibri"/>
          <w:shd w:val="clear" w:color="auto" w:fill="FFFFFF"/>
          <w:lang w:val="en"/>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t xml:space="preserve">Equal Pay Registration Certificate (EPRC) – </w:t>
      </w:r>
      <w:hyperlink r:id="rId638" w:history="1">
        <w:r w:rsidRPr="00DD7BD1">
          <w:rPr>
            <w:rStyle w:val="Hyperlink"/>
            <w:rFonts w:ascii="Calibri" w:hAnsi="Calibri" w:cs="Calibri"/>
            <w:shd w:val="clear" w:color="auto" w:fill="FFFFFF"/>
            <w:lang w:val="en"/>
          </w:rPr>
          <w:t>FAQS</w:t>
        </w:r>
      </w:hyperlink>
    </w:p>
    <w:p w14:paraId="089ECDB2" w14:textId="625319F1" w:rsidR="005C0763" w:rsidRPr="00DD7BD1" w:rsidRDefault="005C0763" w:rsidP="005C0763">
      <w:pPr>
        <w:spacing w:after="0" w:line="240" w:lineRule="auto"/>
        <w:ind w:left="450"/>
        <w:rPr>
          <w:rStyle w:val="Hyperlink"/>
          <w:rFonts w:ascii="Calibri" w:hAnsi="Calibri" w:cs="Calibri"/>
          <w:i/>
          <w:iCs/>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r>
      <w:hyperlink r:id="rId639" w:history="1">
        <w:r w:rsidR="00BC1699" w:rsidRPr="00DD7BD1">
          <w:rPr>
            <w:rStyle w:val="Hyperlink"/>
            <w:rFonts w:ascii="Calibri" w:hAnsi="Calibri" w:cs="Calibri"/>
            <w:i/>
            <w:iCs/>
          </w:rPr>
          <w:t>https://labor.illinois.gov/laws-rules/conmed/eprc.html</w:t>
        </w:r>
      </w:hyperlink>
    </w:p>
    <w:p w14:paraId="118C594E" w14:textId="77777777" w:rsidR="00BC1699" w:rsidRPr="00DD7BD1" w:rsidRDefault="00BC1699" w:rsidP="005C0763">
      <w:pPr>
        <w:spacing w:after="0" w:line="240" w:lineRule="auto"/>
        <w:ind w:left="450"/>
        <w:rPr>
          <w:rFonts w:ascii="Calibri" w:hAnsi="Calibri" w:cs="Calibri"/>
          <w:shd w:val="clear" w:color="auto" w:fill="FFFFFF"/>
          <w:lang w:val="en"/>
        </w:rPr>
      </w:pPr>
    </w:p>
    <w:p w14:paraId="56787C69" w14:textId="77777777" w:rsidR="008F45FD" w:rsidRPr="00DD7BD1" w:rsidRDefault="008F45FD" w:rsidP="008F45FD">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Requires Notice for ID Mismatches – Eff </w:t>
      </w:r>
      <w:r w:rsidRPr="00DD7BD1">
        <w:rPr>
          <w:rFonts w:ascii="Calibri" w:hAnsi="Calibri" w:cs="Calibri"/>
          <w:b/>
          <w:bCs/>
          <w:color w:val="C00000"/>
          <w:sz w:val="28"/>
          <w:szCs w:val="28"/>
          <w:shd w:val="clear" w:color="auto" w:fill="FFFFFF"/>
          <w:lang w:val="en"/>
        </w:rPr>
        <w:t>December 12, 2025</w:t>
      </w:r>
    </w:p>
    <w:p w14:paraId="6749A43B" w14:textId="77777777" w:rsidR="008F45FD" w:rsidRPr="00DD7BD1" w:rsidRDefault="008F45FD" w:rsidP="008F45FD">
      <w:pPr>
        <w:spacing w:after="0" w:line="240" w:lineRule="auto"/>
        <w:ind w:left="90"/>
        <w:rPr>
          <w:rFonts w:ascii="Calibri" w:hAnsi="Calibri" w:cs="Calibri"/>
          <w:shd w:val="clear" w:color="auto" w:fill="FFFFFF"/>
        </w:rPr>
      </w:pPr>
      <w:r w:rsidRPr="00DD7BD1">
        <w:rPr>
          <w:rFonts w:ascii="Calibri" w:hAnsi="Calibri" w:cs="Calibri"/>
          <w:shd w:val="clear" w:color="auto" w:fill="FFFFFF"/>
        </w:rPr>
        <w:t>In case this was missed at the end of 2025, this is a reminder that Illinois employers of</w:t>
      </w:r>
      <w:r w:rsidRPr="00DD7BD1">
        <w:rPr>
          <w:rFonts w:ascii="Calibri" w:hAnsi="Calibri" w:cs="Calibri"/>
          <w:b/>
          <w:bCs/>
          <w:shd w:val="clear" w:color="auto" w:fill="FFFFFF"/>
        </w:rPr>
        <w:t xml:space="preserve"> all sizes</w:t>
      </w:r>
      <w:r w:rsidRPr="00DD7BD1">
        <w:rPr>
          <w:rFonts w:ascii="Calibri" w:hAnsi="Calibri" w:cs="Calibri"/>
          <w:shd w:val="clear" w:color="auto" w:fill="FFFFFF"/>
        </w:rPr>
        <w:t xml:space="preserve"> are required to notify an employee when they receive notice of an identification mismatch unrelated to immigration enforcement as per</w:t>
      </w:r>
      <w:r w:rsidRPr="00DD7BD1">
        <w:rPr>
          <w:rFonts w:ascii="Calibri" w:hAnsi="Calibri" w:cs="Calibri"/>
          <w:color w:val="2E74B5" w:themeColor="accent5" w:themeShade="BF"/>
          <w:shd w:val="clear" w:color="auto" w:fill="FFFFFF"/>
        </w:rPr>
        <w:t xml:space="preserve"> </w:t>
      </w:r>
      <w:hyperlink r:id="rId640" w:tgtFrame="_blank" w:history="1">
        <w:r w:rsidRPr="00DD7BD1">
          <w:rPr>
            <w:rStyle w:val="Hyperlink"/>
            <w:rFonts w:ascii="Calibri" w:hAnsi="Calibri" w:cs="Calibri"/>
            <w:shd w:val="clear" w:color="auto" w:fill="FFFFFF"/>
          </w:rPr>
          <w:t>IL S 2339</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amending the Right to Privacy in the Workplace Act which was signed and effectively immediately on Dec 12, 2025. </w:t>
      </w:r>
    </w:p>
    <w:p w14:paraId="0F2E4E58" w14:textId="77777777" w:rsidR="008F45FD" w:rsidRPr="00DD7BD1" w:rsidRDefault="008F45FD" w:rsidP="008F45FD">
      <w:pPr>
        <w:ind w:left="90"/>
        <w:rPr>
          <w:rFonts w:ascii="Calibri" w:hAnsi="Calibri" w:cs="Calibri"/>
          <w:sz w:val="16"/>
          <w:szCs w:val="16"/>
          <w:shd w:val="clear" w:color="auto" w:fill="FFFFFF"/>
        </w:rPr>
      </w:pPr>
    </w:p>
    <w:p w14:paraId="16CFAB9C" w14:textId="69C7DD70"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requirement applies to discrepancies on tax ID numbers or other identifying documents as reported by a federal agency like the IRS or the Social Security Administration, or an outside vendor such as an insurance company. Employers can’t take adverse action against an employee solely due to receipt of the notice.</w:t>
      </w:r>
    </w:p>
    <w:p w14:paraId="20C5923D" w14:textId="21462E7E"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notification to the employee needs to include that a discrepancy has been identified, the amount of time available to dispute or correct the information, and any action required by the employee. The employer should notify the employee as soon as possible, but not more than five business days after receiving the notification or determining that the employee needs to respond, whichever is later, unless federal law requires a shorter deadline.</w:t>
      </w:r>
    </w:p>
    <w:p w14:paraId="5687F245" w14:textId="77777777"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w:t>
      </w:r>
    </w:p>
    <w:p w14:paraId="38661F2D" w14:textId="77777777" w:rsidR="008F45FD" w:rsidRPr="00DD7BD1" w:rsidRDefault="008F45FD">
      <w:pPr>
        <w:numPr>
          <w:ilvl w:val="0"/>
          <w:numId w:val="319"/>
        </w:num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Employee Protections:</w:t>
      </w:r>
    </w:p>
    <w:p w14:paraId="40C6E095"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No Adverse Action:</w:t>
      </w:r>
      <w:r w:rsidRPr="00DD7BD1">
        <w:rPr>
          <w:rStyle w:val="t286pc"/>
          <w:rFonts w:ascii="Calibri" w:hAnsi="Calibri" w:cs="Calibri"/>
          <w:color w:val="0A0A0A"/>
        </w:rPr>
        <w:t> Employers are strictly prohibited from terminating, suspending, or taking any adverse action against an employee </w:t>
      </w:r>
      <w:r w:rsidRPr="00DD7BD1">
        <w:rPr>
          <w:rStyle w:val="Strong"/>
          <w:rFonts w:ascii="Calibri" w:hAnsi="Calibri" w:cs="Calibri"/>
          <w:b w:val="0"/>
          <w:bCs w:val="0"/>
          <w:color w:val="0A0A0A"/>
        </w:rPr>
        <w:t>solely</w:t>
      </w:r>
      <w:r w:rsidRPr="00DD7BD1">
        <w:rPr>
          <w:rStyle w:val="t286pc"/>
          <w:rFonts w:ascii="Calibri" w:hAnsi="Calibri" w:cs="Calibri"/>
          <w:color w:val="0A0A0A"/>
        </w:rPr>
        <w:t> because of the mismatch notice.</w:t>
      </w:r>
    </w:p>
    <w:p w14:paraId="28A288CD"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Right to Representation:</w:t>
      </w:r>
      <w:r w:rsidRPr="00DD7BD1">
        <w:rPr>
          <w:rStyle w:val="t286pc"/>
          <w:rFonts w:ascii="Calibri" w:hAnsi="Calibri" w:cs="Calibri"/>
          <w:color w:val="0A0A0A"/>
        </w:rPr>
        <w:t> Employees have the right to have a representative of their choosing present during any meetings or discussions regarding the mismatch.</w:t>
      </w:r>
    </w:p>
    <w:p w14:paraId="7E66DDB0"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Access to Documents:</w:t>
      </w:r>
      <w:r w:rsidRPr="00DD7BD1">
        <w:rPr>
          <w:rStyle w:val="t286pc"/>
          <w:rFonts w:ascii="Calibri" w:hAnsi="Calibri" w:cs="Calibri"/>
          <w:color w:val="0A0A0A"/>
        </w:rPr>
        <w:t> Upon request, the employer must provide the employee with the original notification received from the agency or vendor.</w:t>
      </w:r>
      <w:r w:rsidRPr="00DD7BD1">
        <w:rPr>
          <w:rStyle w:val="vkekvd"/>
          <w:rFonts w:ascii="Calibri" w:hAnsi="Calibri" w:cs="Calibri"/>
          <w:color w:val="0A0A0A"/>
        </w:rPr>
        <w:t> </w:t>
      </w:r>
    </w:p>
    <w:p w14:paraId="4B539223" w14:textId="77777777" w:rsidR="008F45FD" w:rsidRPr="00DD7BD1" w:rsidRDefault="008F45FD">
      <w:pPr>
        <w:numPr>
          <w:ilvl w:val="0"/>
          <w:numId w:val="319"/>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Civil Penalties:</w:t>
      </w:r>
      <w:r w:rsidRPr="00DD7BD1">
        <w:rPr>
          <w:rFonts w:ascii="Calibri" w:hAnsi="Calibri" w:cs="Calibri"/>
          <w:shd w:val="clear" w:color="auto" w:fill="FFFFFF"/>
        </w:rPr>
        <w:t> $100 to $1,000 for a first violation; $1,000 to $5,000 for repeat violations within three years.</w:t>
      </w:r>
    </w:p>
    <w:p w14:paraId="7648808C" w14:textId="7108AA47" w:rsidR="008F45FD" w:rsidRPr="00DD7BD1" w:rsidRDefault="008F45FD">
      <w:pPr>
        <w:numPr>
          <w:ilvl w:val="0"/>
          <w:numId w:val="319"/>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Employee Remedies:</w:t>
      </w:r>
      <w:r w:rsidRPr="00DD7BD1">
        <w:rPr>
          <w:rFonts w:ascii="Calibri" w:hAnsi="Calibri" w:cs="Calibri"/>
          <w:shd w:val="clear" w:color="auto" w:fill="FFFFFF"/>
        </w:rPr>
        <w:t> If an employee loses their job due to a violation, they may be awarded </w:t>
      </w:r>
      <w:r w:rsidRPr="00DD7BD1">
        <w:rPr>
          <w:rFonts w:ascii="Calibri" w:hAnsi="Calibri" w:cs="Calibri"/>
          <w:b/>
          <w:bCs/>
          <w:shd w:val="clear" w:color="auto" w:fill="FFFFFF"/>
        </w:rPr>
        <w:t>reinstatement, back pay with interest, and a $10,000 civil penalty</w:t>
      </w:r>
      <w:r w:rsidRPr="00DD7BD1">
        <w:rPr>
          <w:rFonts w:ascii="Calibri" w:hAnsi="Calibri" w:cs="Calibri"/>
          <w:shd w:val="clear" w:color="auto" w:fill="FFFFFF"/>
        </w:rPr>
        <w:t>, plus attorney fees</w:t>
      </w:r>
    </w:p>
    <w:p w14:paraId="30D0BC06" w14:textId="77777777" w:rsidR="005C0763" w:rsidRPr="00DD7BD1" w:rsidRDefault="005C0763" w:rsidP="00DF3822">
      <w:pPr>
        <w:spacing w:after="0" w:line="240" w:lineRule="auto"/>
        <w:ind w:right="-187"/>
        <w:jc w:val="center"/>
        <w:rPr>
          <w:rFonts w:ascii="Calibri" w:hAnsi="Calibri" w:cs="Calibri"/>
          <w:b/>
          <w:bCs/>
          <w:shd w:val="clear" w:color="auto" w:fill="FFFFFF"/>
          <w:lang w:val="en"/>
        </w:rPr>
      </w:pPr>
    </w:p>
    <w:p w14:paraId="5799D618" w14:textId="676535E0" w:rsidR="005A5179" w:rsidRPr="00DD7BD1" w:rsidRDefault="005A5179" w:rsidP="00DF3822">
      <w:pPr>
        <w:spacing w:after="0" w:line="240" w:lineRule="auto"/>
        <w:ind w:right="-187"/>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Expanded Protections Under The Right to Privacy in the Workplace Act –</w:t>
      </w:r>
      <w:r w:rsidRPr="00DD7BD1">
        <w:rPr>
          <w:rFonts w:ascii="Calibri" w:hAnsi="Calibri" w:cs="Calibri"/>
          <w:b/>
          <w:bCs/>
          <w:color w:val="C00000"/>
          <w:sz w:val="28"/>
          <w:szCs w:val="28"/>
          <w:shd w:val="clear" w:color="auto" w:fill="FFFFFF"/>
          <w:lang w:val="en"/>
        </w:rPr>
        <w:t xml:space="preserve"> Eff Immediately, Dec 12th</w:t>
      </w:r>
    </w:p>
    <w:p w14:paraId="43B72DEF"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On December 12, 2025, Governor Pritzker signed Senate Bill 2339 into law as Public Act 104-0455, bringing significant updates to Illinois’ Right to Privacy in the Workplace Act. This legislation, effective immediately, redefines employer responsibilities around employment eligibility verification and enhances privacy protections for employees as the Bill significantly expands employee protections while increasing potential exposure for employers that fail to comply with its requirements.</w:t>
      </w:r>
    </w:p>
    <w:p w14:paraId="656A1425"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3193C5FB"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Illinois </w:t>
      </w:r>
      <w:r w:rsidRPr="00DD7BD1">
        <w:rPr>
          <w:rFonts w:ascii="Calibri" w:hAnsi="Calibri" w:cs="Calibri"/>
          <w:b/>
          <w:bCs/>
          <w:shd w:val="clear" w:color="auto" w:fill="FFFFFF"/>
        </w:rPr>
        <w:t xml:space="preserve">employers of all sizes </w:t>
      </w:r>
      <w:r w:rsidRPr="00DD7BD1">
        <w:rPr>
          <w:rFonts w:ascii="Calibri" w:hAnsi="Calibri" w:cs="Calibri"/>
          <w:shd w:val="clear" w:color="auto" w:fill="FFFFFF"/>
        </w:rPr>
        <w:t xml:space="preserve">are now required to </w:t>
      </w:r>
      <w:r w:rsidRPr="00DD7BD1">
        <w:rPr>
          <w:rFonts w:ascii="Calibri" w:hAnsi="Calibri" w:cs="Calibri"/>
          <w:b/>
          <w:bCs/>
          <w:shd w:val="clear" w:color="auto" w:fill="FFFFFF"/>
        </w:rPr>
        <w:t>notify an employee when they receive notice of an identification mismatch unrelated to immigration enforcement</w:t>
      </w:r>
      <w:r w:rsidRPr="00DD7BD1">
        <w:rPr>
          <w:rFonts w:ascii="Calibri" w:hAnsi="Calibri" w:cs="Calibri"/>
          <w:shd w:val="clear" w:color="auto" w:fill="FFFFFF"/>
        </w:rPr>
        <w:t xml:space="preserve">. </w:t>
      </w:r>
    </w:p>
    <w:p w14:paraId="0D1EEF4D"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6CF0A87"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The law provides that an employer enrolled in an Employment Eligibility Verification System, including the E-Verify program, must not impose work authorization verification or re-verification requirements greater than those required by the Employment Eligibility Verification System. The law prohibits employers from taking adverse action against an employee based only on receipt of a notice of a discrepancy (sometimes called a “no match” letter) between an employee’s individual taxpayer identification number or other identifying documents from any federal agency or other outside vendor not responsible for the enforcement of immigration law, such as the Social Security Administration, the Internal Revenue Service or an insurance company. The law also requires employers to provide certain notice to the employee upon receipt of such a notification.</w:t>
      </w:r>
    </w:p>
    <w:p w14:paraId="7FD3C7AA"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A9FB0E0" w14:textId="77777777" w:rsidR="005A5179" w:rsidRPr="00DD7BD1" w:rsidRDefault="005A5179" w:rsidP="00DF3822">
      <w:pPr>
        <w:spacing w:after="0" w:line="240" w:lineRule="auto"/>
        <w:ind w:right="-187"/>
        <w:rPr>
          <w:rFonts w:ascii="Calibri" w:hAnsi="Calibri" w:cs="Calibri"/>
          <w:b/>
          <w:bCs/>
          <w:shd w:val="clear" w:color="auto" w:fill="FFFFFF"/>
        </w:rPr>
      </w:pPr>
      <w:r w:rsidRPr="00DD7BD1">
        <w:rPr>
          <w:rFonts w:ascii="Calibri" w:hAnsi="Calibri" w:cs="Calibri"/>
          <w:b/>
          <w:bCs/>
          <w:shd w:val="clear" w:color="auto" w:fill="FFFFFF"/>
        </w:rPr>
        <w:t>Additional Details</w:t>
      </w:r>
    </w:p>
    <w:p w14:paraId="5B5185C6"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requirement applies to </w:t>
      </w:r>
      <w:r w:rsidRPr="00DD7BD1">
        <w:rPr>
          <w:rFonts w:ascii="Calibri" w:hAnsi="Calibri" w:cs="Calibri"/>
          <w:u w:val="single"/>
          <w:shd w:val="clear" w:color="auto" w:fill="FFFFFF"/>
        </w:rPr>
        <w:t>discrepancies on tax ID numbers or other identifying documents as reported by a federal agency like the IRS or the Social Security Administration, or an outside vendor such as an insurance company</w:t>
      </w:r>
      <w:r w:rsidRPr="00DD7BD1">
        <w:rPr>
          <w:rFonts w:ascii="Calibri" w:hAnsi="Calibri" w:cs="Calibri"/>
          <w:shd w:val="clear" w:color="auto" w:fill="FFFFFF"/>
        </w:rPr>
        <w:t xml:space="preserve">. Employers </w:t>
      </w:r>
      <w:r w:rsidRPr="00DD7BD1">
        <w:rPr>
          <w:rFonts w:ascii="Calibri" w:hAnsi="Calibri" w:cs="Calibri"/>
          <w:u w:val="single"/>
          <w:shd w:val="clear" w:color="auto" w:fill="FFFFFF"/>
        </w:rPr>
        <w:t>can’t take adverse action</w:t>
      </w:r>
      <w:r w:rsidRPr="00DD7BD1">
        <w:rPr>
          <w:rFonts w:ascii="Calibri" w:hAnsi="Calibri" w:cs="Calibri"/>
          <w:shd w:val="clear" w:color="auto" w:fill="FFFFFF"/>
        </w:rPr>
        <w:t xml:space="preserve"> against an employee solely due to receipt of the notice.</w:t>
      </w:r>
    </w:p>
    <w:p w14:paraId="6185D545"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665397D3"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notification to the employee needs to include:</w:t>
      </w:r>
    </w:p>
    <w:p w14:paraId="2FF458BD"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that a discrepancy has been identified, </w:t>
      </w:r>
    </w:p>
    <w:p w14:paraId="4BFD1164"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amount of time available to dispute or correct the information, and </w:t>
      </w:r>
    </w:p>
    <w:p w14:paraId="46911526"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any action required by the employee. </w:t>
      </w:r>
    </w:p>
    <w:p w14:paraId="46E53B41" w14:textId="77777777" w:rsidR="005A5179" w:rsidRPr="00DD7BD1" w:rsidRDefault="005A5179" w:rsidP="00DF3822">
      <w:pPr>
        <w:pStyle w:val="ListParagraph"/>
        <w:framePr w:hSpace="45" w:wrap="around" w:vAnchor="text" w:hAnchor="text"/>
        <w:spacing w:after="0" w:line="240" w:lineRule="auto"/>
        <w:ind w:left="781" w:right="-187"/>
        <w:rPr>
          <w:rFonts w:ascii="Calibri" w:hAnsi="Calibri" w:cs="Calibri"/>
          <w:sz w:val="16"/>
          <w:szCs w:val="16"/>
          <w:shd w:val="clear" w:color="auto" w:fill="FFFFFF"/>
        </w:rPr>
      </w:pPr>
    </w:p>
    <w:p w14:paraId="631F0E65"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employer should notify the employee as soon as possible, but not more than 5 business days after receiving the notification or determining that the employee needs to respond, whichever is later, unless federal law requires a shorter deadline.</w:t>
      </w:r>
    </w:p>
    <w:p w14:paraId="3978141B"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4EA81A5D"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The employer must provide the original notification upon the employee’s request. This law was passed December 12, 2025, and </w:t>
      </w:r>
      <w:r w:rsidRPr="00DD7BD1">
        <w:rPr>
          <w:rFonts w:ascii="Calibri" w:hAnsi="Calibri" w:cs="Calibri"/>
          <w:u w:val="single"/>
          <w:shd w:val="clear" w:color="auto" w:fill="FFFFFF"/>
        </w:rPr>
        <w:t>took effect immediately.</w:t>
      </w:r>
    </w:p>
    <w:p w14:paraId="2208315C"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1AF22C4A" w14:textId="178D9662"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Conflict between SB 2339 and existing DHS requirements presents no conflicts, at present.</w:t>
      </w:r>
    </w:p>
    <w:p w14:paraId="73EB55F4" w14:textId="77777777" w:rsidR="00DF3822" w:rsidRPr="00DD7BD1" w:rsidRDefault="00DF3822" w:rsidP="00DF3822">
      <w:pPr>
        <w:spacing w:after="0" w:line="240" w:lineRule="auto"/>
        <w:ind w:right="-187"/>
        <w:rPr>
          <w:rFonts w:ascii="Calibri" w:hAnsi="Calibri" w:cs="Calibri"/>
          <w:shd w:val="clear" w:color="auto" w:fill="FFFFFF"/>
        </w:rPr>
      </w:pPr>
    </w:p>
    <w:p w14:paraId="689FD0E5" w14:textId="1C198AE5" w:rsidR="00A9583E" w:rsidRPr="00DD7BD1" w:rsidRDefault="00A9583E" w:rsidP="00A9583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Safety &amp; Workplace Act – Eff </w:t>
      </w:r>
      <w:r w:rsidRPr="00DD7BD1">
        <w:rPr>
          <w:rFonts w:ascii="Calibri" w:hAnsi="Calibri" w:cs="Calibri"/>
          <w:b/>
          <w:bCs/>
          <w:color w:val="C00000"/>
          <w:sz w:val="28"/>
          <w:szCs w:val="28"/>
          <w:shd w:val="clear" w:color="auto" w:fill="FFFFFF"/>
          <w:lang w:val="en"/>
        </w:rPr>
        <w:t>Aug 14, 2025</w:t>
      </w:r>
    </w:p>
    <w:bookmarkEnd w:id="87"/>
    <w:p w14:paraId="4E6ECA23" w14:textId="07CD340B" w:rsidR="00A9583E" w:rsidRPr="00DD7BD1" w:rsidRDefault="00A9583E" w:rsidP="00A9583E">
      <w:pPr>
        <w:jc w:val="both"/>
        <w:rPr>
          <w:rFonts w:ascii="Calibri" w:hAnsi="Calibri" w:cs="Calibri"/>
          <w:shd w:val="clear" w:color="auto" w:fill="FFFFFF"/>
        </w:rPr>
      </w:pPr>
      <w:r w:rsidRPr="00DD7BD1">
        <w:rPr>
          <w:rFonts w:ascii="Calibri" w:hAnsi="Calibri" w:cs="Calibri"/>
          <w:shd w:val="clear" w:color="auto" w:fill="FFFFFF"/>
        </w:rPr>
        <w:t xml:space="preserve">On Aug. 14, 2025, Illinois Gov. Pritzker enacted the </w:t>
      </w:r>
      <w:hyperlink r:id="rId641" w:history="1">
        <w:r w:rsidRPr="00DD7BD1">
          <w:rPr>
            <w:rStyle w:val="Hyperlink"/>
            <w:rFonts w:ascii="Calibri" w:hAnsi="Calibri" w:cs="Calibri"/>
            <w:shd w:val="clear" w:color="auto" w:fill="FFFFFF"/>
          </w:rPr>
          <w:t>Illinois Safety and Workplace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(Act) to authorize the Illinois Department of Labor (IDL) to establish rules that address occupational safety concerns, allowing the state to preserve and enhance worker protections in the event that federal OSHA standards are weakened or repealed</w:t>
      </w:r>
    </w:p>
    <w:p w14:paraId="0B4D802D" w14:textId="77777777" w:rsidR="00A9583E" w:rsidRPr="00DD7BD1" w:rsidRDefault="00A9583E" w:rsidP="00A9583E">
      <w:pPr>
        <w:jc w:val="both"/>
        <w:rPr>
          <w:rFonts w:ascii="Calibri" w:hAnsi="Calibri" w:cs="Calibri"/>
          <w:b/>
          <w:shd w:val="clear" w:color="auto" w:fill="FFFFFF"/>
        </w:rPr>
      </w:pPr>
      <w:r w:rsidRPr="00DD7BD1">
        <w:rPr>
          <w:rFonts w:ascii="Calibri" w:hAnsi="Calibri" w:cs="Calibri"/>
          <w:b/>
          <w:shd w:val="clear" w:color="auto" w:fill="FFFFFF"/>
        </w:rPr>
        <w:t xml:space="preserve">Employer Takeaway: </w:t>
      </w:r>
      <w:bookmarkStart w:id="89" w:name="_Hlk213073615"/>
      <w:r w:rsidRPr="00DD7BD1">
        <w:rPr>
          <w:rFonts w:ascii="Calibri" w:hAnsi="Calibri" w:cs="Calibri"/>
          <w:shd w:val="clear" w:color="auto" w:fill="FFFFFF"/>
        </w:rPr>
        <w:t xml:space="preserve">Private employers in Illinois must continue to follow the original, more protective OSHA standards </w:t>
      </w:r>
      <w:r w:rsidRPr="00DD7BD1">
        <w:rPr>
          <w:rFonts w:ascii="Calibri" w:hAnsi="Calibri" w:cs="Calibri"/>
          <w:u w:val="single"/>
          <w:shd w:val="clear" w:color="auto" w:fill="FFFFFF"/>
        </w:rPr>
        <w:t>if federal rules are weakened</w:t>
      </w:r>
      <w:bookmarkEnd w:id="89"/>
      <w:r w:rsidRPr="00DD7BD1">
        <w:rPr>
          <w:rFonts w:ascii="Calibri" w:hAnsi="Calibri" w:cs="Calibri"/>
          <w:shd w:val="clear" w:color="auto" w:fill="FFFFFF"/>
        </w:rPr>
        <w:t>, and stay current with both federal and state regulations to ensure ongoing compliance.</w:t>
      </w:r>
    </w:p>
    <w:p w14:paraId="4A0CD04C" w14:textId="77777777" w:rsidR="00A9583E" w:rsidRPr="00DD7BD1" w:rsidRDefault="00A9583E" w:rsidP="00A9583E">
      <w:pPr>
        <w:spacing w:after="0" w:line="240" w:lineRule="auto"/>
        <w:ind w:right="-180"/>
        <w:rPr>
          <w:rFonts w:ascii="Calibri" w:hAnsi="Calibri" w:cs="Calibri"/>
          <w:b/>
          <w:bCs/>
          <w:shd w:val="clear" w:color="auto" w:fill="FFFFFF"/>
        </w:rPr>
      </w:pPr>
    </w:p>
    <w:p w14:paraId="69657773" w14:textId="48F3BFAB" w:rsidR="00A85628" w:rsidRPr="00DD7BD1" w:rsidRDefault="00A85628" w:rsidP="00A85628">
      <w:pPr>
        <w:spacing w:after="0" w:line="240" w:lineRule="auto"/>
        <w:ind w:right="-18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Changes to IL Employee Blood &amp; Organ Donation Leave Act – </w:t>
      </w:r>
      <w:r w:rsidRPr="00DD7BD1">
        <w:rPr>
          <w:rFonts w:ascii="Calibri" w:hAnsi="Calibri" w:cs="Calibri"/>
          <w:b/>
          <w:bCs/>
          <w:color w:val="C00000"/>
          <w:sz w:val="28"/>
          <w:szCs w:val="28"/>
          <w:shd w:val="clear" w:color="auto" w:fill="FFFFFF"/>
        </w:rPr>
        <w:t>Eff Jan 1, 2026</w:t>
      </w:r>
    </w:p>
    <w:p w14:paraId="74A46332" w14:textId="77777777" w:rsidR="00A85628" w:rsidRPr="00DD7BD1" w:rsidRDefault="00A85628" w:rsidP="00A85628">
      <w:pPr>
        <w:pStyle w:val="BodyText"/>
        <w:spacing w:after="0" w:line="240" w:lineRule="auto"/>
        <w:ind w:right="-180"/>
        <w:jc w:val="left"/>
        <w:rPr>
          <w:rFonts w:cs="Calibri"/>
          <w:color w:val="000000"/>
          <w:w w:val="110"/>
          <w:szCs w:val="22"/>
        </w:rPr>
      </w:pPr>
      <w:r w:rsidRPr="00DD7BD1">
        <w:rPr>
          <w:rFonts w:cs="Calibri"/>
          <w:b/>
          <w:color w:val="000000"/>
          <w:szCs w:val="22"/>
          <w:highlight w:val="lightGray"/>
        </w:rPr>
        <w:t>Employer</w:t>
      </w:r>
      <w:r w:rsidRPr="00DD7BD1">
        <w:rPr>
          <w:rFonts w:cs="Calibri"/>
          <w:b/>
          <w:color w:val="000000"/>
          <w:spacing w:val="36"/>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Illinois</w:t>
      </w:r>
      <w:r w:rsidRPr="00DD7BD1">
        <w:rPr>
          <w:rFonts w:cs="Calibri"/>
          <w:color w:val="000000"/>
          <w:spacing w:val="36"/>
          <w:szCs w:val="22"/>
        </w:rPr>
        <w:t xml:space="preserve"> </w:t>
      </w:r>
      <w:r w:rsidRPr="00DD7BD1">
        <w:rPr>
          <w:rFonts w:cs="Calibri"/>
          <w:color w:val="000000"/>
          <w:szCs w:val="22"/>
        </w:rPr>
        <w:t>HB</w:t>
      </w:r>
      <w:r w:rsidRPr="00DD7BD1">
        <w:rPr>
          <w:rFonts w:cs="Calibri"/>
          <w:color w:val="000000"/>
          <w:spacing w:val="32"/>
          <w:szCs w:val="22"/>
        </w:rPr>
        <w:t xml:space="preserve"> </w:t>
      </w:r>
      <w:r w:rsidRPr="00DD7BD1">
        <w:rPr>
          <w:rFonts w:cs="Calibri"/>
          <w:color w:val="000000"/>
          <w:szCs w:val="22"/>
        </w:rPr>
        <w:t>1616,</w:t>
      </w:r>
      <w:r w:rsidRPr="00DD7BD1">
        <w:rPr>
          <w:rFonts w:cs="Calibri"/>
          <w:color w:val="000000"/>
          <w:spacing w:val="34"/>
          <w:szCs w:val="22"/>
        </w:rPr>
        <w:t xml:space="preserve"> </w:t>
      </w:r>
      <w:r w:rsidRPr="00DD7BD1">
        <w:rPr>
          <w:rFonts w:cs="Calibri"/>
          <w:color w:val="000000"/>
          <w:szCs w:val="22"/>
        </w:rPr>
        <w:t>signed</w:t>
      </w:r>
      <w:r w:rsidRPr="00DD7BD1">
        <w:rPr>
          <w:rFonts w:cs="Calibri"/>
          <w:color w:val="000000"/>
          <w:spacing w:val="40"/>
          <w:szCs w:val="22"/>
        </w:rPr>
        <w:t xml:space="preserve"> </w:t>
      </w:r>
      <w:r w:rsidRPr="00DD7BD1">
        <w:rPr>
          <w:rFonts w:cs="Calibri"/>
          <w:color w:val="000000"/>
          <w:szCs w:val="22"/>
        </w:rPr>
        <w:t>into</w:t>
      </w:r>
      <w:r w:rsidRPr="00DD7BD1">
        <w:rPr>
          <w:rFonts w:cs="Calibri"/>
          <w:color w:val="000000"/>
          <w:spacing w:val="32"/>
          <w:szCs w:val="22"/>
        </w:rPr>
        <w:t xml:space="preserve"> </w:t>
      </w:r>
      <w:r w:rsidRPr="00DD7BD1">
        <w:rPr>
          <w:rFonts w:cs="Calibri"/>
          <w:color w:val="000000"/>
          <w:szCs w:val="22"/>
        </w:rPr>
        <w:t>law</w:t>
      </w:r>
      <w:r w:rsidRPr="00DD7BD1">
        <w:rPr>
          <w:rFonts w:cs="Calibri"/>
          <w:color w:val="000000"/>
          <w:spacing w:val="38"/>
          <w:szCs w:val="22"/>
        </w:rPr>
        <w:t xml:space="preserve"> </w:t>
      </w:r>
      <w:r w:rsidRPr="00DD7BD1">
        <w:rPr>
          <w:rFonts w:cs="Calibri"/>
          <w:color w:val="000000"/>
          <w:szCs w:val="22"/>
        </w:rPr>
        <w:t>on</w:t>
      </w:r>
      <w:r w:rsidRPr="00DD7BD1">
        <w:rPr>
          <w:rFonts w:cs="Calibri"/>
          <w:color w:val="000000"/>
          <w:spacing w:val="34"/>
          <w:szCs w:val="22"/>
        </w:rPr>
        <w:t xml:space="preserve"> </w:t>
      </w:r>
      <w:r w:rsidRPr="00DD7BD1">
        <w:rPr>
          <w:rFonts w:cs="Calibri"/>
          <w:color w:val="000000"/>
          <w:szCs w:val="22"/>
        </w:rPr>
        <w:t>August</w:t>
      </w:r>
      <w:r w:rsidRPr="00DD7BD1">
        <w:rPr>
          <w:rFonts w:cs="Calibri"/>
          <w:color w:val="000000"/>
          <w:spacing w:val="34"/>
          <w:szCs w:val="22"/>
        </w:rPr>
        <w:t xml:space="preserve"> </w:t>
      </w:r>
      <w:r w:rsidRPr="00DD7BD1">
        <w:rPr>
          <w:rFonts w:cs="Calibri"/>
          <w:color w:val="000000"/>
          <w:szCs w:val="22"/>
        </w:rPr>
        <w:t>15,</w:t>
      </w:r>
      <w:r w:rsidRPr="00DD7BD1">
        <w:rPr>
          <w:rFonts w:cs="Calibri"/>
          <w:color w:val="000000"/>
          <w:spacing w:val="34"/>
          <w:szCs w:val="22"/>
        </w:rPr>
        <w:t xml:space="preserve"> </w:t>
      </w:r>
      <w:r w:rsidRPr="00DD7BD1">
        <w:rPr>
          <w:rFonts w:cs="Calibri"/>
          <w:color w:val="000000"/>
          <w:szCs w:val="22"/>
        </w:rPr>
        <w:t>2025,</w:t>
      </w:r>
      <w:r w:rsidRPr="00DD7BD1">
        <w:rPr>
          <w:rFonts w:cs="Calibri"/>
          <w:color w:val="000000"/>
          <w:spacing w:val="34"/>
          <w:szCs w:val="22"/>
        </w:rPr>
        <w:t xml:space="preserve"> </w:t>
      </w:r>
      <w:r w:rsidRPr="00DD7BD1">
        <w:rPr>
          <w:rFonts w:cs="Calibri"/>
          <w:color w:val="000000"/>
          <w:szCs w:val="22"/>
        </w:rPr>
        <w:t>has</w:t>
      </w:r>
      <w:r w:rsidRPr="00DD7BD1">
        <w:rPr>
          <w:rFonts w:cs="Calibri"/>
          <w:color w:val="000000"/>
          <w:spacing w:val="36"/>
          <w:szCs w:val="22"/>
        </w:rPr>
        <w:t xml:space="preserve"> </w:t>
      </w:r>
      <w:r w:rsidRPr="00DD7BD1">
        <w:rPr>
          <w:rFonts w:cs="Calibri"/>
          <w:color w:val="000000"/>
          <w:szCs w:val="22"/>
        </w:rPr>
        <w:t>made</w:t>
      </w:r>
      <w:r w:rsidRPr="00DD7BD1">
        <w:rPr>
          <w:rFonts w:cs="Calibri"/>
          <w:color w:val="000000"/>
          <w:spacing w:val="36"/>
          <w:szCs w:val="22"/>
        </w:rPr>
        <w:t xml:space="preserve"> </w:t>
      </w:r>
      <w:r w:rsidRPr="00DD7BD1">
        <w:rPr>
          <w:rFonts w:cs="Calibri"/>
          <w:color w:val="000000"/>
          <w:szCs w:val="22"/>
        </w:rPr>
        <w:t>several</w:t>
      </w:r>
      <w:r w:rsidRPr="00DD7BD1">
        <w:rPr>
          <w:rFonts w:cs="Calibri"/>
          <w:color w:val="000000"/>
          <w:spacing w:val="36"/>
          <w:szCs w:val="22"/>
        </w:rPr>
        <w:t xml:space="preserve"> </w:t>
      </w:r>
      <w:r w:rsidRPr="00DD7BD1">
        <w:rPr>
          <w:rFonts w:cs="Calibri"/>
          <w:color w:val="000000"/>
          <w:szCs w:val="22"/>
        </w:rPr>
        <w:t>important</w:t>
      </w:r>
      <w:r w:rsidRPr="00DD7BD1">
        <w:rPr>
          <w:rFonts w:cs="Calibri"/>
          <w:color w:val="000000"/>
          <w:spacing w:val="38"/>
          <w:szCs w:val="22"/>
        </w:rPr>
        <w:t xml:space="preserve"> </w:t>
      </w:r>
      <w:r w:rsidRPr="00DD7BD1">
        <w:rPr>
          <w:rFonts w:cs="Calibri"/>
          <w:color w:val="000000"/>
          <w:szCs w:val="22"/>
        </w:rPr>
        <w:t>changes</w:t>
      </w:r>
      <w:r w:rsidRPr="00DD7BD1">
        <w:rPr>
          <w:rFonts w:cs="Calibri"/>
          <w:color w:val="000000"/>
          <w:spacing w:val="38"/>
          <w:szCs w:val="22"/>
        </w:rPr>
        <w:t xml:space="preserve"> </w:t>
      </w:r>
      <w:r w:rsidRPr="00DD7BD1">
        <w:rPr>
          <w:rFonts w:cs="Calibri"/>
          <w:color w:val="000000"/>
          <w:szCs w:val="22"/>
        </w:rPr>
        <w:t xml:space="preserve">to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Employee</w:t>
      </w:r>
      <w:r w:rsidRPr="00DD7BD1">
        <w:rPr>
          <w:rFonts w:cs="Calibri"/>
          <w:color w:val="000000"/>
          <w:spacing w:val="-9"/>
          <w:w w:val="110"/>
          <w:szCs w:val="22"/>
        </w:rPr>
        <w:t xml:space="preserve"> </w:t>
      </w:r>
      <w:r w:rsidRPr="00DD7BD1">
        <w:rPr>
          <w:rFonts w:cs="Calibri"/>
          <w:color w:val="000000"/>
          <w:w w:val="110"/>
          <w:szCs w:val="22"/>
        </w:rPr>
        <w:t>Blood</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12"/>
          <w:w w:val="110"/>
          <w:szCs w:val="22"/>
        </w:rPr>
        <w:t xml:space="preserve"> </w:t>
      </w:r>
      <w:r w:rsidRPr="00DD7BD1">
        <w:rPr>
          <w:rFonts w:cs="Calibri"/>
          <w:color w:val="000000"/>
          <w:w w:val="110"/>
          <w:szCs w:val="22"/>
        </w:rPr>
        <w:t>Organ</w:t>
      </w:r>
      <w:r w:rsidRPr="00DD7BD1">
        <w:rPr>
          <w:rFonts w:cs="Calibri"/>
          <w:color w:val="000000"/>
          <w:spacing w:val="-9"/>
          <w:w w:val="110"/>
          <w:szCs w:val="22"/>
        </w:rPr>
        <w:t xml:space="preserve"> </w:t>
      </w:r>
      <w:r w:rsidRPr="00DD7BD1">
        <w:rPr>
          <w:rFonts w:cs="Calibri"/>
          <w:color w:val="000000"/>
          <w:w w:val="110"/>
          <w:szCs w:val="22"/>
        </w:rPr>
        <w:t>Donation</w:t>
      </w:r>
      <w:r w:rsidRPr="00DD7BD1">
        <w:rPr>
          <w:rFonts w:cs="Calibri"/>
          <w:color w:val="000000"/>
          <w:spacing w:val="-11"/>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Act.</w:t>
      </w:r>
      <w:r w:rsidRPr="00DD7BD1">
        <w:rPr>
          <w:rFonts w:cs="Calibri"/>
          <w:color w:val="000000"/>
          <w:spacing w:val="40"/>
          <w:w w:val="110"/>
          <w:szCs w:val="22"/>
        </w:rPr>
        <w:t xml:space="preserve"> </w:t>
      </w:r>
      <w:r w:rsidRPr="00DD7BD1">
        <w:rPr>
          <w:rFonts w:cs="Calibri"/>
          <w:color w:val="000000"/>
          <w:w w:val="110"/>
          <w:szCs w:val="22"/>
        </w:rPr>
        <w:t>There</w:t>
      </w:r>
      <w:r w:rsidRPr="00DD7BD1">
        <w:rPr>
          <w:rFonts w:cs="Calibri"/>
          <w:color w:val="000000"/>
          <w:spacing w:val="-9"/>
          <w:w w:val="110"/>
          <w:szCs w:val="22"/>
        </w:rPr>
        <w:t xml:space="preserve"> </w:t>
      </w:r>
      <w:r w:rsidRPr="00DD7BD1">
        <w:rPr>
          <w:rFonts w:cs="Calibri"/>
          <w:color w:val="000000"/>
          <w:w w:val="110"/>
          <w:szCs w:val="22"/>
        </w:rPr>
        <w:t>remains</w:t>
      </w:r>
      <w:r w:rsidRPr="00DD7BD1">
        <w:rPr>
          <w:rFonts w:cs="Calibri"/>
          <w:color w:val="000000"/>
          <w:spacing w:val="-7"/>
          <w:w w:val="110"/>
          <w:szCs w:val="22"/>
        </w:rPr>
        <w:t xml:space="preserve"> </w:t>
      </w:r>
      <w:r w:rsidRPr="00DD7BD1">
        <w:rPr>
          <w:rFonts w:cs="Calibri"/>
          <w:color w:val="000000"/>
          <w:w w:val="110"/>
          <w:szCs w:val="22"/>
        </w:rPr>
        <w:t>confusion</w:t>
      </w:r>
      <w:r w:rsidRPr="00DD7BD1">
        <w:rPr>
          <w:rFonts w:cs="Calibri"/>
          <w:color w:val="000000"/>
          <w:spacing w:val="-12"/>
          <w:w w:val="110"/>
          <w:szCs w:val="22"/>
        </w:rPr>
        <w:t xml:space="preserve"> </w:t>
      </w:r>
      <w:r w:rsidRPr="00DD7BD1">
        <w:rPr>
          <w:rFonts w:cs="Calibri"/>
          <w:color w:val="000000"/>
          <w:w w:val="110"/>
          <w:szCs w:val="22"/>
        </w:rPr>
        <w:t>relating</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must be</w:t>
      </w:r>
      <w:r w:rsidRPr="00DD7BD1">
        <w:rPr>
          <w:rFonts w:cs="Calibri"/>
          <w:color w:val="000000"/>
          <w:spacing w:val="-12"/>
          <w:w w:val="110"/>
          <w:szCs w:val="22"/>
        </w:rPr>
        <w:t xml:space="preserve"> </w:t>
      </w:r>
      <w:r w:rsidRPr="00DD7BD1">
        <w:rPr>
          <w:rFonts w:cs="Calibri"/>
          <w:color w:val="000000"/>
          <w:w w:val="110"/>
          <w:szCs w:val="22"/>
        </w:rPr>
        <w:t>paid.</w:t>
      </w:r>
      <w:r w:rsidRPr="00DD7BD1">
        <w:rPr>
          <w:rFonts w:cs="Calibri"/>
          <w:color w:val="000000"/>
          <w:spacing w:val="-13"/>
          <w:w w:val="110"/>
          <w:szCs w:val="22"/>
        </w:rPr>
        <w:t xml:space="preserve"> </w:t>
      </w:r>
      <w:r w:rsidRPr="00DD7BD1">
        <w:rPr>
          <w:rFonts w:cs="Calibri"/>
          <w:color w:val="000000"/>
          <w:w w:val="110"/>
          <w:szCs w:val="22"/>
        </w:rPr>
        <w:t>However,</w:t>
      </w:r>
      <w:r w:rsidRPr="00DD7BD1">
        <w:rPr>
          <w:rFonts w:cs="Calibri"/>
          <w:color w:val="000000"/>
          <w:spacing w:val="-10"/>
          <w:w w:val="110"/>
          <w:szCs w:val="22"/>
        </w:rPr>
        <w:t xml:space="preserve"> </w:t>
      </w:r>
      <w:r w:rsidRPr="00DD7BD1">
        <w:rPr>
          <w:rFonts w:cs="Calibri"/>
          <w:color w:val="000000"/>
          <w:w w:val="110"/>
          <w:szCs w:val="22"/>
        </w:rPr>
        <w:t>there</w:t>
      </w:r>
      <w:r w:rsidRPr="00DD7BD1">
        <w:rPr>
          <w:rFonts w:cs="Calibri"/>
          <w:color w:val="000000"/>
          <w:spacing w:val="-10"/>
          <w:w w:val="110"/>
          <w:szCs w:val="22"/>
        </w:rPr>
        <w:t xml:space="preserve"> </w:t>
      </w:r>
      <w:r w:rsidRPr="00DD7BD1">
        <w:rPr>
          <w:rFonts w:cs="Calibri"/>
          <w:color w:val="000000"/>
          <w:w w:val="110"/>
          <w:szCs w:val="22"/>
        </w:rPr>
        <w:t>is</w:t>
      </w:r>
      <w:r w:rsidRPr="00DD7BD1">
        <w:rPr>
          <w:rFonts w:cs="Calibri"/>
          <w:color w:val="000000"/>
          <w:spacing w:val="-10"/>
          <w:w w:val="110"/>
          <w:szCs w:val="22"/>
        </w:rPr>
        <w:t xml:space="preserve"> </w:t>
      </w:r>
      <w:r w:rsidRPr="00DD7BD1">
        <w:rPr>
          <w:rFonts w:cs="Calibri"/>
          <w:color w:val="000000"/>
          <w:w w:val="110"/>
          <w:szCs w:val="22"/>
        </w:rPr>
        <w:t>time</w:t>
      </w:r>
      <w:r w:rsidRPr="00DD7BD1">
        <w:rPr>
          <w:rFonts w:cs="Calibri"/>
          <w:color w:val="000000"/>
          <w:spacing w:val="-10"/>
          <w:w w:val="110"/>
          <w:szCs w:val="22"/>
        </w:rPr>
        <w:t xml:space="preserve"> </w:t>
      </w:r>
      <w:r w:rsidRPr="00DD7BD1">
        <w:rPr>
          <w:rFonts w:cs="Calibri"/>
          <w:color w:val="000000"/>
          <w:w w:val="110"/>
          <w:szCs w:val="22"/>
        </w:rPr>
        <w:t>and</w:t>
      </w:r>
      <w:r w:rsidRPr="00DD7BD1">
        <w:rPr>
          <w:rFonts w:cs="Calibri"/>
          <w:color w:val="000000"/>
          <w:spacing w:val="-10"/>
          <w:w w:val="110"/>
          <w:szCs w:val="22"/>
        </w:rPr>
        <w:t xml:space="preserve"> </w:t>
      </w:r>
      <w:r w:rsidRPr="00DD7BD1">
        <w:rPr>
          <w:rFonts w:cs="Calibri"/>
          <w:color w:val="000000"/>
          <w:w w:val="110"/>
          <w:szCs w:val="22"/>
        </w:rPr>
        <w:t>hope</w:t>
      </w:r>
      <w:r w:rsidRPr="00DD7BD1">
        <w:rPr>
          <w:rFonts w:cs="Calibri"/>
          <w:color w:val="000000"/>
          <w:spacing w:val="-12"/>
          <w:w w:val="110"/>
          <w:szCs w:val="22"/>
        </w:rPr>
        <w:t xml:space="preserve"> </w:t>
      </w:r>
      <w:r w:rsidRPr="00DD7BD1">
        <w:rPr>
          <w:rFonts w:cs="Calibri"/>
          <w:color w:val="000000"/>
          <w:w w:val="110"/>
          <w:szCs w:val="22"/>
        </w:rPr>
        <w:t>for</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10"/>
          <w:w w:val="110"/>
          <w:szCs w:val="22"/>
        </w:rPr>
        <w:t xml:space="preserve"> </w:t>
      </w:r>
      <w:r w:rsidRPr="00DD7BD1">
        <w:rPr>
          <w:rFonts w:cs="Calibri"/>
          <w:color w:val="000000"/>
          <w:w w:val="110"/>
          <w:szCs w:val="22"/>
        </w:rPr>
        <w:t>Illinois</w:t>
      </w:r>
      <w:r w:rsidRPr="00DD7BD1">
        <w:rPr>
          <w:rFonts w:cs="Calibri"/>
          <w:color w:val="000000"/>
          <w:spacing w:val="-10"/>
          <w:w w:val="110"/>
          <w:szCs w:val="22"/>
        </w:rPr>
        <w:t xml:space="preserve"> </w:t>
      </w:r>
      <w:r w:rsidRPr="00DD7BD1">
        <w:rPr>
          <w:rFonts w:cs="Calibri"/>
          <w:color w:val="000000"/>
          <w:w w:val="110"/>
          <w:szCs w:val="22"/>
        </w:rPr>
        <w:t>Department</w:t>
      </w:r>
      <w:r w:rsidRPr="00DD7BD1">
        <w:rPr>
          <w:rFonts w:cs="Calibri"/>
          <w:color w:val="000000"/>
          <w:spacing w:val="-15"/>
          <w:w w:val="110"/>
          <w:szCs w:val="22"/>
        </w:rPr>
        <w:t xml:space="preserve"> </w:t>
      </w:r>
      <w:r w:rsidRPr="00DD7BD1">
        <w:rPr>
          <w:rFonts w:cs="Calibri"/>
          <w:color w:val="000000"/>
          <w:w w:val="110"/>
          <w:szCs w:val="22"/>
        </w:rPr>
        <w:t>of</w:t>
      </w:r>
      <w:r w:rsidRPr="00DD7BD1">
        <w:rPr>
          <w:rFonts w:cs="Calibri"/>
          <w:color w:val="000000"/>
          <w:spacing w:val="-13"/>
          <w:w w:val="110"/>
          <w:szCs w:val="22"/>
        </w:rPr>
        <w:t xml:space="preserve"> </w:t>
      </w:r>
      <w:r w:rsidRPr="00DD7BD1">
        <w:rPr>
          <w:rFonts w:cs="Calibri"/>
          <w:color w:val="000000"/>
          <w:w w:val="110"/>
          <w:szCs w:val="22"/>
        </w:rPr>
        <w:t>Public</w:t>
      </w:r>
      <w:r w:rsidRPr="00DD7BD1">
        <w:rPr>
          <w:rFonts w:cs="Calibri"/>
          <w:color w:val="000000"/>
          <w:spacing w:val="-11"/>
          <w:w w:val="110"/>
          <w:szCs w:val="22"/>
        </w:rPr>
        <w:t xml:space="preserve"> </w:t>
      </w:r>
      <w:r w:rsidRPr="00DD7BD1">
        <w:rPr>
          <w:rFonts w:cs="Calibri"/>
          <w:color w:val="000000"/>
          <w:w w:val="110"/>
          <w:szCs w:val="22"/>
        </w:rPr>
        <w:t>Health</w:t>
      </w:r>
      <w:r w:rsidRPr="00DD7BD1">
        <w:rPr>
          <w:rFonts w:cs="Calibri"/>
          <w:color w:val="000000"/>
          <w:spacing w:val="-13"/>
          <w:w w:val="110"/>
          <w:szCs w:val="22"/>
        </w:rPr>
        <w:t xml:space="preserve"> </w:t>
      </w:r>
      <w:r w:rsidRPr="00DD7BD1">
        <w:rPr>
          <w:rFonts w:cs="Calibri"/>
          <w:color w:val="000000"/>
          <w:w w:val="110"/>
          <w:szCs w:val="22"/>
        </w:rPr>
        <w:t>(IDPH)</w:t>
      </w:r>
      <w:r w:rsidRPr="00DD7BD1">
        <w:rPr>
          <w:rFonts w:cs="Calibri"/>
          <w:color w:val="000000"/>
          <w:spacing w:val="-7"/>
          <w:w w:val="110"/>
          <w:szCs w:val="22"/>
        </w:rPr>
        <w:t xml:space="preserve"> </w:t>
      </w:r>
      <w:r w:rsidRPr="00DD7BD1">
        <w:rPr>
          <w:rFonts w:cs="Calibri"/>
          <w:color w:val="000000"/>
          <w:w w:val="110"/>
          <w:szCs w:val="22"/>
        </w:rPr>
        <w:t>to</w:t>
      </w:r>
      <w:r w:rsidRPr="00DD7BD1">
        <w:rPr>
          <w:rFonts w:cs="Calibri"/>
          <w:color w:val="000000"/>
          <w:spacing w:val="-10"/>
          <w:w w:val="110"/>
          <w:szCs w:val="22"/>
        </w:rPr>
        <w:t xml:space="preserve"> </w:t>
      </w:r>
      <w:r w:rsidRPr="00DD7BD1">
        <w:rPr>
          <w:rFonts w:cs="Calibri"/>
          <w:color w:val="000000"/>
          <w:w w:val="110"/>
          <w:szCs w:val="22"/>
        </w:rPr>
        <w:t>issue</w:t>
      </w:r>
      <w:r w:rsidRPr="00DD7BD1">
        <w:rPr>
          <w:rFonts w:cs="Calibri"/>
          <w:color w:val="000000"/>
          <w:spacing w:val="-13"/>
          <w:w w:val="110"/>
          <w:szCs w:val="22"/>
        </w:rPr>
        <w:t xml:space="preserve"> </w:t>
      </w:r>
      <w:r w:rsidRPr="00DD7BD1">
        <w:rPr>
          <w:rFonts w:cs="Calibri"/>
          <w:color w:val="000000"/>
          <w:w w:val="110"/>
          <w:szCs w:val="22"/>
        </w:rPr>
        <w:t>new regulatory</w:t>
      </w:r>
      <w:r w:rsidRPr="00DD7BD1">
        <w:rPr>
          <w:rFonts w:cs="Calibri"/>
          <w:color w:val="000000"/>
          <w:spacing w:val="-11"/>
          <w:w w:val="110"/>
          <w:szCs w:val="22"/>
        </w:rPr>
        <w:t xml:space="preserve"> </w:t>
      </w:r>
      <w:r w:rsidRPr="00DD7BD1">
        <w:rPr>
          <w:rFonts w:cs="Calibri"/>
          <w:color w:val="000000"/>
          <w:w w:val="110"/>
          <w:szCs w:val="22"/>
        </w:rPr>
        <w:t>guidance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amended</w:t>
      </w:r>
      <w:r w:rsidRPr="00DD7BD1">
        <w:rPr>
          <w:rFonts w:cs="Calibri"/>
          <w:color w:val="000000"/>
          <w:spacing w:val="-11"/>
          <w:w w:val="110"/>
          <w:szCs w:val="22"/>
        </w:rPr>
        <w:t xml:space="preserve"> </w:t>
      </w:r>
      <w:r w:rsidRPr="00DD7BD1">
        <w:rPr>
          <w:rFonts w:cs="Calibri"/>
          <w:color w:val="000000"/>
          <w:w w:val="110"/>
          <w:szCs w:val="22"/>
        </w:rPr>
        <w:t>version</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regulation</w:t>
      </w:r>
      <w:r w:rsidRPr="00DD7BD1">
        <w:rPr>
          <w:rFonts w:cs="Calibri"/>
          <w:color w:val="000000"/>
          <w:spacing w:val="-8"/>
          <w:w w:val="110"/>
          <w:szCs w:val="22"/>
        </w:rPr>
        <w:t xml:space="preserve"> </w:t>
      </w:r>
      <w:r w:rsidRPr="00DD7BD1">
        <w:rPr>
          <w:rFonts w:cs="Calibri"/>
          <w:color w:val="000000"/>
          <w:w w:val="110"/>
          <w:szCs w:val="22"/>
        </w:rPr>
        <w:t>which</w:t>
      </w:r>
      <w:r w:rsidRPr="00DD7BD1">
        <w:rPr>
          <w:rFonts w:cs="Calibri"/>
          <w:color w:val="000000"/>
          <w:spacing w:val="-8"/>
          <w:w w:val="110"/>
          <w:szCs w:val="22"/>
        </w:rPr>
        <w:t xml:space="preserve"> </w:t>
      </w:r>
      <w:r w:rsidRPr="00DD7BD1">
        <w:rPr>
          <w:rFonts w:cs="Calibri"/>
          <w:color w:val="000000"/>
          <w:w w:val="110"/>
          <w:szCs w:val="22"/>
        </w:rPr>
        <w:t>the</w:t>
      </w:r>
      <w:r w:rsidRPr="00DD7BD1">
        <w:rPr>
          <w:rFonts w:cs="Calibri"/>
          <w:color w:val="000000"/>
          <w:spacing w:val="-13"/>
          <w:w w:val="110"/>
          <w:szCs w:val="22"/>
        </w:rPr>
        <w:t xml:space="preserve"> </w:t>
      </w:r>
      <w:r w:rsidRPr="00DD7BD1">
        <w:rPr>
          <w:rFonts w:cs="Calibri"/>
          <w:color w:val="000000"/>
          <w:w w:val="110"/>
          <w:szCs w:val="22"/>
        </w:rPr>
        <w:t>General</w:t>
      </w:r>
      <w:r w:rsidRPr="00DD7BD1">
        <w:rPr>
          <w:rFonts w:cs="Calibri"/>
          <w:color w:val="000000"/>
          <w:spacing w:val="-10"/>
          <w:w w:val="110"/>
          <w:szCs w:val="22"/>
        </w:rPr>
        <w:t xml:space="preserve"> </w:t>
      </w:r>
      <w:r w:rsidRPr="00DD7BD1">
        <w:rPr>
          <w:rFonts w:cs="Calibri"/>
          <w:color w:val="000000"/>
          <w:w w:val="110"/>
          <w:szCs w:val="22"/>
        </w:rPr>
        <w:t>Assembly</w:t>
      </w:r>
      <w:r w:rsidRPr="00DD7BD1">
        <w:rPr>
          <w:rFonts w:cs="Calibri"/>
          <w:color w:val="000000"/>
          <w:spacing w:val="-10"/>
          <w:w w:val="110"/>
          <w:szCs w:val="22"/>
        </w:rPr>
        <w:t xml:space="preserve"> </w:t>
      </w:r>
      <w:r w:rsidRPr="00DD7BD1">
        <w:rPr>
          <w:rFonts w:cs="Calibri"/>
          <w:color w:val="000000"/>
          <w:w w:val="110"/>
          <w:szCs w:val="22"/>
        </w:rPr>
        <w:t>website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Public</w:t>
      </w:r>
      <w:r w:rsidRPr="00DD7BD1">
        <w:rPr>
          <w:rFonts w:cs="Calibri"/>
          <w:color w:val="000000"/>
          <w:spacing w:val="-9"/>
          <w:w w:val="110"/>
          <w:szCs w:val="22"/>
        </w:rPr>
        <w:t xml:space="preserve"> </w:t>
      </w:r>
      <w:r w:rsidRPr="00DD7BD1">
        <w:rPr>
          <w:rFonts w:cs="Calibri"/>
          <w:color w:val="000000"/>
          <w:w w:val="110"/>
          <w:szCs w:val="22"/>
        </w:rPr>
        <w:t>Act 104-0193 states that the changes go into effect (as opposed to the amendment itself).</w:t>
      </w:r>
    </w:p>
    <w:p w14:paraId="617E6EFF" w14:textId="77777777" w:rsidR="00A85628" w:rsidRPr="00DD7BD1" w:rsidRDefault="00A85628" w:rsidP="00A85628">
      <w:pPr>
        <w:pStyle w:val="BodyText"/>
        <w:spacing w:after="0" w:line="240" w:lineRule="auto"/>
        <w:ind w:right="-180"/>
        <w:jc w:val="left"/>
        <w:rPr>
          <w:rFonts w:cs="Calibri"/>
          <w:color w:val="auto"/>
          <w:sz w:val="16"/>
          <w:szCs w:val="16"/>
        </w:rPr>
      </w:pPr>
    </w:p>
    <w:p w14:paraId="4A7513F6"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2023,</w:t>
      </w:r>
      <w:r w:rsidRPr="00DD7BD1">
        <w:rPr>
          <w:rFonts w:cs="Calibri"/>
          <w:color w:val="auto"/>
          <w:spacing w:val="-12"/>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amended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Employee</w:t>
      </w:r>
      <w:r w:rsidRPr="00DD7BD1">
        <w:rPr>
          <w:rFonts w:cs="Calibri"/>
          <w:color w:val="auto"/>
          <w:spacing w:val="-13"/>
          <w:w w:val="110"/>
          <w:szCs w:val="22"/>
        </w:rPr>
        <w:t xml:space="preserve"> </w:t>
      </w:r>
      <w:r w:rsidRPr="00DD7BD1">
        <w:rPr>
          <w:rFonts w:cs="Calibri"/>
          <w:color w:val="auto"/>
          <w:w w:val="110"/>
          <w:szCs w:val="22"/>
        </w:rPr>
        <w:t>Blood</w:t>
      </w:r>
      <w:r w:rsidRPr="00DD7BD1">
        <w:rPr>
          <w:rFonts w:cs="Calibri"/>
          <w:color w:val="auto"/>
          <w:spacing w:val="-11"/>
          <w:w w:val="110"/>
          <w:szCs w:val="22"/>
        </w:rPr>
        <w:t xml:space="preserve"> </w:t>
      </w:r>
      <w:r w:rsidRPr="00DD7BD1">
        <w:rPr>
          <w:rFonts w:cs="Calibri"/>
          <w:color w:val="auto"/>
          <w:w w:val="110"/>
          <w:szCs w:val="22"/>
        </w:rPr>
        <w:t>Donation</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w:t>
      </w:r>
      <w:r w:rsidRPr="00DD7BD1">
        <w:rPr>
          <w:rFonts w:cs="Calibri"/>
          <w:color w:val="auto"/>
          <w:spacing w:val="-10"/>
          <w:w w:val="110"/>
          <w:szCs w:val="22"/>
        </w:rPr>
        <w:t xml:space="preserve"> </w:t>
      </w:r>
      <w:r w:rsidRPr="00DD7BD1">
        <w:rPr>
          <w:rFonts w:cs="Calibri"/>
          <w:color w:val="auto"/>
          <w:w w:val="110"/>
          <w:szCs w:val="22"/>
        </w:rPr>
        <w:t>820</w:t>
      </w:r>
      <w:r w:rsidRPr="00DD7BD1">
        <w:rPr>
          <w:rFonts w:cs="Calibri"/>
          <w:color w:val="auto"/>
          <w:spacing w:val="-14"/>
          <w:w w:val="110"/>
          <w:szCs w:val="22"/>
        </w:rPr>
        <w:t xml:space="preserve"> </w:t>
      </w:r>
      <w:r w:rsidRPr="00DD7BD1">
        <w:rPr>
          <w:rFonts w:cs="Calibri"/>
          <w:color w:val="auto"/>
          <w:w w:val="110"/>
          <w:szCs w:val="22"/>
        </w:rPr>
        <w:t>ILCS</w:t>
      </w:r>
      <w:r w:rsidRPr="00DD7BD1">
        <w:rPr>
          <w:rFonts w:cs="Calibri"/>
          <w:color w:val="auto"/>
          <w:spacing w:val="-11"/>
          <w:w w:val="110"/>
          <w:szCs w:val="22"/>
        </w:rPr>
        <w:t xml:space="preserve"> </w:t>
      </w:r>
      <w:r w:rsidRPr="00DD7BD1">
        <w:rPr>
          <w:rFonts w:cs="Calibri"/>
          <w:color w:val="auto"/>
          <w:w w:val="110"/>
          <w:szCs w:val="22"/>
        </w:rPr>
        <w:t>149</w:t>
      </w:r>
      <w:r w:rsidRPr="00DD7BD1">
        <w:rPr>
          <w:rFonts w:cs="Calibri"/>
          <w:color w:val="auto"/>
          <w:spacing w:val="-12"/>
          <w:w w:val="110"/>
          <w:szCs w:val="22"/>
        </w:rPr>
        <w:t xml:space="preserve"> </w:t>
      </w:r>
      <w:r w:rsidRPr="00DD7BD1">
        <w:rPr>
          <w:rFonts w:cs="Calibri"/>
          <w:i/>
          <w:color w:val="auto"/>
          <w:w w:val="110"/>
          <w:szCs w:val="22"/>
        </w:rPr>
        <w:t>et</w:t>
      </w:r>
      <w:r w:rsidRPr="00DD7BD1">
        <w:rPr>
          <w:rFonts w:cs="Calibri"/>
          <w:i/>
          <w:color w:val="auto"/>
          <w:spacing w:val="-12"/>
          <w:w w:val="110"/>
          <w:szCs w:val="22"/>
        </w:rPr>
        <w:t xml:space="preserve"> </w:t>
      </w:r>
      <w:r w:rsidRPr="00DD7BD1">
        <w:rPr>
          <w:rFonts w:cs="Calibri"/>
          <w:i/>
          <w:color w:val="auto"/>
          <w:w w:val="110"/>
          <w:szCs w:val="22"/>
        </w:rPr>
        <w:t>seq</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apply</w:t>
      </w:r>
      <w:r w:rsidRPr="00DD7BD1">
        <w:rPr>
          <w:rFonts w:cs="Calibri"/>
          <w:color w:val="auto"/>
          <w:spacing w:val="-9"/>
          <w:w w:val="110"/>
          <w:szCs w:val="22"/>
        </w:rPr>
        <w:t xml:space="preserve"> </w:t>
      </w:r>
      <w:r w:rsidRPr="00DD7BD1">
        <w:rPr>
          <w:rFonts w:cs="Calibri"/>
          <w:color w:val="auto"/>
          <w:w w:val="110"/>
          <w:szCs w:val="22"/>
        </w:rPr>
        <w:t>all</w:t>
      </w:r>
      <w:r w:rsidRPr="00DD7BD1">
        <w:rPr>
          <w:rFonts w:cs="Calibri"/>
          <w:color w:val="auto"/>
          <w:spacing w:val="-15"/>
          <w:w w:val="110"/>
          <w:szCs w:val="22"/>
        </w:rPr>
        <w:t xml:space="preserve"> </w:t>
      </w:r>
      <w:r w:rsidRPr="00DD7BD1">
        <w:rPr>
          <w:rFonts w:cs="Calibri"/>
          <w:color w:val="auto"/>
          <w:w w:val="110"/>
          <w:szCs w:val="22"/>
        </w:rPr>
        <w:t>full-time employees in</w:t>
      </w:r>
      <w:r w:rsidRPr="00DD7BD1">
        <w:rPr>
          <w:rFonts w:cs="Calibri"/>
          <w:color w:val="auto"/>
          <w:spacing w:val="-2"/>
          <w:w w:val="110"/>
          <w:szCs w:val="22"/>
        </w:rPr>
        <w:t xml:space="preserve"> </w:t>
      </w:r>
      <w:r w:rsidRPr="00DD7BD1">
        <w:rPr>
          <w:rFonts w:cs="Calibri"/>
          <w:color w:val="auto"/>
          <w:w w:val="110"/>
          <w:szCs w:val="22"/>
        </w:rPr>
        <w:t>Illinois,</w:t>
      </w:r>
      <w:r w:rsidRPr="00DD7BD1">
        <w:rPr>
          <w:rFonts w:cs="Calibri"/>
          <w:color w:val="auto"/>
          <w:spacing w:val="-2"/>
          <w:w w:val="110"/>
          <w:szCs w:val="22"/>
        </w:rPr>
        <w:t xml:space="preserve"> </w:t>
      </w:r>
      <w:r w:rsidRPr="00DD7BD1">
        <w:rPr>
          <w:rFonts w:cs="Calibri"/>
          <w:color w:val="auto"/>
          <w:w w:val="110"/>
          <w:szCs w:val="22"/>
        </w:rPr>
        <w:t>including</w:t>
      </w:r>
      <w:r w:rsidRPr="00DD7BD1">
        <w:rPr>
          <w:rFonts w:cs="Calibri"/>
          <w:color w:val="auto"/>
          <w:spacing w:val="-2"/>
          <w:w w:val="110"/>
          <w:szCs w:val="22"/>
        </w:rPr>
        <w:t xml:space="preserve"> </w:t>
      </w:r>
      <w:r w:rsidRPr="00DD7BD1">
        <w:rPr>
          <w:rFonts w:cs="Calibri"/>
          <w:color w:val="auto"/>
          <w:w w:val="110"/>
          <w:szCs w:val="22"/>
        </w:rPr>
        <w:t>those who work for private</w:t>
      </w:r>
      <w:r w:rsidRPr="00DD7BD1">
        <w:rPr>
          <w:rFonts w:cs="Calibri"/>
          <w:color w:val="auto"/>
          <w:spacing w:val="-2"/>
          <w:w w:val="110"/>
          <w:szCs w:val="22"/>
        </w:rPr>
        <w:t xml:space="preserve"> </w:t>
      </w:r>
      <w:r w:rsidRPr="00DD7BD1">
        <w:rPr>
          <w:rFonts w:cs="Calibri"/>
          <w:color w:val="auto"/>
          <w:w w:val="110"/>
          <w:szCs w:val="22"/>
        </w:rPr>
        <w:t>employers.</w:t>
      </w:r>
    </w:p>
    <w:p w14:paraId="088BB0B8" w14:textId="77777777" w:rsidR="00A85628" w:rsidRPr="00DD7BD1" w:rsidRDefault="00A85628" w:rsidP="00A85628">
      <w:pPr>
        <w:pStyle w:val="BodyText"/>
        <w:spacing w:after="0" w:line="240" w:lineRule="auto"/>
        <w:ind w:right="-180"/>
        <w:jc w:val="left"/>
        <w:rPr>
          <w:rFonts w:cs="Calibri"/>
          <w:color w:val="auto"/>
          <w:sz w:val="16"/>
          <w:szCs w:val="16"/>
        </w:rPr>
      </w:pPr>
    </w:p>
    <w:p w14:paraId="720728FB"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0"/>
          <w:w w:val="110"/>
          <w:szCs w:val="22"/>
        </w:rPr>
        <w:t xml:space="preserve"> </w:t>
      </w:r>
      <w:r w:rsidRPr="00DD7BD1">
        <w:rPr>
          <w:rFonts w:cs="Calibri"/>
          <w:color w:val="auto"/>
          <w:w w:val="110"/>
          <w:szCs w:val="22"/>
        </w:rPr>
        <w:t>applies</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1"/>
          <w:w w:val="110"/>
          <w:szCs w:val="22"/>
        </w:rPr>
        <w:t xml:space="preserve"> </w:t>
      </w:r>
      <w:r w:rsidRPr="00DD7BD1">
        <w:rPr>
          <w:rFonts w:cs="Calibri"/>
          <w:color w:val="auto"/>
          <w:w w:val="110"/>
          <w:szCs w:val="22"/>
        </w:rPr>
        <w:t>51</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9"/>
          <w:w w:val="110"/>
          <w:szCs w:val="22"/>
        </w:rPr>
        <w:t xml:space="preserve"> </w:t>
      </w:r>
      <w:r w:rsidRPr="00DD7BD1">
        <w:rPr>
          <w:rFonts w:cs="Calibri"/>
          <w:color w:val="auto"/>
          <w:w w:val="110"/>
          <w:szCs w:val="22"/>
        </w:rPr>
        <w:t>implied</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its</w:t>
      </w:r>
      <w:r w:rsidRPr="00DD7BD1">
        <w:rPr>
          <w:rFonts w:cs="Calibri"/>
          <w:color w:val="auto"/>
          <w:spacing w:val="-11"/>
          <w:w w:val="110"/>
          <w:szCs w:val="22"/>
        </w:rPr>
        <w:t xml:space="preserve"> </w:t>
      </w:r>
      <w:r w:rsidRPr="00DD7BD1">
        <w:rPr>
          <w:rFonts w:cs="Calibri"/>
          <w:color w:val="auto"/>
          <w:w w:val="110"/>
          <w:szCs w:val="22"/>
        </w:rPr>
        <w:t>title,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has</w:t>
      </w:r>
      <w:r w:rsidRPr="00DD7BD1">
        <w:rPr>
          <w:rFonts w:cs="Calibri"/>
          <w:color w:val="auto"/>
          <w:spacing w:val="-9"/>
          <w:w w:val="110"/>
          <w:szCs w:val="22"/>
        </w:rPr>
        <w:t xml:space="preserve"> </w:t>
      </w:r>
      <w:r w:rsidRPr="00DD7BD1">
        <w:rPr>
          <w:rFonts w:cs="Calibri"/>
          <w:color w:val="auto"/>
          <w:w w:val="110"/>
          <w:szCs w:val="22"/>
        </w:rPr>
        <w:t>two components,</w:t>
      </w:r>
      <w:r w:rsidRPr="00DD7BD1">
        <w:rPr>
          <w:rFonts w:cs="Calibri"/>
          <w:color w:val="auto"/>
          <w:spacing w:val="-8"/>
          <w:w w:val="110"/>
          <w:szCs w:val="22"/>
        </w:rPr>
        <w:t xml:space="preserve"> </w:t>
      </w:r>
      <w:r w:rsidRPr="00DD7BD1">
        <w:rPr>
          <w:rFonts w:cs="Calibri"/>
          <w:color w:val="auto"/>
          <w:w w:val="110"/>
          <w:szCs w:val="22"/>
        </w:rPr>
        <w:t>blood</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organ</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blood</w:t>
      </w:r>
      <w:r w:rsidRPr="00DD7BD1">
        <w:rPr>
          <w:rFonts w:cs="Calibri"/>
          <w:color w:val="auto"/>
          <w:spacing w:val="-8"/>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component</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applies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full-time employees</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up</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one</w:t>
      </w:r>
      <w:r w:rsidRPr="00DD7BD1">
        <w:rPr>
          <w:rFonts w:cs="Calibri"/>
          <w:color w:val="auto"/>
          <w:spacing w:val="-16"/>
          <w:w w:val="110"/>
          <w:szCs w:val="22"/>
        </w:rPr>
        <w:t xml:space="preserve"> </w:t>
      </w:r>
      <w:r w:rsidRPr="00DD7BD1">
        <w:rPr>
          <w:rFonts w:cs="Calibri"/>
          <w:color w:val="auto"/>
          <w:w w:val="110"/>
          <w:szCs w:val="22"/>
        </w:rPr>
        <w:t>hour</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blood</w:t>
      </w:r>
      <w:r w:rsidRPr="00DD7BD1">
        <w:rPr>
          <w:rFonts w:cs="Calibri"/>
          <w:color w:val="auto"/>
          <w:spacing w:val="-16"/>
          <w:w w:val="110"/>
          <w:szCs w:val="22"/>
        </w:rPr>
        <w:t xml:space="preserve"> </w:t>
      </w:r>
      <w:r w:rsidRPr="00DD7BD1">
        <w:rPr>
          <w:rFonts w:cs="Calibri"/>
          <w:color w:val="auto"/>
          <w:w w:val="110"/>
          <w:szCs w:val="22"/>
        </w:rPr>
        <w:t>donations</w:t>
      </w:r>
      <w:r w:rsidRPr="00DD7BD1">
        <w:rPr>
          <w:rFonts w:cs="Calibri"/>
          <w:color w:val="auto"/>
          <w:spacing w:val="-17"/>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56 days.</w:t>
      </w:r>
      <w:r w:rsidRPr="00DD7BD1">
        <w:rPr>
          <w:rFonts w:cs="Calibri"/>
          <w:color w:val="auto"/>
          <w:spacing w:val="-7"/>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10"/>
          <w:w w:val="110"/>
          <w:szCs w:val="22"/>
        </w:rPr>
        <w:t xml:space="preserve"> </w:t>
      </w:r>
      <w:r w:rsidRPr="00DD7BD1">
        <w:rPr>
          <w:rFonts w:cs="Calibri"/>
          <w:color w:val="auto"/>
          <w:w w:val="110"/>
          <w:szCs w:val="22"/>
        </w:rPr>
        <w:t>specifically</w:t>
      </w:r>
      <w:r w:rsidRPr="00DD7BD1">
        <w:rPr>
          <w:rFonts w:cs="Calibri"/>
          <w:color w:val="auto"/>
          <w:spacing w:val="-6"/>
          <w:w w:val="110"/>
          <w:szCs w:val="22"/>
        </w:rPr>
        <w:t xml:space="preserve"> </w:t>
      </w:r>
      <w:r w:rsidRPr="00DD7BD1">
        <w:rPr>
          <w:rFonts w:cs="Calibri"/>
          <w:color w:val="auto"/>
          <w:w w:val="110"/>
          <w:szCs w:val="22"/>
        </w:rPr>
        <w:t>defined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terms</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6"/>
          <w:w w:val="110"/>
          <w:szCs w:val="22"/>
        </w:rPr>
        <w:t xml:space="preserve"> </w:t>
      </w:r>
      <w:r w:rsidRPr="00DD7BD1">
        <w:rPr>
          <w:rFonts w:cs="Calibri"/>
          <w:color w:val="auto"/>
          <w:w w:val="110"/>
          <w:szCs w:val="22"/>
        </w:rPr>
        <w:t>per</w:t>
      </w:r>
      <w:r w:rsidRPr="00DD7BD1">
        <w:rPr>
          <w:rFonts w:cs="Calibri"/>
          <w:color w:val="auto"/>
          <w:spacing w:val="-7"/>
          <w:w w:val="110"/>
          <w:szCs w:val="22"/>
        </w:rPr>
        <w:t xml:space="preserve"> </w:t>
      </w:r>
      <w:r w:rsidRPr="00DD7BD1">
        <w:rPr>
          <w:rFonts w:cs="Calibri"/>
          <w:color w:val="auto"/>
          <w:w w:val="110"/>
          <w:szCs w:val="22"/>
        </w:rPr>
        <w:t>week,</w:t>
      </w:r>
      <w:r w:rsidRPr="00DD7BD1">
        <w:rPr>
          <w:rFonts w:cs="Calibri"/>
          <w:color w:val="auto"/>
          <w:spacing w:val="-9"/>
          <w:w w:val="110"/>
          <w:szCs w:val="22"/>
        </w:rPr>
        <w:t xml:space="preserve"> </w:t>
      </w:r>
      <w:r w:rsidRPr="00DD7BD1">
        <w:rPr>
          <w:rFonts w:cs="Calibri"/>
          <w:color w:val="auto"/>
          <w:w w:val="110"/>
          <w:szCs w:val="22"/>
        </w:rPr>
        <w:t>but</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does</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a participating</w:t>
      </w:r>
      <w:r w:rsidRPr="00DD7BD1">
        <w:rPr>
          <w:rFonts w:cs="Calibri"/>
          <w:color w:val="auto"/>
          <w:spacing w:val="-2"/>
          <w:w w:val="110"/>
          <w:szCs w:val="22"/>
        </w:rPr>
        <w:t xml:space="preserve"> </w:t>
      </w:r>
      <w:r w:rsidRPr="00DD7BD1">
        <w:rPr>
          <w:rFonts w:cs="Calibri"/>
          <w:color w:val="auto"/>
          <w:w w:val="110"/>
          <w:szCs w:val="22"/>
        </w:rPr>
        <w:t>employee to have been employed for</w:t>
      </w:r>
      <w:r w:rsidRPr="00DD7BD1">
        <w:rPr>
          <w:rFonts w:cs="Calibri"/>
          <w:color w:val="auto"/>
          <w:spacing w:val="-1"/>
          <w:w w:val="110"/>
          <w:szCs w:val="22"/>
        </w:rPr>
        <w:t xml:space="preserve"> </w:t>
      </w:r>
      <w:r w:rsidRPr="00DD7BD1">
        <w:rPr>
          <w:rFonts w:cs="Calibri"/>
          <w:color w:val="auto"/>
          <w:w w:val="110"/>
          <w:szCs w:val="22"/>
        </w:rPr>
        <w:t>6</w:t>
      </w:r>
      <w:r w:rsidRPr="00DD7BD1">
        <w:rPr>
          <w:rFonts w:cs="Calibri"/>
          <w:color w:val="auto"/>
          <w:spacing w:val="-2"/>
          <w:w w:val="110"/>
          <w:szCs w:val="22"/>
        </w:rPr>
        <w:t xml:space="preserve"> </w:t>
      </w:r>
      <w:r w:rsidRPr="00DD7BD1">
        <w:rPr>
          <w:rFonts w:cs="Calibri"/>
          <w:color w:val="auto"/>
          <w:w w:val="110"/>
          <w:szCs w:val="22"/>
        </w:rPr>
        <w:t>or</w:t>
      </w:r>
      <w:r w:rsidRPr="00DD7BD1">
        <w:rPr>
          <w:rFonts w:cs="Calibri"/>
          <w:color w:val="auto"/>
          <w:spacing w:val="-1"/>
          <w:w w:val="110"/>
          <w:szCs w:val="22"/>
        </w:rPr>
        <w:t xml:space="preserve"> </w:t>
      </w:r>
      <w:r w:rsidRPr="00DD7BD1">
        <w:rPr>
          <w:rFonts w:cs="Calibri"/>
          <w:color w:val="auto"/>
          <w:w w:val="110"/>
          <w:szCs w:val="22"/>
        </w:rPr>
        <w:t>more</w:t>
      </w:r>
      <w:r w:rsidRPr="00DD7BD1">
        <w:rPr>
          <w:rFonts w:cs="Calibri"/>
          <w:color w:val="auto"/>
          <w:spacing w:val="-4"/>
          <w:w w:val="110"/>
          <w:szCs w:val="22"/>
        </w:rPr>
        <w:t xml:space="preserve"> </w:t>
      </w:r>
      <w:r w:rsidRPr="00DD7BD1">
        <w:rPr>
          <w:rFonts w:cs="Calibri"/>
          <w:color w:val="auto"/>
          <w:w w:val="110"/>
          <w:szCs w:val="22"/>
        </w:rPr>
        <w:t>months.</w:t>
      </w:r>
    </w:p>
    <w:p w14:paraId="17BC107C" w14:textId="77777777" w:rsidR="00A85628" w:rsidRPr="00DD7BD1" w:rsidRDefault="00A85628" w:rsidP="00A85628">
      <w:pPr>
        <w:pStyle w:val="BodyText"/>
        <w:spacing w:after="0" w:line="240" w:lineRule="auto"/>
        <w:ind w:right="-180"/>
        <w:jc w:val="left"/>
        <w:rPr>
          <w:rFonts w:cs="Calibri"/>
          <w:color w:val="auto"/>
          <w:w w:val="110"/>
          <w:sz w:val="16"/>
          <w:szCs w:val="16"/>
        </w:rPr>
      </w:pPr>
    </w:p>
    <w:p w14:paraId="24D11CB8"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Regarding</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component,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2"/>
          <w:w w:val="110"/>
          <w:szCs w:val="22"/>
        </w:rPr>
        <w:t xml:space="preserve"> </w:t>
      </w:r>
      <w:r w:rsidRPr="00DD7BD1">
        <w:rPr>
          <w:rFonts w:cs="Calibri"/>
          <w:color w:val="auto"/>
          <w:w w:val="110"/>
          <w:szCs w:val="22"/>
          <w:u w:val="single"/>
        </w:rPr>
        <w:t>now</w:t>
      </w:r>
      <w:r w:rsidRPr="00DD7BD1">
        <w:rPr>
          <w:rFonts w:cs="Calibri"/>
          <w:color w:val="auto"/>
          <w:spacing w:val="-14"/>
          <w:w w:val="110"/>
          <w:szCs w:val="22"/>
          <w:u w:val="single"/>
        </w:rPr>
        <w:t xml:space="preserve"> </w:t>
      </w:r>
      <w:r w:rsidRPr="00DD7BD1">
        <w:rPr>
          <w:rFonts w:cs="Calibri"/>
          <w:color w:val="auto"/>
          <w:w w:val="110"/>
          <w:szCs w:val="22"/>
          <w:u w:val="single"/>
        </w:rPr>
        <w:t>also</w:t>
      </w:r>
      <w:r w:rsidRPr="00DD7BD1">
        <w:rPr>
          <w:rFonts w:cs="Calibri"/>
          <w:color w:val="auto"/>
          <w:spacing w:val="-15"/>
          <w:w w:val="110"/>
          <w:szCs w:val="22"/>
          <w:u w:val="single"/>
        </w:rPr>
        <w:t xml:space="preserve"> </w:t>
      </w:r>
      <w:r w:rsidRPr="00DD7BD1">
        <w:rPr>
          <w:rFonts w:cs="Calibri"/>
          <w:color w:val="auto"/>
          <w:w w:val="110"/>
          <w:szCs w:val="22"/>
          <w:u w:val="single"/>
        </w:rPr>
        <w:t>apply</w:t>
      </w:r>
      <w:r w:rsidRPr="00DD7BD1">
        <w:rPr>
          <w:rFonts w:cs="Calibri"/>
          <w:color w:val="auto"/>
          <w:spacing w:val="-16"/>
          <w:w w:val="110"/>
          <w:szCs w:val="22"/>
          <w:u w:val="single"/>
        </w:rPr>
        <w:t xml:space="preserve"> </w:t>
      </w:r>
      <w:r w:rsidRPr="00DD7BD1">
        <w:rPr>
          <w:rFonts w:cs="Calibri"/>
          <w:color w:val="auto"/>
          <w:w w:val="110"/>
          <w:szCs w:val="22"/>
          <w:u w:val="single"/>
        </w:rPr>
        <w:t>to</w:t>
      </w:r>
      <w:r w:rsidRPr="00DD7BD1">
        <w:rPr>
          <w:rFonts w:cs="Calibri"/>
          <w:color w:val="auto"/>
          <w:spacing w:val="-16"/>
          <w:w w:val="110"/>
          <w:szCs w:val="22"/>
          <w:u w:val="single"/>
        </w:rPr>
        <w:t xml:space="preserve"> </w:t>
      </w:r>
      <w:r w:rsidRPr="00DD7BD1">
        <w:rPr>
          <w:rFonts w:cs="Calibri"/>
          <w:color w:val="auto"/>
          <w:w w:val="110"/>
          <w:szCs w:val="22"/>
          <w:u w:val="single"/>
        </w:rPr>
        <w:t>part-time</w:t>
      </w:r>
      <w:r w:rsidRPr="00DD7BD1">
        <w:rPr>
          <w:rFonts w:cs="Calibri"/>
          <w:color w:val="auto"/>
          <w:spacing w:val="-14"/>
          <w:w w:val="110"/>
          <w:szCs w:val="22"/>
          <w:u w:val="single"/>
        </w:rPr>
        <w:t xml:space="preserve"> </w:t>
      </w:r>
      <w:r w:rsidRPr="00DD7BD1">
        <w:rPr>
          <w:rFonts w:cs="Calibri"/>
          <w:color w:val="auto"/>
          <w:w w:val="110"/>
          <w:szCs w:val="22"/>
          <w:u w:val="single"/>
        </w:rPr>
        <w:t>employees</w:t>
      </w:r>
      <w:r w:rsidRPr="00DD7BD1">
        <w:rPr>
          <w:rFonts w:cs="Calibri"/>
          <w:color w:val="auto"/>
          <w:w w:val="110"/>
          <w:szCs w:val="22"/>
        </w:rPr>
        <w:t>.</w:t>
      </w:r>
      <w:r w:rsidRPr="00DD7BD1">
        <w:rPr>
          <w:rFonts w:cs="Calibri"/>
          <w:color w:val="auto"/>
          <w:spacing w:val="-15"/>
          <w:w w:val="110"/>
          <w:szCs w:val="22"/>
        </w:rPr>
        <w:t xml:space="preserve"> </w:t>
      </w:r>
      <w:r w:rsidRPr="00DD7BD1">
        <w:rPr>
          <w:rFonts w:cs="Calibri"/>
          <w:color w:val="auto"/>
          <w:w w:val="110"/>
          <w:szCs w:val="22"/>
        </w:rPr>
        <w:t>“Part-time”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also not</w:t>
      </w:r>
      <w:r w:rsidRPr="00DD7BD1">
        <w:rPr>
          <w:rFonts w:cs="Calibri"/>
          <w:color w:val="auto"/>
          <w:spacing w:val="-17"/>
          <w:w w:val="110"/>
          <w:szCs w:val="22"/>
        </w:rPr>
        <w:t xml:space="preserve"> </w:t>
      </w:r>
      <w:r w:rsidRPr="00DD7BD1">
        <w:rPr>
          <w:rFonts w:cs="Calibri"/>
          <w:color w:val="auto"/>
          <w:w w:val="110"/>
          <w:szCs w:val="22"/>
        </w:rPr>
        <w:t>defined,</w:t>
      </w:r>
      <w:r w:rsidRPr="00DD7BD1">
        <w:rPr>
          <w:rFonts w:cs="Calibri"/>
          <w:color w:val="auto"/>
          <w:spacing w:val="-17"/>
          <w:w w:val="110"/>
          <w:szCs w:val="22"/>
        </w:rPr>
        <w:t xml:space="preserve"> </w:t>
      </w:r>
      <w:r w:rsidRPr="00DD7BD1">
        <w:rPr>
          <w:rFonts w:cs="Calibri"/>
          <w:color w:val="auto"/>
          <w:w w:val="110"/>
          <w:szCs w:val="22"/>
        </w:rPr>
        <w:t>which</w:t>
      </w:r>
      <w:r w:rsidRPr="00DD7BD1">
        <w:rPr>
          <w:rFonts w:cs="Calibri"/>
          <w:color w:val="auto"/>
          <w:spacing w:val="-17"/>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presumably</w:t>
      </w:r>
      <w:r w:rsidRPr="00DD7BD1">
        <w:rPr>
          <w:rFonts w:cs="Calibri"/>
          <w:color w:val="auto"/>
          <w:spacing w:val="-17"/>
          <w:w w:val="110"/>
          <w:szCs w:val="22"/>
        </w:rPr>
        <w:t xml:space="preserve"> </w:t>
      </w:r>
      <w:r w:rsidRPr="00DD7BD1">
        <w:rPr>
          <w:rFonts w:cs="Calibri"/>
          <w:color w:val="auto"/>
          <w:w w:val="110"/>
          <w:szCs w:val="22"/>
        </w:rPr>
        <w:t>mean</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requirement</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providing</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organ</w:t>
      </w:r>
      <w:r w:rsidRPr="00DD7BD1">
        <w:rPr>
          <w:rFonts w:cs="Calibri"/>
          <w:color w:val="auto"/>
          <w:spacing w:val="-17"/>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apply to</w:t>
      </w:r>
      <w:r w:rsidRPr="00DD7BD1">
        <w:rPr>
          <w:rFonts w:cs="Calibri"/>
          <w:color w:val="auto"/>
          <w:spacing w:val="-9"/>
          <w:w w:val="110"/>
          <w:szCs w:val="22"/>
        </w:rPr>
        <w:t xml:space="preserve"> </w:t>
      </w:r>
      <w:r w:rsidRPr="00DD7BD1">
        <w:rPr>
          <w:rFonts w:cs="Calibri"/>
          <w:color w:val="auto"/>
          <w:w w:val="110"/>
          <w:szCs w:val="22"/>
        </w:rPr>
        <w:t>any</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12"/>
          <w:w w:val="110"/>
          <w:szCs w:val="22"/>
        </w:rPr>
        <w:t xml:space="preserve"> </w:t>
      </w:r>
      <w:r w:rsidRPr="00DD7BD1">
        <w:rPr>
          <w:rFonts w:cs="Calibri"/>
          <w:color w:val="auto"/>
          <w:w w:val="110"/>
          <w:szCs w:val="22"/>
        </w:rPr>
        <w:t>works</w:t>
      </w:r>
      <w:r w:rsidRPr="00DD7BD1">
        <w:rPr>
          <w:rFonts w:cs="Calibri"/>
          <w:color w:val="auto"/>
          <w:spacing w:val="-10"/>
          <w:w w:val="110"/>
          <w:szCs w:val="22"/>
        </w:rPr>
        <w:t xml:space="preserve"> </w:t>
      </w:r>
      <w:r w:rsidRPr="00DD7BD1">
        <w:rPr>
          <w:rFonts w:cs="Calibri"/>
          <w:color w:val="auto"/>
          <w:w w:val="110"/>
          <w:szCs w:val="22"/>
        </w:rPr>
        <w:t>any</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51</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4"/>
          <w:w w:val="110"/>
          <w:szCs w:val="22"/>
        </w:rPr>
        <w:t xml:space="preserve"> </w:t>
      </w:r>
      <w:r w:rsidRPr="00DD7BD1">
        <w:rPr>
          <w:rFonts w:cs="Calibri"/>
          <w:color w:val="auto"/>
          <w:w w:val="110"/>
          <w:szCs w:val="22"/>
        </w:rPr>
        <w:t>more</w:t>
      </w:r>
      <w:r w:rsidRPr="00DD7BD1">
        <w:rPr>
          <w:rFonts w:cs="Calibri"/>
          <w:color w:val="auto"/>
          <w:spacing w:val="-13"/>
          <w:w w:val="110"/>
          <w:szCs w:val="22"/>
        </w:rPr>
        <w:t xml:space="preserve"> </w:t>
      </w:r>
      <w:r w:rsidRPr="00DD7BD1">
        <w:rPr>
          <w:rFonts w:cs="Calibri"/>
          <w:color w:val="auto"/>
          <w:w w:val="110"/>
          <w:szCs w:val="22"/>
        </w:rPr>
        <w:t>employees.</w:t>
      </w:r>
    </w:p>
    <w:p w14:paraId="0547971D" w14:textId="77777777" w:rsidR="00A85628" w:rsidRPr="00DD7BD1" w:rsidRDefault="00A85628" w:rsidP="00A85628">
      <w:pPr>
        <w:pStyle w:val="BodyText"/>
        <w:spacing w:after="0" w:line="240" w:lineRule="auto"/>
        <w:ind w:right="-180"/>
        <w:jc w:val="left"/>
        <w:rPr>
          <w:rFonts w:cs="Calibri"/>
          <w:color w:val="auto"/>
          <w:sz w:val="16"/>
          <w:szCs w:val="16"/>
        </w:rPr>
      </w:pPr>
    </w:p>
    <w:p w14:paraId="267CE5F7" w14:textId="77777777" w:rsidR="00A85628" w:rsidRPr="00DD7BD1" w:rsidRDefault="00A85628" w:rsidP="00A85628">
      <w:pPr>
        <w:pStyle w:val="BodyText"/>
        <w:spacing w:after="0" w:line="240" w:lineRule="auto"/>
        <w:ind w:right="-180"/>
        <w:jc w:val="left"/>
        <w:rPr>
          <w:rFonts w:cs="Calibri"/>
          <w:color w:val="auto"/>
          <w:szCs w:val="22"/>
        </w:rPr>
      </w:pPr>
      <w:r w:rsidRPr="00DD7BD1">
        <w:rPr>
          <w:rFonts w:cs="Calibri"/>
          <w:color w:val="auto"/>
          <w:w w:val="110"/>
          <w:szCs w:val="22"/>
        </w:rPr>
        <w:t>Confusion</w:t>
      </w:r>
      <w:r w:rsidRPr="00DD7BD1">
        <w:rPr>
          <w:rFonts w:cs="Calibri"/>
          <w:color w:val="auto"/>
          <w:spacing w:val="-15"/>
          <w:w w:val="110"/>
          <w:szCs w:val="22"/>
        </w:rPr>
        <w:t xml:space="preserve"> </w:t>
      </w:r>
      <w:r w:rsidRPr="00DD7BD1">
        <w:rPr>
          <w:rFonts w:cs="Calibri"/>
          <w:color w:val="auto"/>
          <w:w w:val="110"/>
          <w:szCs w:val="22"/>
        </w:rPr>
        <w:t>remains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determining</w:t>
      </w:r>
      <w:r w:rsidRPr="00DD7BD1">
        <w:rPr>
          <w:rFonts w:cs="Calibri"/>
          <w:color w:val="auto"/>
          <w:spacing w:val="-12"/>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employer</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10</w:t>
      </w:r>
      <w:r w:rsidRPr="00DD7BD1">
        <w:rPr>
          <w:rFonts w:cs="Calibri"/>
          <w:color w:val="auto"/>
          <w:spacing w:val="-12"/>
          <w:w w:val="110"/>
          <w:szCs w:val="22"/>
        </w:rPr>
        <w:t xml:space="preserve"> </w:t>
      </w:r>
      <w:r w:rsidRPr="00DD7BD1">
        <w:rPr>
          <w:rFonts w:cs="Calibri"/>
          <w:color w:val="auto"/>
          <w:w w:val="110"/>
          <w:szCs w:val="22"/>
        </w:rPr>
        <w:t>days</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must merely allow an employee to take the time off (and/or use any accrued paid leave).</w:t>
      </w:r>
    </w:p>
    <w:p w14:paraId="208EF19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spacing w:val="-2"/>
          <w:w w:val="110"/>
        </w:rPr>
        <w:t>Section</w:t>
      </w:r>
      <w:r w:rsidRPr="00DD7BD1">
        <w:rPr>
          <w:rFonts w:ascii="Calibri" w:hAnsi="Calibri" w:cs="Calibri"/>
          <w:spacing w:val="-12"/>
          <w:w w:val="110"/>
        </w:rPr>
        <w:t xml:space="preserve"> </w:t>
      </w:r>
      <w:r w:rsidRPr="00DD7BD1">
        <w:rPr>
          <w:rFonts w:ascii="Calibri" w:hAnsi="Calibri" w:cs="Calibri"/>
          <w:spacing w:val="-2"/>
          <w:w w:val="110"/>
        </w:rPr>
        <w:t>3</w:t>
      </w:r>
      <w:r w:rsidRPr="00DD7BD1">
        <w:rPr>
          <w:rFonts w:ascii="Calibri" w:hAnsi="Calibri" w:cs="Calibri"/>
          <w:spacing w:val="-9"/>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Act</w:t>
      </w:r>
      <w:r w:rsidRPr="00DD7BD1">
        <w:rPr>
          <w:rFonts w:ascii="Calibri" w:hAnsi="Calibri" w:cs="Calibri"/>
          <w:spacing w:val="-13"/>
          <w:w w:val="110"/>
        </w:rPr>
        <w:t xml:space="preserve"> </w:t>
      </w:r>
      <w:r w:rsidRPr="00DD7BD1">
        <w:rPr>
          <w:rFonts w:ascii="Calibri" w:hAnsi="Calibri" w:cs="Calibri"/>
          <w:spacing w:val="-2"/>
          <w:w w:val="110"/>
        </w:rPr>
        <w:t>states</w:t>
      </w:r>
      <w:r w:rsidRPr="00DD7BD1">
        <w:rPr>
          <w:rFonts w:ascii="Calibri" w:hAnsi="Calibri" w:cs="Calibri"/>
          <w:spacing w:val="-9"/>
          <w:w w:val="110"/>
        </w:rPr>
        <w:t xml:space="preserve"> </w:t>
      </w:r>
      <w:r w:rsidRPr="00DD7BD1">
        <w:rPr>
          <w:rFonts w:ascii="Calibri" w:hAnsi="Calibri" w:cs="Calibri"/>
          <w:spacing w:val="-2"/>
          <w:w w:val="110"/>
        </w:rPr>
        <w:t>that</w:t>
      </w:r>
      <w:r w:rsidRPr="00DD7BD1">
        <w:rPr>
          <w:rFonts w:ascii="Calibri" w:hAnsi="Calibri" w:cs="Calibri"/>
          <w:spacing w:val="-10"/>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Act</w:t>
      </w:r>
      <w:r w:rsidRPr="00DD7BD1">
        <w:rPr>
          <w:rFonts w:ascii="Calibri" w:hAnsi="Calibri" w:cs="Calibri"/>
          <w:spacing w:val="-11"/>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“intended</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provide</w:t>
      </w:r>
      <w:r w:rsidRPr="00DD7BD1">
        <w:rPr>
          <w:rFonts w:ascii="Calibri" w:hAnsi="Calibri" w:cs="Calibri"/>
          <w:spacing w:val="-9"/>
          <w:w w:val="110"/>
        </w:rPr>
        <w:t xml:space="preserve"> </w:t>
      </w:r>
      <w:r w:rsidRPr="00DD7BD1">
        <w:rPr>
          <w:rFonts w:ascii="Calibri" w:hAnsi="Calibri" w:cs="Calibri"/>
          <w:spacing w:val="-2"/>
          <w:w w:val="110"/>
        </w:rPr>
        <w:t>time</w:t>
      </w:r>
      <w:r w:rsidRPr="00DD7BD1">
        <w:rPr>
          <w:rFonts w:ascii="Calibri" w:hAnsi="Calibri" w:cs="Calibri"/>
          <w:spacing w:val="-11"/>
          <w:w w:val="110"/>
        </w:rPr>
        <w:t xml:space="preserve"> </w:t>
      </w:r>
      <w:r w:rsidRPr="00DD7BD1">
        <w:rPr>
          <w:rFonts w:ascii="Calibri" w:hAnsi="Calibri" w:cs="Calibri"/>
          <w:spacing w:val="-2"/>
          <w:w w:val="110"/>
        </w:rPr>
        <w:t>off</w:t>
      </w:r>
      <w:r w:rsidRPr="00DD7BD1">
        <w:rPr>
          <w:rFonts w:ascii="Calibri" w:hAnsi="Calibri" w:cs="Calibri"/>
          <w:spacing w:val="-13"/>
          <w:w w:val="110"/>
        </w:rPr>
        <w:t xml:space="preserve"> </w:t>
      </w:r>
      <w:r w:rsidRPr="00DD7BD1">
        <w:rPr>
          <w:rFonts w:ascii="Calibri" w:hAnsi="Calibri" w:cs="Calibri"/>
          <w:spacing w:val="-2"/>
          <w:w w:val="110"/>
        </w:rPr>
        <w:t>with</w:t>
      </w:r>
      <w:r w:rsidRPr="00DD7BD1">
        <w:rPr>
          <w:rFonts w:ascii="Calibri" w:hAnsi="Calibri" w:cs="Calibri"/>
          <w:spacing w:val="-9"/>
          <w:w w:val="110"/>
        </w:rPr>
        <w:t xml:space="preserve"> </w:t>
      </w:r>
      <w:r w:rsidRPr="00DD7BD1">
        <w:rPr>
          <w:rFonts w:ascii="Calibri" w:hAnsi="Calibri" w:cs="Calibri"/>
          <w:spacing w:val="-2"/>
          <w:w w:val="110"/>
        </w:rPr>
        <w:t>pay”</w:t>
      </w:r>
      <w:r w:rsidRPr="00DD7BD1">
        <w:rPr>
          <w:rFonts w:ascii="Calibri" w:hAnsi="Calibri" w:cs="Calibri"/>
          <w:spacing w:val="-13"/>
          <w:w w:val="110"/>
        </w:rPr>
        <w:t xml:space="preserve"> </w:t>
      </w:r>
      <w:r w:rsidRPr="00DD7BD1">
        <w:rPr>
          <w:rFonts w:ascii="Calibri" w:hAnsi="Calibri" w:cs="Calibri"/>
          <w:spacing w:val="-2"/>
          <w:w w:val="110"/>
        </w:rPr>
        <w:t>to</w:t>
      </w:r>
      <w:r w:rsidRPr="00DD7BD1">
        <w:rPr>
          <w:rFonts w:ascii="Calibri" w:hAnsi="Calibri" w:cs="Calibri"/>
          <w:spacing w:val="-11"/>
          <w:w w:val="110"/>
        </w:rPr>
        <w:t xml:space="preserve"> </w:t>
      </w:r>
      <w:r w:rsidRPr="00DD7BD1">
        <w:rPr>
          <w:rFonts w:ascii="Calibri" w:hAnsi="Calibri" w:cs="Calibri"/>
          <w:spacing w:val="-2"/>
          <w:w w:val="110"/>
        </w:rPr>
        <w:t>allow</w:t>
      </w:r>
      <w:r w:rsidRPr="00DD7BD1">
        <w:rPr>
          <w:rFonts w:ascii="Calibri" w:hAnsi="Calibri" w:cs="Calibri"/>
          <w:spacing w:val="-12"/>
          <w:w w:val="110"/>
        </w:rPr>
        <w:t xml:space="preserve"> </w:t>
      </w: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in</w:t>
      </w:r>
      <w:r w:rsidRPr="00DD7BD1">
        <w:rPr>
          <w:rFonts w:ascii="Calibri" w:hAnsi="Calibri" w:cs="Calibri"/>
          <w:spacing w:val="-10"/>
          <w:w w:val="110"/>
        </w:rPr>
        <w:t xml:space="preserve"> </w:t>
      </w:r>
      <w:r w:rsidRPr="00DD7BD1">
        <w:rPr>
          <w:rFonts w:ascii="Calibri" w:hAnsi="Calibri" w:cs="Calibri"/>
          <w:spacing w:val="-5"/>
          <w:w w:val="110"/>
        </w:rPr>
        <w:t xml:space="preserve">the </w:t>
      </w:r>
      <w:r w:rsidRPr="00DD7BD1">
        <w:rPr>
          <w:rFonts w:ascii="Calibri" w:hAnsi="Calibri" w:cs="Calibri"/>
          <w:w w:val="110"/>
        </w:rPr>
        <w:t>state</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donate</w:t>
      </w:r>
      <w:r w:rsidRPr="00DD7BD1">
        <w:rPr>
          <w:rFonts w:ascii="Calibri" w:hAnsi="Calibri" w:cs="Calibri"/>
          <w:spacing w:val="-11"/>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9"/>
          <w:w w:val="110"/>
        </w:rPr>
        <w:t xml:space="preserve"> </w:t>
      </w:r>
      <w:r w:rsidRPr="00DD7BD1">
        <w:rPr>
          <w:rFonts w:ascii="Calibri" w:hAnsi="Calibri" w:cs="Calibri"/>
          <w:w w:val="110"/>
        </w:rPr>
        <w:t>organ.</w:t>
      </w:r>
      <w:r w:rsidRPr="00DD7BD1">
        <w:rPr>
          <w:rFonts w:ascii="Calibri" w:hAnsi="Calibri" w:cs="Calibri"/>
          <w:spacing w:val="-12"/>
          <w:w w:val="110"/>
        </w:rPr>
        <w:t xml:space="preserve"> </w:t>
      </w:r>
      <w:r w:rsidRPr="00DD7BD1">
        <w:rPr>
          <w:rFonts w:ascii="Calibri" w:hAnsi="Calibri" w:cs="Calibri"/>
          <w:w w:val="110"/>
        </w:rPr>
        <w:t>But</w:t>
      </w:r>
      <w:r w:rsidRPr="00DD7BD1">
        <w:rPr>
          <w:rFonts w:ascii="Calibri" w:hAnsi="Calibri" w:cs="Calibri"/>
          <w:spacing w:val="-10"/>
          <w:w w:val="110"/>
        </w:rPr>
        <w:t xml:space="preserve"> </w:t>
      </w:r>
      <w:r w:rsidRPr="00DD7BD1">
        <w:rPr>
          <w:rFonts w:ascii="Calibri" w:hAnsi="Calibri" w:cs="Calibri"/>
          <w:w w:val="110"/>
        </w:rPr>
        <w:t>while</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intent</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1"/>
          <w:w w:val="110"/>
        </w:rPr>
        <w:t xml:space="preserve"> </w:t>
      </w:r>
      <w:r w:rsidRPr="00DD7BD1">
        <w:rPr>
          <w:rFonts w:ascii="Calibri" w:hAnsi="Calibri" w:cs="Calibri"/>
          <w:w w:val="110"/>
        </w:rPr>
        <w:t>stated,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actual</w:t>
      </w:r>
      <w:r w:rsidRPr="00DD7BD1">
        <w:rPr>
          <w:rFonts w:ascii="Calibri" w:hAnsi="Calibri" w:cs="Calibri"/>
          <w:spacing w:val="-11"/>
          <w:w w:val="110"/>
        </w:rPr>
        <w:t xml:space="preserve"> </w:t>
      </w:r>
      <w:r w:rsidRPr="00DD7BD1">
        <w:rPr>
          <w:rFonts w:ascii="Calibri" w:hAnsi="Calibri" w:cs="Calibri"/>
          <w:w w:val="110"/>
        </w:rPr>
        <w:t>language</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2"/>
          <w:w w:val="110"/>
        </w:rPr>
        <w:t xml:space="preserve"> </w:t>
      </w:r>
      <w:r w:rsidRPr="00DD7BD1">
        <w:rPr>
          <w:rFonts w:ascii="Calibri" w:hAnsi="Calibri" w:cs="Calibri"/>
          <w:w w:val="110"/>
        </w:rPr>
        <w:t>Act</w:t>
      </w:r>
      <w:r w:rsidRPr="00DD7BD1">
        <w:rPr>
          <w:rFonts w:ascii="Calibri" w:hAnsi="Calibri" w:cs="Calibri"/>
          <w:spacing w:val="-10"/>
          <w:w w:val="110"/>
        </w:rPr>
        <w:t xml:space="preserve"> </w:t>
      </w:r>
      <w:r w:rsidRPr="00DD7BD1">
        <w:rPr>
          <w:rFonts w:ascii="Calibri" w:hAnsi="Calibri" w:cs="Calibri"/>
          <w:w w:val="110"/>
        </w:rPr>
        <w:t>does not actually accomplish that intent.</w:t>
      </w:r>
    </w:p>
    <w:p w14:paraId="26D65AC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w w:val="110"/>
        </w:rPr>
        <w:t>Section</w:t>
      </w:r>
      <w:r w:rsidRPr="00DD7BD1">
        <w:rPr>
          <w:rFonts w:ascii="Calibri" w:hAnsi="Calibri" w:cs="Calibri"/>
          <w:spacing w:val="-17"/>
          <w:w w:val="110"/>
        </w:rPr>
        <w:t xml:space="preserve"> </w:t>
      </w:r>
      <w:r w:rsidRPr="00DD7BD1">
        <w:rPr>
          <w:rFonts w:ascii="Calibri" w:hAnsi="Calibri" w:cs="Calibri"/>
          <w:w w:val="110"/>
        </w:rPr>
        <w:t>10</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7"/>
          <w:w w:val="110"/>
        </w:rPr>
        <w:t xml:space="preserve"> </w:t>
      </w:r>
      <w:r w:rsidRPr="00DD7BD1">
        <w:rPr>
          <w:rFonts w:ascii="Calibri" w:hAnsi="Calibri" w:cs="Calibri"/>
          <w:w w:val="110"/>
        </w:rPr>
        <w:t>both</w:t>
      </w:r>
      <w:r w:rsidRPr="00DD7BD1">
        <w:rPr>
          <w:rFonts w:ascii="Calibri" w:hAnsi="Calibri" w:cs="Calibri"/>
          <w:spacing w:val="-16"/>
          <w:w w:val="110"/>
        </w:rPr>
        <w:t xml:space="preserve"> </w:t>
      </w:r>
      <w:r w:rsidRPr="00DD7BD1">
        <w:rPr>
          <w:rFonts w:ascii="Calibri" w:hAnsi="Calibri" w:cs="Calibri"/>
          <w:w w:val="110"/>
        </w:rPr>
        <w:t>in</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original</w:t>
      </w:r>
      <w:r w:rsidRPr="00DD7BD1">
        <w:rPr>
          <w:rFonts w:ascii="Calibri" w:hAnsi="Calibri" w:cs="Calibri"/>
          <w:spacing w:val="-17"/>
          <w:w w:val="110"/>
        </w:rPr>
        <w:t xml:space="preserve"> </w:t>
      </w:r>
      <w:r w:rsidRPr="00DD7BD1">
        <w:rPr>
          <w:rFonts w:ascii="Calibri" w:hAnsi="Calibri" w:cs="Calibri"/>
          <w:w w:val="110"/>
        </w:rPr>
        <w:t>(2023)</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6"/>
          <w:w w:val="110"/>
        </w:rPr>
        <w:t xml:space="preserve"> </w:t>
      </w:r>
      <w:r w:rsidRPr="00DD7BD1">
        <w:rPr>
          <w:rFonts w:ascii="Calibri" w:hAnsi="Calibri" w:cs="Calibri"/>
          <w:w w:val="110"/>
        </w:rPr>
        <w:t>amended</w:t>
      </w:r>
      <w:r w:rsidRPr="00DD7BD1">
        <w:rPr>
          <w:rFonts w:ascii="Calibri" w:hAnsi="Calibri" w:cs="Calibri"/>
          <w:spacing w:val="-17"/>
          <w:w w:val="110"/>
        </w:rPr>
        <w:t xml:space="preserve"> </w:t>
      </w:r>
      <w:r w:rsidRPr="00DD7BD1">
        <w:rPr>
          <w:rFonts w:ascii="Calibri" w:hAnsi="Calibri" w:cs="Calibri"/>
          <w:w w:val="110"/>
        </w:rPr>
        <w:t>versions,</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entitled</w:t>
      </w:r>
      <w:r w:rsidRPr="00DD7BD1">
        <w:rPr>
          <w:rFonts w:ascii="Calibri" w:hAnsi="Calibri" w:cs="Calibri"/>
          <w:spacing w:val="-17"/>
          <w:w w:val="110"/>
        </w:rPr>
        <w:t xml:space="preserve"> </w:t>
      </w:r>
      <w:r w:rsidRPr="00DD7BD1">
        <w:rPr>
          <w:rFonts w:ascii="Calibri" w:hAnsi="Calibri" w:cs="Calibri"/>
          <w:w w:val="110"/>
        </w:rPr>
        <w:t>“</w:t>
      </w:r>
      <w:r w:rsidRPr="00DD7BD1">
        <w:rPr>
          <w:rFonts w:ascii="Calibri" w:hAnsi="Calibri" w:cs="Calibri"/>
          <w:b/>
          <w:w w:val="110"/>
        </w:rPr>
        <w:t>Paid</w:t>
      </w:r>
      <w:r w:rsidRPr="00DD7BD1">
        <w:rPr>
          <w:rFonts w:ascii="Calibri" w:hAnsi="Calibri" w:cs="Calibri"/>
          <w:b/>
          <w:spacing w:val="-16"/>
          <w:w w:val="110"/>
        </w:rPr>
        <w:t xml:space="preserve"> </w:t>
      </w:r>
      <w:r w:rsidRPr="00DD7BD1">
        <w:rPr>
          <w:rFonts w:ascii="Calibri" w:hAnsi="Calibri" w:cs="Calibri"/>
          <w:b/>
          <w:w w:val="110"/>
        </w:rPr>
        <w:t>leave</w:t>
      </w:r>
      <w:r w:rsidRPr="00DD7BD1">
        <w:rPr>
          <w:rFonts w:ascii="Calibri" w:hAnsi="Calibri" w:cs="Calibri"/>
          <w:b/>
          <w:spacing w:val="-17"/>
          <w:w w:val="110"/>
        </w:rPr>
        <w:t xml:space="preserve"> </w:t>
      </w:r>
      <w:r w:rsidRPr="00DD7BD1">
        <w:rPr>
          <w:rFonts w:ascii="Calibri" w:hAnsi="Calibri" w:cs="Calibri"/>
          <w:b/>
          <w:w w:val="110"/>
        </w:rPr>
        <w:t>for</w:t>
      </w:r>
      <w:r w:rsidRPr="00DD7BD1">
        <w:rPr>
          <w:rFonts w:ascii="Calibri" w:hAnsi="Calibri" w:cs="Calibri"/>
          <w:b/>
          <w:spacing w:val="-17"/>
          <w:w w:val="110"/>
        </w:rPr>
        <w:t xml:space="preserve"> </w:t>
      </w:r>
      <w:r w:rsidRPr="00DD7BD1">
        <w:rPr>
          <w:rFonts w:ascii="Calibri" w:hAnsi="Calibri" w:cs="Calibri"/>
          <w:b/>
          <w:w w:val="110"/>
        </w:rPr>
        <w:t xml:space="preserve">blood </w:t>
      </w:r>
      <w:r w:rsidRPr="00DD7BD1">
        <w:rPr>
          <w:rFonts w:ascii="Calibri" w:hAnsi="Calibri" w:cs="Calibri"/>
          <w:b/>
        </w:rPr>
        <w:t>donation;</w:t>
      </w:r>
      <w:r w:rsidRPr="00DD7BD1">
        <w:rPr>
          <w:rFonts w:ascii="Calibri" w:hAnsi="Calibri" w:cs="Calibri"/>
          <w:b/>
          <w:spacing w:val="40"/>
        </w:rPr>
        <w:t xml:space="preserve"> </w:t>
      </w:r>
      <w:r w:rsidRPr="00DD7BD1">
        <w:rPr>
          <w:rFonts w:ascii="Calibri" w:hAnsi="Calibri" w:cs="Calibri"/>
          <w:b/>
        </w:rPr>
        <w:t>administration</w:t>
      </w:r>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40"/>
        </w:rPr>
        <w:t xml:space="preserve"> </w:t>
      </w:r>
      <w:r w:rsidRPr="00DD7BD1">
        <w:rPr>
          <w:rFonts w:ascii="Calibri" w:hAnsi="Calibri" w:cs="Calibri"/>
        </w:rPr>
        <w:t>no</w:t>
      </w:r>
      <w:r w:rsidRPr="00DD7BD1">
        <w:rPr>
          <w:rFonts w:ascii="Calibri" w:hAnsi="Calibri" w:cs="Calibri"/>
          <w:spacing w:val="40"/>
        </w:rPr>
        <w:t xml:space="preserve"> </w:t>
      </w:r>
      <w:r w:rsidRPr="00DD7BD1">
        <w:rPr>
          <w:rFonts w:ascii="Calibri" w:hAnsi="Calibri" w:cs="Calibri"/>
        </w:rPr>
        <w:t>reference</w:t>
      </w:r>
      <w:r w:rsidRPr="00DD7BD1">
        <w:rPr>
          <w:rFonts w:ascii="Calibri" w:hAnsi="Calibri" w:cs="Calibri"/>
          <w:spacing w:val="36"/>
        </w:rPr>
        <w:t xml:space="preserve"> </w:t>
      </w:r>
      <w:r w:rsidRPr="00DD7BD1">
        <w:rPr>
          <w:rFonts w:ascii="Calibri" w:hAnsi="Calibri" w:cs="Calibri"/>
        </w:rPr>
        <w:t>to</w:t>
      </w:r>
      <w:r w:rsidRPr="00DD7BD1">
        <w:rPr>
          <w:rFonts w:ascii="Calibri" w:hAnsi="Calibri" w:cs="Calibri"/>
          <w:spacing w:val="38"/>
        </w:rPr>
        <w:t xml:space="preserve"> </w:t>
      </w:r>
      <w:r w:rsidRPr="00DD7BD1">
        <w:rPr>
          <w:rFonts w:ascii="Calibri" w:hAnsi="Calibri" w:cs="Calibri"/>
        </w:rPr>
        <w:t>organ</w:t>
      </w:r>
      <w:r w:rsidRPr="00DD7BD1">
        <w:rPr>
          <w:rFonts w:ascii="Calibri" w:hAnsi="Calibri" w:cs="Calibri"/>
          <w:spacing w:val="38"/>
        </w:rPr>
        <w:t xml:space="preserve"> </w:t>
      </w:r>
      <w:r w:rsidRPr="00DD7BD1">
        <w:rPr>
          <w:rFonts w:ascii="Calibri" w:hAnsi="Calibri" w:cs="Calibri"/>
        </w:rPr>
        <w:t>donation.</w:t>
      </w:r>
      <w:r w:rsidRPr="00DD7BD1">
        <w:rPr>
          <w:rFonts w:ascii="Calibri" w:hAnsi="Calibri" w:cs="Calibri"/>
          <w:spacing w:val="40"/>
        </w:rPr>
        <w:t xml:space="preserve"> </w:t>
      </w:r>
      <w:r w:rsidRPr="00DD7BD1">
        <w:rPr>
          <w:rFonts w:ascii="Calibri" w:hAnsi="Calibri" w:cs="Calibri"/>
        </w:rPr>
        <w:t>Subsection</w:t>
      </w:r>
      <w:r w:rsidRPr="00DD7BD1">
        <w:rPr>
          <w:rFonts w:ascii="Calibri" w:hAnsi="Calibri" w:cs="Calibri"/>
          <w:spacing w:val="40"/>
        </w:rPr>
        <w:t xml:space="preserve"> </w:t>
      </w:r>
      <w:r w:rsidRPr="00DD7BD1">
        <w:rPr>
          <w:rFonts w:ascii="Calibri" w:hAnsi="Calibri" w:cs="Calibri"/>
        </w:rPr>
        <w:t>(a)</w:t>
      </w:r>
      <w:r w:rsidRPr="00DD7BD1">
        <w:rPr>
          <w:rFonts w:ascii="Calibri" w:hAnsi="Calibri" w:cs="Calibri"/>
          <w:spacing w:val="34"/>
        </w:rPr>
        <w:t xml:space="preserve"> </w:t>
      </w:r>
      <w:r w:rsidRPr="00DD7BD1">
        <w:rPr>
          <w:rFonts w:ascii="Calibri" w:hAnsi="Calibri" w:cs="Calibri"/>
        </w:rPr>
        <w:t>then</w:t>
      </w:r>
      <w:r w:rsidRPr="00DD7BD1">
        <w:rPr>
          <w:rFonts w:ascii="Calibri" w:hAnsi="Calibri" w:cs="Calibri"/>
          <w:spacing w:val="38"/>
        </w:rPr>
        <w:t xml:space="preserve"> </w:t>
      </w:r>
      <w:r w:rsidRPr="00DD7BD1">
        <w:rPr>
          <w:rFonts w:ascii="Calibri" w:hAnsi="Calibri" w:cs="Calibri"/>
        </w:rPr>
        <w:t>states</w:t>
      </w:r>
      <w:r w:rsidRPr="00DD7BD1">
        <w:rPr>
          <w:rFonts w:ascii="Calibri" w:hAnsi="Calibri" w:cs="Calibri"/>
          <w:spacing w:val="38"/>
        </w:rPr>
        <w:t xml:space="preserve"> </w:t>
      </w:r>
      <w:r w:rsidRPr="00DD7BD1">
        <w:rPr>
          <w:rFonts w:ascii="Calibri" w:hAnsi="Calibri" w:cs="Calibri"/>
        </w:rPr>
        <w:t>“</w:t>
      </w:r>
      <w:r w:rsidRPr="00DD7BD1">
        <w:rPr>
          <w:rFonts w:ascii="Calibri" w:hAnsi="Calibri" w:cs="Calibri"/>
          <w:i/>
        </w:rPr>
        <w:t>On</w:t>
      </w:r>
      <w:r w:rsidRPr="00DD7BD1">
        <w:rPr>
          <w:rFonts w:ascii="Calibri" w:hAnsi="Calibri" w:cs="Calibri"/>
          <w:i/>
          <w:spacing w:val="40"/>
        </w:rPr>
        <w:t xml:space="preserve"> </w:t>
      </w:r>
      <w:r w:rsidRPr="00DD7BD1">
        <w:rPr>
          <w:rFonts w:ascii="Calibri" w:hAnsi="Calibri" w:cs="Calibri"/>
          <w:i/>
        </w:rPr>
        <w:t>request,</w:t>
      </w:r>
      <w:r w:rsidRPr="00DD7BD1">
        <w:rPr>
          <w:rFonts w:ascii="Calibri" w:hAnsi="Calibri" w:cs="Calibri"/>
          <w:i/>
          <w:spacing w:val="40"/>
        </w:rPr>
        <w:t xml:space="preserve"> </w:t>
      </w:r>
      <w:r w:rsidRPr="00DD7BD1">
        <w:rPr>
          <w:rFonts w:ascii="Calibri" w:hAnsi="Calibri" w:cs="Calibri"/>
          <w:i/>
        </w:rPr>
        <w:t xml:space="preserve">a </w:t>
      </w:r>
      <w:r w:rsidRPr="00DD7BD1">
        <w:rPr>
          <w:rFonts w:ascii="Calibri" w:hAnsi="Calibri" w:cs="Calibri"/>
          <w:i/>
          <w:w w:val="110"/>
        </w:rPr>
        <w:t>participating</w:t>
      </w:r>
      <w:r w:rsidRPr="00DD7BD1">
        <w:rPr>
          <w:rFonts w:ascii="Calibri" w:hAnsi="Calibri" w:cs="Calibri"/>
          <w:i/>
          <w:spacing w:val="27"/>
          <w:w w:val="110"/>
        </w:rPr>
        <w:t xml:space="preserve"> </w:t>
      </w:r>
      <w:r w:rsidRPr="00DD7BD1">
        <w:rPr>
          <w:rFonts w:ascii="Calibri" w:hAnsi="Calibri" w:cs="Calibri"/>
          <w:i/>
          <w:w w:val="110"/>
        </w:rPr>
        <w:t>employee</w:t>
      </w:r>
      <w:r w:rsidRPr="00DD7BD1">
        <w:rPr>
          <w:rFonts w:ascii="Calibri" w:hAnsi="Calibri" w:cs="Calibri"/>
          <w:i/>
          <w:spacing w:val="27"/>
          <w:w w:val="110"/>
        </w:rPr>
        <w:t xml:space="preserve"> </w:t>
      </w:r>
      <w:r w:rsidRPr="00DD7BD1">
        <w:rPr>
          <w:rFonts w:ascii="Calibri" w:hAnsi="Calibri" w:cs="Calibri"/>
          <w:i/>
          <w:w w:val="110"/>
        </w:rPr>
        <w:t>subject</w:t>
      </w:r>
      <w:r w:rsidRPr="00DD7BD1">
        <w:rPr>
          <w:rFonts w:ascii="Calibri" w:hAnsi="Calibri" w:cs="Calibri"/>
          <w:i/>
          <w:spacing w:val="29"/>
          <w:w w:val="110"/>
        </w:rPr>
        <w:t xml:space="preserve"> </w:t>
      </w:r>
      <w:r w:rsidRPr="00DD7BD1">
        <w:rPr>
          <w:rFonts w:ascii="Calibri" w:hAnsi="Calibri" w:cs="Calibri"/>
          <w:i/>
          <w:w w:val="110"/>
        </w:rPr>
        <w:t>to</w:t>
      </w:r>
      <w:r w:rsidRPr="00DD7BD1">
        <w:rPr>
          <w:rFonts w:ascii="Calibri" w:hAnsi="Calibri" w:cs="Calibri"/>
          <w:i/>
          <w:spacing w:val="27"/>
          <w:w w:val="110"/>
        </w:rPr>
        <w:t xml:space="preserve"> </w:t>
      </w:r>
      <w:r w:rsidRPr="00DD7BD1">
        <w:rPr>
          <w:rFonts w:ascii="Calibri" w:hAnsi="Calibri" w:cs="Calibri"/>
          <w:i/>
          <w:w w:val="110"/>
        </w:rPr>
        <w:t>this</w:t>
      </w:r>
      <w:r w:rsidRPr="00DD7BD1">
        <w:rPr>
          <w:rFonts w:ascii="Calibri" w:hAnsi="Calibri" w:cs="Calibri"/>
          <w:i/>
          <w:spacing w:val="27"/>
          <w:w w:val="110"/>
        </w:rPr>
        <w:t xml:space="preserve"> </w:t>
      </w:r>
      <w:r w:rsidRPr="00DD7BD1">
        <w:rPr>
          <w:rFonts w:ascii="Calibri" w:hAnsi="Calibri" w:cs="Calibri"/>
          <w:i/>
          <w:w w:val="110"/>
        </w:rPr>
        <w:t>Act</w:t>
      </w:r>
      <w:r w:rsidRPr="00DD7BD1">
        <w:rPr>
          <w:rFonts w:ascii="Calibri" w:hAnsi="Calibri" w:cs="Calibri"/>
          <w:i/>
          <w:spacing w:val="29"/>
          <w:w w:val="110"/>
        </w:rPr>
        <w:t xml:space="preserve"> </w:t>
      </w:r>
      <w:r w:rsidRPr="00DD7BD1">
        <w:rPr>
          <w:rFonts w:ascii="Calibri" w:hAnsi="Calibri" w:cs="Calibri"/>
          <w:i/>
          <w:w w:val="110"/>
        </w:rPr>
        <w:t>may</w:t>
      </w:r>
      <w:r w:rsidRPr="00DD7BD1">
        <w:rPr>
          <w:rFonts w:ascii="Calibri" w:hAnsi="Calibri" w:cs="Calibri"/>
          <w:i/>
          <w:spacing w:val="27"/>
          <w:w w:val="110"/>
        </w:rPr>
        <w:t xml:space="preserve"> </w:t>
      </w:r>
      <w:r w:rsidRPr="00DD7BD1">
        <w:rPr>
          <w:rFonts w:ascii="Calibri" w:hAnsi="Calibri" w:cs="Calibri"/>
          <w:i/>
          <w:w w:val="110"/>
        </w:rPr>
        <w:t>be</w:t>
      </w:r>
      <w:r w:rsidRPr="00DD7BD1">
        <w:rPr>
          <w:rFonts w:ascii="Calibri" w:hAnsi="Calibri" w:cs="Calibri"/>
          <w:i/>
          <w:spacing w:val="27"/>
          <w:w w:val="110"/>
        </w:rPr>
        <w:t xml:space="preserve"> </w:t>
      </w:r>
      <w:r w:rsidRPr="00DD7BD1">
        <w:rPr>
          <w:rFonts w:ascii="Calibri" w:hAnsi="Calibri" w:cs="Calibri"/>
          <w:i/>
          <w:w w:val="110"/>
        </w:rPr>
        <w:t>entitled</w:t>
      </w:r>
      <w:r w:rsidRPr="00DD7BD1">
        <w:rPr>
          <w:rFonts w:ascii="Calibri" w:hAnsi="Calibri" w:cs="Calibri"/>
          <w:i/>
          <w:spacing w:val="27"/>
          <w:w w:val="110"/>
        </w:rPr>
        <w:t xml:space="preserve"> </w:t>
      </w:r>
      <w:r w:rsidRPr="00DD7BD1">
        <w:rPr>
          <w:rFonts w:ascii="Calibri" w:hAnsi="Calibri" w:cs="Calibri"/>
          <w:i/>
          <w:w w:val="110"/>
        </w:rPr>
        <w:t>to leave with pay to</w:t>
      </w:r>
      <w:r w:rsidRPr="00DD7BD1">
        <w:rPr>
          <w:rFonts w:ascii="Calibri" w:hAnsi="Calibri" w:cs="Calibri"/>
          <w:i/>
          <w:spacing w:val="27"/>
          <w:w w:val="110"/>
        </w:rPr>
        <w:t xml:space="preserve"> </w:t>
      </w:r>
      <w:r w:rsidRPr="00DD7BD1">
        <w:rPr>
          <w:rFonts w:ascii="Calibri" w:hAnsi="Calibri" w:cs="Calibri"/>
          <w:i/>
          <w:w w:val="110"/>
        </w:rPr>
        <w:t>donate blood</w:t>
      </w:r>
      <w:r w:rsidRPr="00DD7BD1">
        <w:rPr>
          <w:rFonts w:ascii="Calibri" w:hAnsi="Calibri" w:cs="Calibri"/>
          <w:i/>
          <w:spacing w:val="27"/>
          <w:w w:val="110"/>
        </w:rPr>
        <w:t xml:space="preserve"> </w:t>
      </w:r>
      <w:r w:rsidRPr="00DD7BD1">
        <w:rPr>
          <w:rFonts w:ascii="Calibri" w:hAnsi="Calibri" w:cs="Calibri"/>
          <w:i/>
          <w:w w:val="110"/>
        </w:rPr>
        <w:t>or an organ.</w:t>
      </w:r>
      <w:r w:rsidRPr="00DD7BD1">
        <w:rPr>
          <w:rFonts w:ascii="Calibri" w:hAnsi="Calibri" w:cs="Calibri"/>
          <w:w w:val="110"/>
        </w:rPr>
        <w:t>” Subsection</w:t>
      </w:r>
      <w:r w:rsidRPr="00DD7BD1">
        <w:rPr>
          <w:rFonts w:ascii="Calibri" w:hAnsi="Calibri" w:cs="Calibri"/>
          <w:spacing w:val="-5"/>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does</w:t>
      </w:r>
      <w:r w:rsidRPr="00DD7BD1">
        <w:rPr>
          <w:rFonts w:ascii="Calibri" w:hAnsi="Calibri" w:cs="Calibri"/>
          <w:spacing w:val="-4"/>
          <w:w w:val="110"/>
        </w:rPr>
        <w:t xml:space="preserve"> </w:t>
      </w:r>
      <w:r w:rsidRPr="00DD7BD1">
        <w:rPr>
          <w:rFonts w:ascii="Calibri" w:hAnsi="Calibri" w:cs="Calibri"/>
          <w:w w:val="110"/>
        </w:rPr>
        <w:t>not</w:t>
      </w:r>
      <w:r w:rsidRPr="00DD7BD1">
        <w:rPr>
          <w:rFonts w:ascii="Calibri" w:hAnsi="Calibri" w:cs="Calibri"/>
          <w:spacing w:val="-9"/>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leave</w:t>
      </w:r>
      <w:r w:rsidRPr="00DD7BD1">
        <w:rPr>
          <w:rFonts w:ascii="Calibri" w:hAnsi="Calibri" w:cs="Calibri"/>
          <w:spacing w:val="-1"/>
          <w:w w:val="110"/>
        </w:rPr>
        <w:t xml:space="preserve"> </w:t>
      </w:r>
      <w:r w:rsidRPr="00DD7BD1">
        <w:rPr>
          <w:rFonts w:ascii="Calibri" w:hAnsi="Calibri" w:cs="Calibri"/>
          <w:w w:val="110"/>
        </w:rPr>
        <w:t>must</w:t>
      </w:r>
      <w:r w:rsidRPr="00DD7BD1">
        <w:rPr>
          <w:rFonts w:ascii="Calibri" w:hAnsi="Calibri" w:cs="Calibri"/>
          <w:spacing w:val="-3"/>
          <w:w w:val="110"/>
        </w:rPr>
        <w:t xml:space="preserve"> </w:t>
      </w:r>
      <w:r w:rsidRPr="00DD7BD1">
        <w:rPr>
          <w:rFonts w:ascii="Calibri" w:hAnsi="Calibri" w:cs="Calibri"/>
          <w:w w:val="110"/>
        </w:rPr>
        <w:t>be</w:t>
      </w:r>
      <w:r w:rsidRPr="00DD7BD1">
        <w:rPr>
          <w:rFonts w:ascii="Calibri" w:hAnsi="Calibri" w:cs="Calibri"/>
          <w:spacing w:val="-4"/>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4"/>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an</w:t>
      </w:r>
      <w:r w:rsidRPr="00DD7BD1">
        <w:rPr>
          <w:rFonts w:ascii="Calibri" w:hAnsi="Calibri" w:cs="Calibri"/>
          <w:spacing w:val="-4"/>
          <w:w w:val="110"/>
        </w:rPr>
        <w:t xml:space="preserve"> </w:t>
      </w:r>
      <w:r w:rsidRPr="00DD7BD1">
        <w:rPr>
          <w:rFonts w:ascii="Calibri" w:hAnsi="Calibri" w:cs="Calibri"/>
          <w:w w:val="110"/>
        </w:rPr>
        <w:t>employee</w:t>
      </w:r>
      <w:r w:rsidRPr="00DD7BD1">
        <w:rPr>
          <w:rFonts w:ascii="Calibri" w:hAnsi="Calibri" w:cs="Calibri"/>
          <w:spacing w:val="-4"/>
          <w:w w:val="110"/>
        </w:rPr>
        <w:t xml:space="preserve"> </w:t>
      </w:r>
      <w:r w:rsidRPr="00DD7BD1">
        <w:rPr>
          <w:rFonts w:ascii="Calibri" w:hAnsi="Calibri" w:cs="Calibri"/>
          <w:w w:val="110"/>
        </w:rPr>
        <w:t>“may”</w:t>
      </w:r>
      <w:r w:rsidRPr="00DD7BD1">
        <w:rPr>
          <w:rFonts w:ascii="Calibri" w:hAnsi="Calibri" w:cs="Calibri"/>
          <w:spacing w:val="-4"/>
          <w:w w:val="110"/>
        </w:rPr>
        <w:t xml:space="preserve"> </w:t>
      </w:r>
      <w:r w:rsidRPr="00DD7BD1">
        <w:rPr>
          <w:rFonts w:ascii="Calibri" w:hAnsi="Calibri" w:cs="Calibri"/>
          <w:w w:val="110"/>
        </w:rPr>
        <w:t>be</w:t>
      </w:r>
      <w:r w:rsidRPr="00DD7BD1">
        <w:rPr>
          <w:rFonts w:ascii="Calibri" w:hAnsi="Calibri" w:cs="Calibri"/>
          <w:spacing w:val="-5"/>
          <w:w w:val="110"/>
        </w:rPr>
        <w:t xml:space="preserve"> </w:t>
      </w:r>
      <w:r w:rsidRPr="00DD7BD1">
        <w:rPr>
          <w:rFonts w:ascii="Calibri" w:hAnsi="Calibri" w:cs="Calibri"/>
          <w:w w:val="110"/>
        </w:rPr>
        <w:t>entitled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“leave with</w:t>
      </w:r>
      <w:r w:rsidRPr="00DD7BD1">
        <w:rPr>
          <w:rFonts w:ascii="Calibri" w:hAnsi="Calibri" w:cs="Calibri"/>
          <w:spacing w:val="-9"/>
          <w:w w:val="110"/>
        </w:rPr>
        <w:t xml:space="preserve"> </w:t>
      </w:r>
      <w:r w:rsidRPr="00DD7BD1">
        <w:rPr>
          <w:rFonts w:ascii="Calibri" w:hAnsi="Calibri" w:cs="Calibri"/>
          <w:w w:val="110"/>
        </w:rPr>
        <w:t>pay”</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organ</w:t>
      </w:r>
      <w:r w:rsidRPr="00DD7BD1">
        <w:rPr>
          <w:rFonts w:ascii="Calibri" w:hAnsi="Calibri" w:cs="Calibri"/>
          <w:spacing w:val="-11"/>
          <w:w w:val="110"/>
        </w:rPr>
        <w:t xml:space="preserve"> </w:t>
      </w:r>
      <w:r w:rsidRPr="00DD7BD1">
        <w:rPr>
          <w:rFonts w:ascii="Calibri" w:hAnsi="Calibri" w:cs="Calibri"/>
          <w:w w:val="110"/>
        </w:rPr>
        <w:t>donation.</w:t>
      </w:r>
      <w:r w:rsidRPr="00DD7BD1">
        <w:rPr>
          <w:rFonts w:ascii="Calibri" w:hAnsi="Calibri" w:cs="Calibri"/>
          <w:spacing w:val="-10"/>
          <w:w w:val="110"/>
        </w:rPr>
        <w:t xml:space="preserve"> </w:t>
      </w:r>
      <w:r w:rsidRPr="00DD7BD1">
        <w:rPr>
          <w:rFonts w:ascii="Calibri" w:hAnsi="Calibri" w:cs="Calibri"/>
          <w:w w:val="110"/>
        </w:rPr>
        <w:t>Subsection</w:t>
      </w:r>
      <w:r w:rsidRPr="00DD7BD1">
        <w:rPr>
          <w:rFonts w:ascii="Calibri" w:hAnsi="Calibri" w:cs="Calibri"/>
          <w:spacing w:val="-9"/>
          <w:w w:val="110"/>
        </w:rPr>
        <w:t xml:space="preserve"> </w:t>
      </w:r>
      <w:r w:rsidRPr="00DD7BD1">
        <w:rPr>
          <w:rFonts w:ascii="Calibri" w:hAnsi="Calibri" w:cs="Calibri"/>
          <w:w w:val="110"/>
        </w:rPr>
        <w:t>(b)</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2"/>
          <w:w w:val="110"/>
        </w:rPr>
        <w:t xml:space="preserve"> </w:t>
      </w:r>
      <w:r w:rsidRPr="00DD7BD1">
        <w:rPr>
          <w:rFonts w:ascii="Calibri" w:hAnsi="Calibri" w:cs="Calibri"/>
          <w:w w:val="110"/>
        </w:rPr>
        <w:t>both</w:t>
      </w:r>
      <w:r w:rsidRPr="00DD7BD1">
        <w:rPr>
          <w:rFonts w:ascii="Calibri" w:hAnsi="Calibri" w:cs="Calibri"/>
          <w:spacing w:val="-11"/>
          <w:w w:val="110"/>
        </w:rPr>
        <w:t xml:space="preserve"> </w:t>
      </w:r>
      <w:r w:rsidRPr="00DD7BD1">
        <w:rPr>
          <w:rFonts w:ascii="Calibri" w:hAnsi="Calibri" w:cs="Calibri"/>
          <w:w w:val="110"/>
        </w:rPr>
        <w:t>versions</w:t>
      </w:r>
      <w:r w:rsidRPr="00DD7BD1">
        <w:rPr>
          <w:rFonts w:ascii="Calibri" w:hAnsi="Calibri" w:cs="Calibri"/>
          <w:spacing w:val="-9"/>
          <w:w w:val="110"/>
        </w:rPr>
        <w:t xml:space="preserve"> </w:t>
      </w:r>
      <w:r w:rsidRPr="00DD7BD1">
        <w:rPr>
          <w:rFonts w:ascii="Calibri" w:hAnsi="Calibri" w:cs="Calibri"/>
          <w:w w:val="110"/>
        </w:rPr>
        <w:t>then</w:t>
      </w:r>
      <w:r w:rsidRPr="00DD7BD1">
        <w:rPr>
          <w:rFonts w:ascii="Calibri" w:hAnsi="Calibri" w:cs="Calibri"/>
          <w:spacing w:val="-9"/>
          <w:w w:val="110"/>
        </w:rPr>
        <w:t xml:space="preserve"> </w:t>
      </w:r>
      <w:r w:rsidRPr="00DD7BD1">
        <w:rPr>
          <w:rFonts w:ascii="Calibri" w:hAnsi="Calibri" w:cs="Calibri"/>
          <w:w w:val="110"/>
        </w:rPr>
        <w:t>references</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11"/>
          <w:w w:val="110"/>
        </w:rPr>
        <w:t xml:space="preserve"> </w:t>
      </w:r>
      <w:r w:rsidRPr="00DD7BD1">
        <w:rPr>
          <w:rFonts w:ascii="Calibri" w:hAnsi="Calibri" w:cs="Calibri"/>
          <w:w w:val="110"/>
        </w:rPr>
        <w:t>hour</w:t>
      </w:r>
      <w:r w:rsidRPr="00DD7BD1">
        <w:rPr>
          <w:rFonts w:ascii="Calibri" w:hAnsi="Calibri" w:cs="Calibri"/>
          <w:spacing w:val="-10"/>
          <w:w w:val="110"/>
        </w:rPr>
        <w:t xml:space="preserve"> </w:t>
      </w:r>
      <w:r w:rsidRPr="00DD7BD1">
        <w:rPr>
          <w:rFonts w:ascii="Calibri" w:hAnsi="Calibri" w:cs="Calibri"/>
          <w:w w:val="110"/>
        </w:rPr>
        <w:t>of leave</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blood</w:t>
      </w:r>
      <w:r w:rsidRPr="00DD7BD1">
        <w:rPr>
          <w:rFonts w:ascii="Calibri" w:hAnsi="Calibri" w:cs="Calibri"/>
          <w:spacing w:val="-16"/>
          <w:w w:val="110"/>
        </w:rPr>
        <w:t xml:space="preserve"> </w:t>
      </w:r>
      <w:r w:rsidRPr="00DD7BD1">
        <w:rPr>
          <w:rFonts w:ascii="Calibri" w:hAnsi="Calibri" w:cs="Calibri"/>
          <w:w w:val="110"/>
        </w:rPr>
        <w:t>donation</w:t>
      </w:r>
      <w:r w:rsidRPr="00DD7BD1">
        <w:rPr>
          <w:rFonts w:ascii="Calibri" w:hAnsi="Calibri" w:cs="Calibri"/>
          <w:spacing w:val="-16"/>
          <w:w w:val="110"/>
        </w:rPr>
        <w:t xml:space="preserve"> </w:t>
      </w:r>
      <w:r w:rsidRPr="00DD7BD1">
        <w:rPr>
          <w:rFonts w:ascii="Calibri" w:hAnsi="Calibri" w:cs="Calibri"/>
          <w:w w:val="110"/>
        </w:rPr>
        <w:t>up</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every</w:t>
      </w:r>
      <w:r w:rsidRPr="00DD7BD1">
        <w:rPr>
          <w:rFonts w:ascii="Calibri" w:hAnsi="Calibri" w:cs="Calibri"/>
          <w:spacing w:val="-16"/>
          <w:w w:val="110"/>
        </w:rPr>
        <w:t xml:space="preserve"> </w:t>
      </w:r>
      <w:r w:rsidRPr="00DD7BD1">
        <w:rPr>
          <w:rFonts w:ascii="Calibri" w:hAnsi="Calibri" w:cs="Calibri"/>
          <w:w w:val="110"/>
        </w:rPr>
        <w:t>56</w:t>
      </w:r>
      <w:r w:rsidRPr="00DD7BD1">
        <w:rPr>
          <w:rFonts w:ascii="Calibri" w:hAnsi="Calibri" w:cs="Calibri"/>
          <w:spacing w:val="-17"/>
          <w:w w:val="110"/>
        </w:rPr>
        <w:t xml:space="preserve"> </w:t>
      </w:r>
      <w:r w:rsidRPr="00DD7BD1">
        <w:rPr>
          <w:rFonts w:ascii="Calibri" w:hAnsi="Calibri" w:cs="Calibri"/>
          <w:w w:val="110"/>
        </w:rPr>
        <w:t>days,</w:t>
      </w:r>
      <w:r w:rsidRPr="00DD7BD1">
        <w:rPr>
          <w:rFonts w:ascii="Calibri" w:hAnsi="Calibri" w:cs="Calibri"/>
          <w:spacing w:val="-12"/>
          <w:w w:val="110"/>
        </w:rPr>
        <w:t xml:space="preserve"> </w:t>
      </w:r>
      <w:r w:rsidRPr="00DD7BD1">
        <w:rPr>
          <w:rFonts w:ascii="Calibri" w:hAnsi="Calibri" w:cs="Calibri"/>
          <w:w w:val="110"/>
        </w:rPr>
        <w:t>still</w:t>
      </w:r>
      <w:r w:rsidRPr="00DD7BD1">
        <w:rPr>
          <w:rFonts w:ascii="Calibri" w:hAnsi="Calibri" w:cs="Calibri"/>
          <w:spacing w:val="-17"/>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w:t>
      </w:r>
      <w:r w:rsidRPr="00DD7BD1">
        <w:rPr>
          <w:rFonts w:ascii="Calibri" w:hAnsi="Calibri" w:cs="Calibri"/>
          <w:spacing w:val="-14"/>
          <w:w w:val="110"/>
        </w:rPr>
        <w:t xml:space="preserve"> </w:t>
      </w:r>
      <w:r w:rsidRPr="00DD7BD1">
        <w:rPr>
          <w:rFonts w:ascii="Calibri" w:hAnsi="Calibri" w:cs="Calibri"/>
          <w:w w:val="110"/>
        </w:rPr>
        <w:t>reference</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hour</w:t>
      </w:r>
      <w:r w:rsidRPr="00DD7BD1">
        <w:rPr>
          <w:rFonts w:ascii="Calibri" w:hAnsi="Calibri" w:cs="Calibri"/>
          <w:spacing w:val="-15"/>
          <w:w w:val="110"/>
        </w:rPr>
        <w:t xml:space="preserve"> </w:t>
      </w:r>
      <w:r w:rsidRPr="00DD7BD1">
        <w:rPr>
          <w:rFonts w:ascii="Calibri" w:hAnsi="Calibri" w:cs="Calibri"/>
          <w:w w:val="110"/>
        </w:rPr>
        <w:t>being</w:t>
      </w:r>
      <w:r w:rsidRPr="00DD7BD1">
        <w:rPr>
          <w:rFonts w:ascii="Calibri" w:hAnsi="Calibri" w:cs="Calibri"/>
          <w:spacing w:val="-16"/>
          <w:w w:val="110"/>
        </w:rPr>
        <w:t xml:space="preserve"> </w:t>
      </w:r>
      <w:r w:rsidRPr="00DD7BD1">
        <w:rPr>
          <w:rFonts w:ascii="Calibri" w:hAnsi="Calibri" w:cs="Calibri"/>
          <w:w w:val="110"/>
        </w:rPr>
        <w:t>paid.</w:t>
      </w:r>
      <w:r w:rsidRPr="00DD7BD1">
        <w:rPr>
          <w:rFonts w:ascii="Calibri" w:hAnsi="Calibri" w:cs="Calibri"/>
          <w:spacing w:val="-17"/>
          <w:w w:val="110"/>
        </w:rPr>
        <w:t xml:space="preserve"> </w:t>
      </w:r>
      <w:r w:rsidRPr="00DD7BD1">
        <w:rPr>
          <w:rFonts w:ascii="Calibri" w:hAnsi="Calibri" w:cs="Calibri"/>
          <w:w w:val="110"/>
        </w:rPr>
        <w:t>Subsection</w:t>
      </w:r>
      <w:r w:rsidRPr="00DD7BD1">
        <w:rPr>
          <w:rFonts w:ascii="Calibri" w:hAnsi="Calibri" w:cs="Calibri"/>
          <w:spacing w:val="-16"/>
          <w:w w:val="110"/>
        </w:rPr>
        <w:t xml:space="preserve"> </w:t>
      </w:r>
      <w:r w:rsidRPr="00DD7BD1">
        <w:rPr>
          <w:rFonts w:ascii="Calibri" w:hAnsi="Calibri" w:cs="Calibri"/>
          <w:w w:val="110"/>
        </w:rPr>
        <w:t>(b-5) in the original version states “</w:t>
      </w:r>
      <w:r w:rsidRPr="00DD7BD1">
        <w:rPr>
          <w:rFonts w:ascii="Calibri" w:hAnsi="Calibri" w:cs="Calibri"/>
          <w:i/>
          <w:w w:val="110"/>
        </w:rPr>
        <w:t>An employee may use up to 10 days of leave in any 12-month period to serve as an</w:t>
      </w:r>
      <w:r w:rsidRPr="00DD7BD1">
        <w:rPr>
          <w:rFonts w:ascii="Calibri" w:hAnsi="Calibri" w:cs="Calibri"/>
          <w:i/>
          <w:spacing w:val="-3"/>
          <w:w w:val="110"/>
        </w:rPr>
        <w:t xml:space="preserve"> </w:t>
      </w:r>
      <w:r w:rsidRPr="00DD7BD1">
        <w:rPr>
          <w:rFonts w:ascii="Calibri" w:hAnsi="Calibri" w:cs="Calibri"/>
          <w:i/>
          <w:w w:val="110"/>
        </w:rPr>
        <w:t>organ</w:t>
      </w:r>
      <w:r w:rsidRPr="00DD7BD1">
        <w:rPr>
          <w:rFonts w:ascii="Calibri" w:hAnsi="Calibri" w:cs="Calibri"/>
          <w:i/>
          <w:spacing w:val="-3"/>
          <w:w w:val="110"/>
        </w:rPr>
        <w:t xml:space="preserve"> </w:t>
      </w:r>
      <w:r w:rsidRPr="00DD7BD1">
        <w:rPr>
          <w:rFonts w:ascii="Calibri" w:hAnsi="Calibri" w:cs="Calibri"/>
          <w:i/>
          <w:w w:val="110"/>
        </w:rPr>
        <w:t>donor.</w:t>
      </w:r>
      <w:r w:rsidRPr="00DD7BD1">
        <w:rPr>
          <w:rFonts w:ascii="Calibri" w:hAnsi="Calibri" w:cs="Calibri"/>
          <w:w w:val="110"/>
        </w:rPr>
        <w:t>”</w:t>
      </w:r>
      <w:r w:rsidRPr="00DD7BD1">
        <w:rPr>
          <w:rFonts w:ascii="Calibri" w:hAnsi="Calibri" w:cs="Calibri"/>
          <w:spacing w:val="-2"/>
          <w:w w:val="110"/>
        </w:rPr>
        <w:t xml:space="preserve"> </w:t>
      </w:r>
      <w:r w:rsidRPr="00DD7BD1">
        <w:rPr>
          <w:rFonts w:ascii="Calibri" w:hAnsi="Calibri" w:cs="Calibri"/>
          <w:w w:val="110"/>
        </w:rPr>
        <w:t>Once</w:t>
      </w:r>
      <w:r w:rsidRPr="00DD7BD1">
        <w:rPr>
          <w:rFonts w:ascii="Calibri" w:hAnsi="Calibri" w:cs="Calibri"/>
          <w:spacing w:val="-5"/>
          <w:w w:val="110"/>
        </w:rPr>
        <w:t xml:space="preserve"> </w:t>
      </w:r>
      <w:r w:rsidRPr="00DD7BD1">
        <w:rPr>
          <w:rFonts w:ascii="Calibri" w:hAnsi="Calibri" w:cs="Calibri"/>
          <w:w w:val="110"/>
        </w:rPr>
        <w:t>again,</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5"/>
          <w:w w:val="110"/>
        </w:rPr>
        <w:t xml:space="preserve"> </w:t>
      </w:r>
      <w:r w:rsidRPr="00DD7BD1">
        <w:rPr>
          <w:rFonts w:ascii="Calibri" w:hAnsi="Calibri" w:cs="Calibri"/>
          <w:w w:val="110"/>
        </w:rPr>
        <w:t>word</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does</w:t>
      </w:r>
      <w:r w:rsidRPr="00DD7BD1">
        <w:rPr>
          <w:rFonts w:ascii="Calibri" w:hAnsi="Calibri" w:cs="Calibri"/>
          <w:spacing w:val="-5"/>
          <w:w w:val="110"/>
        </w:rPr>
        <w:t xml:space="preserve"> </w:t>
      </w:r>
      <w:r w:rsidRPr="00DD7BD1">
        <w:rPr>
          <w:rFonts w:ascii="Calibri" w:hAnsi="Calibri" w:cs="Calibri"/>
          <w:w w:val="110"/>
        </w:rPr>
        <w:t>not</w:t>
      </w:r>
      <w:r w:rsidRPr="00DD7BD1">
        <w:rPr>
          <w:rFonts w:ascii="Calibri" w:hAnsi="Calibri" w:cs="Calibri"/>
          <w:spacing w:val="-7"/>
          <w:w w:val="110"/>
        </w:rPr>
        <w:t xml:space="preserve"> </w:t>
      </w:r>
      <w:r w:rsidRPr="00DD7BD1">
        <w:rPr>
          <w:rFonts w:ascii="Calibri" w:hAnsi="Calibri" w:cs="Calibri"/>
          <w:w w:val="110"/>
        </w:rPr>
        <w:t>appear,</w:t>
      </w:r>
      <w:r w:rsidRPr="00DD7BD1">
        <w:rPr>
          <w:rFonts w:ascii="Calibri" w:hAnsi="Calibri" w:cs="Calibri"/>
          <w:spacing w:val="-6"/>
          <w:w w:val="110"/>
        </w:rPr>
        <w:t xml:space="preserve"> </w:t>
      </w:r>
      <w:r w:rsidRPr="00DD7BD1">
        <w:rPr>
          <w:rFonts w:ascii="Calibri" w:hAnsi="Calibri" w:cs="Calibri"/>
          <w:w w:val="110"/>
        </w:rPr>
        <w:t>which</w:t>
      </w:r>
      <w:r w:rsidRPr="00DD7BD1">
        <w:rPr>
          <w:rFonts w:ascii="Calibri" w:hAnsi="Calibri" w:cs="Calibri"/>
          <w:spacing w:val="-6"/>
          <w:w w:val="110"/>
        </w:rPr>
        <w:t xml:space="preserve"> </w:t>
      </w:r>
      <w:r w:rsidRPr="00DD7BD1">
        <w:rPr>
          <w:rFonts w:ascii="Calibri" w:hAnsi="Calibri" w:cs="Calibri"/>
          <w:w w:val="110"/>
        </w:rPr>
        <w:t>would</w:t>
      </w:r>
      <w:r w:rsidRPr="00DD7BD1">
        <w:rPr>
          <w:rFonts w:ascii="Calibri" w:hAnsi="Calibri" w:cs="Calibri"/>
          <w:spacing w:val="-6"/>
          <w:w w:val="110"/>
        </w:rPr>
        <w:t xml:space="preserve"> </w:t>
      </w:r>
      <w:r w:rsidRPr="00DD7BD1">
        <w:rPr>
          <w:rFonts w:ascii="Calibri" w:hAnsi="Calibri" w:cs="Calibri"/>
          <w:w w:val="110"/>
        </w:rPr>
        <w:t>arguably</w:t>
      </w:r>
      <w:r w:rsidRPr="00DD7BD1">
        <w:rPr>
          <w:rFonts w:ascii="Calibri" w:hAnsi="Calibri" w:cs="Calibri"/>
          <w:spacing w:val="-5"/>
          <w:w w:val="110"/>
        </w:rPr>
        <w:t xml:space="preserve"> </w:t>
      </w:r>
      <w:r w:rsidRPr="00DD7BD1">
        <w:rPr>
          <w:rFonts w:ascii="Calibri" w:hAnsi="Calibri" w:cs="Calibri"/>
          <w:w w:val="110"/>
        </w:rPr>
        <w:t>imply</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leave need not be paid.</w:t>
      </w:r>
    </w:p>
    <w:p w14:paraId="0864B3D3" w14:textId="77777777" w:rsidR="00A85628" w:rsidRPr="00DD7BD1" w:rsidRDefault="00A85628">
      <w:pPr>
        <w:pStyle w:val="ListParagraph"/>
        <w:widowControl w:val="0"/>
        <w:numPr>
          <w:ilvl w:val="0"/>
          <w:numId w:val="245"/>
        </w:numPr>
        <w:autoSpaceDE w:val="0"/>
        <w:autoSpaceDN w:val="0"/>
        <w:spacing w:before="3" w:after="0" w:line="247" w:lineRule="auto"/>
        <w:ind w:left="720" w:right="813"/>
        <w:contextualSpacing w:val="0"/>
        <w:rPr>
          <w:rFonts w:ascii="Calibri" w:hAnsi="Calibri" w:cs="Calibri"/>
        </w:rPr>
      </w:pPr>
      <w:r w:rsidRPr="00DD7BD1">
        <w:rPr>
          <w:rFonts w:ascii="Calibri" w:hAnsi="Calibri" w:cs="Calibri"/>
          <w:w w:val="110"/>
        </w:rPr>
        <w:t>Amended Subsection</w:t>
      </w:r>
      <w:r w:rsidRPr="00DD7BD1">
        <w:rPr>
          <w:rFonts w:ascii="Calibri" w:hAnsi="Calibri" w:cs="Calibri"/>
          <w:spacing w:val="-4"/>
          <w:w w:val="110"/>
        </w:rPr>
        <w:t xml:space="preserve"> </w:t>
      </w:r>
      <w:r w:rsidRPr="00DD7BD1">
        <w:rPr>
          <w:rFonts w:ascii="Calibri" w:hAnsi="Calibri" w:cs="Calibri"/>
          <w:w w:val="110"/>
        </w:rPr>
        <w:t>(b-5)</w:t>
      </w:r>
      <w:r w:rsidRPr="00DD7BD1">
        <w:rPr>
          <w:rFonts w:ascii="Calibri" w:hAnsi="Calibri" w:cs="Calibri"/>
          <w:spacing w:val="-1"/>
          <w:w w:val="110"/>
        </w:rPr>
        <w:t xml:space="preserve"> </w:t>
      </w:r>
      <w:r w:rsidRPr="00DD7BD1">
        <w:rPr>
          <w:rFonts w:ascii="Calibri" w:hAnsi="Calibri" w:cs="Calibri"/>
          <w:w w:val="110"/>
        </w:rPr>
        <w:t>adds</w:t>
      </w:r>
      <w:r w:rsidRPr="00DD7BD1">
        <w:rPr>
          <w:rFonts w:ascii="Calibri" w:hAnsi="Calibri" w:cs="Calibri"/>
          <w:spacing w:val="-2"/>
          <w:w w:val="110"/>
        </w:rPr>
        <w:t xml:space="preserve"> </w:t>
      </w:r>
      <w:r w:rsidRPr="00DD7BD1">
        <w:rPr>
          <w:rFonts w:ascii="Calibri" w:hAnsi="Calibri" w:cs="Calibri"/>
          <w:w w:val="110"/>
        </w:rPr>
        <w:t>part-time</w:t>
      </w:r>
      <w:r w:rsidRPr="00DD7BD1">
        <w:rPr>
          <w:rFonts w:ascii="Calibri" w:hAnsi="Calibri" w:cs="Calibri"/>
          <w:spacing w:val="-4"/>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those who can</w:t>
      </w:r>
      <w:r w:rsidRPr="00DD7BD1">
        <w:rPr>
          <w:rFonts w:ascii="Calibri" w:hAnsi="Calibri" w:cs="Calibri"/>
          <w:spacing w:val="-4"/>
          <w:w w:val="110"/>
        </w:rPr>
        <w:t xml:space="preserve"> </w:t>
      </w:r>
      <w:r w:rsidRPr="00DD7BD1">
        <w:rPr>
          <w:rFonts w:ascii="Calibri" w:hAnsi="Calibri" w:cs="Calibri"/>
          <w:w w:val="110"/>
        </w:rPr>
        <w:t>take leave to donate an</w:t>
      </w:r>
      <w:r w:rsidRPr="00DD7BD1">
        <w:rPr>
          <w:rFonts w:ascii="Calibri" w:hAnsi="Calibri" w:cs="Calibri"/>
          <w:spacing w:val="-2"/>
          <w:w w:val="110"/>
        </w:rPr>
        <w:t xml:space="preserve"> </w:t>
      </w:r>
      <w:r w:rsidRPr="00DD7BD1">
        <w:rPr>
          <w:rFonts w:ascii="Calibri" w:hAnsi="Calibri" w:cs="Calibri"/>
          <w:w w:val="110"/>
        </w:rPr>
        <w:t>organ.</w:t>
      </w:r>
      <w:r w:rsidRPr="00DD7BD1">
        <w:rPr>
          <w:rFonts w:ascii="Calibri" w:hAnsi="Calibri" w:cs="Calibri"/>
          <w:spacing w:val="-1"/>
          <w:w w:val="110"/>
        </w:rPr>
        <w:t xml:space="preserve"> </w:t>
      </w:r>
      <w:r w:rsidRPr="00DD7BD1">
        <w:rPr>
          <w:rFonts w:ascii="Calibri" w:hAnsi="Calibri" w:cs="Calibri"/>
          <w:w w:val="110"/>
        </w:rPr>
        <w:t xml:space="preserve">It </w:t>
      </w:r>
      <w:r w:rsidRPr="00DD7BD1">
        <w:rPr>
          <w:rFonts w:ascii="Calibri" w:hAnsi="Calibri" w:cs="Calibri"/>
          <w:w w:val="115"/>
        </w:rPr>
        <w:t>also</w:t>
      </w:r>
      <w:r w:rsidRPr="00DD7BD1">
        <w:rPr>
          <w:rFonts w:ascii="Calibri" w:hAnsi="Calibri" w:cs="Calibri"/>
          <w:spacing w:val="-12"/>
          <w:w w:val="115"/>
        </w:rPr>
        <w:t xml:space="preserve"> </w:t>
      </w:r>
      <w:r w:rsidRPr="00DD7BD1">
        <w:rPr>
          <w:rFonts w:ascii="Calibri" w:hAnsi="Calibri" w:cs="Calibri"/>
          <w:w w:val="115"/>
        </w:rPr>
        <w:t>goes</w:t>
      </w:r>
      <w:r w:rsidRPr="00DD7BD1">
        <w:rPr>
          <w:rFonts w:ascii="Calibri" w:hAnsi="Calibri" w:cs="Calibri"/>
          <w:spacing w:val="-9"/>
          <w:w w:val="115"/>
        </w:rPr>
        <w:t xml:space="preserve"> </w:t>
      </w:r>
      <w:r w:rsidRPr="00DD7BD1">
        <w:rPr>
          <w:rFonts w:ascii="Calibri" w:hAnsi="Calibri" w:cs="Calibri"/>
          <w:w w:val="115"/>
        </w:rPr>
        <w:t>further</w:t>
      </w:r>
      <w:r w:rsidRPr="00DD7BD1">
        <w:rPr>
          <w:rFonts w:ascii="Calibri" w:hAnsi="Calibri" w:cs="Calibri"/>
          <w:spacing w:val="-10"/>
          <w:w w:val="115"/>
        </w:rPr>
        <w:t xml:space="preserve"> </w:t>
      </w:r>
      <w:r w:rsidRPr="00DD7BD1">
        <w:rPr>
          <w:rFonts w:ascii="Calibri" w:hAnsi="Calibri" w:cs="Calibri"/>
          <w:w w:val="115"/>
        </w:rPr>
        <w:t>and</w:t>
      </w:r>
      <w:r w:rsidRPr="00DD7BD1">
        <w:rPr>
          <w:rFonts w:ascii="Calibri" w:hAnsi="Calibri" w:cs="Calibri"/>
          <w:spacing w:val="-9"/>
          <w:w w:val="115"/>
        </w:rPr>
        <w:t xml:space="preserve"> </w:t>
      </w:r>
      <w:r w:rsidRPr="00DD7BD1">
        <w:rPr>
          <w:rFonts w:ascii="Calibri" w:hAnsi="Calibri" w:cs="Calibri"/>
          <w:w w:val="115"/>
        </w:rPr>
        <w:t>states:</w:t>
      </w:r>
      <w:r w:rsidRPr="00DD7BD1">
        <w:rPr>
          <w:rFonts w:ascii="Calibri" w:hAnsi="Calibri" w:cs="Calibri"/>
          <w:spacing w:val="-8"/>
          <w:w w:val="115"/>
        </w:rPr>
        <w:t xml:space="preserve"> </w:t>
      </w:r>
      <w:r w:rsidRPr="00DD7BD1">
        <w:rPr>
          <w:rFonts w:ascii="Calibri" w:hAnsi="Calibri" w:cs="Calibri"/>
          <w:i/>
          <w:w w:val="115"/>
        </w:rPr>
        <w:t>“For</w:t>
      </w:r>
      <w:r w:rsidRPr="00DD7BD1">
        <w:rPr>
          <w:rFonts w:ascii="Calibri" w:hAnsi="Calibri" w:cs="Calibri"/>
          <w:i/>
          <w:spacing w:val="-13"/>
          <w:w w:val="115"/>
        </w:rPr>
        <w:t xml:space="preserve"> </w:t>
      </w:r>
      <w:r w:rsidRPr="00DD7BD1">
        <w:rPr>
          <w:rFonts w:ascii="Calibri" w:hAnsi="Calibri" w:cs="Calibri"/>
          <w:i/>
          <w:w w:val="115"/>
        </w:rPr>
        <w:t>a</w:t>
      </w:r>
      <w:r w:rsidRPr="00DD7BD1">
        <w:rPr>
          <w:rFonts w:ascii="Calibri" w:hAnsi="Calibri" w:cs="Calibri"/>
          <w:i/>
          <w:spacing w:val="-12"/>
          <w:w w:val="115"/>
        </w:rPr>
        <w:t xml:space="preserve"> </w:t>
      </w:r>
      <w:r w:rsidRPr="00DD7BD1">
        <w:rPr>
          <w:rFonts w:ascii="Calibri" w:hAnsi="Calibri" w:cs="Calibri"/>
          <w:i/>
          <w:w w:val="115"/>
        </w:rPr>
        <w:t>part-time</w:t>
      </w:r>
      <w:r w:rsidRPr="00DD7BD1">
        <w:rPr>
          <w:rFonts w:ascii="Calibri" w:hAnsi="Calibri" w:cs="Calibri"/>
          <w:i/>
          <w:spacing w:val="-12"/>
          <w:w w:val="115"/>
        </w:rPr>
        <w:t xml:space="preserve"> </w:t>
      </w:r>
      <w:r w:rsidRPr="00DD7BD1">
        <w:rPr>
          <w:rFonts w:ascii="Calibri" w:hAnsi="Calibri" w:cs="Calibri"/>
          <w:i/>
          <w:w w:val="115"/>
        </w:rPr>
        <w:t>employee</w:t>
      </w:r>
      <w:r w:rsidRPr="00DD7BD1">
        <w:rPr>
          <w:rFonts w:ascii="Calibri" w:hAnsi="Calibri" w:cs="Calibri"/>
          <w:i/>
          <w:spacing w:val="-10"/>
          <w:w w:val="115"/>
        </w:rPr>
        <w:t xml:space="preserve"> </w:t>
      </w:r>
      <w:r w:rsidRPr="00DD7BD1">
        <w:rPr>
          <w:rFonts w:ascii="Calibri" w:hAnsi="Calibri" w:cs="Calibri"/>
          <w:i/>
          <w:w w:val="115"/>
        </w:rPr>
        <w:t>using</w:t>
      </w:r>
      <w:r w:rsidRPr="00DD7BD1">
        <w:rPr>
          <w:rFonts w:ascii="Calibri" w:hAnsi="Calibri" w:cs="Calibri"/>
          <w:i/>
          <w:spacing w:val="-14"/>
          <w:w w:val="115"/>
        </w:rPr>
        <w:t xml:space="preserve"> </w:t>
      </w:r>
      <w:r w:rsidRPr="00DD7BD1">
        <w:rPr>
          <w:rFonts w:ascii="Calibri" w:hAnsi="Calibri" w:cs="Calibri"/>
          <w:i/>
          <w:w w:val="115"/>
        </w:rPr>
        <w:t>leave</w:t>
      </w:r>
      <w:r w:rsidRPr="00DD7BD1">
        <w:rPr>
          <w:rFonts w:ascii="Calibri" w:hAnsi="Calibri" w:cs="Calibri"/>
          <w:i/>
          <w:spacing w:val="-12"/>
          <w:w w:val="115"/>
        </w:rPr>
        <w:t xml:space="preserve"> </w:t>
      </w:r>
      <w:r w:rsidRPr="00DD7BD1">
        <w:rPr>
          <w:rFonts w:ascii="Calibri" w:hAnsi="Calibri" w:cs="Calibri"/>
          <w:i/>
          <w:w w:val="115"/>
        </w:rPr>
        <w:t>under</w:t>
      </w:r>
      <w:r w:rsidRPr="00DD7BD1">
        <w:rPr>
          <w:rFonts w:ascii="Calibri" w:hAnsi="Calibri" w:cs="Calibri"/>
          <w:i/>
          <w:spacing w:val="-10"/>
          <w:w w:val="115"/>
        </w:rPr>
        <w:t xml:space="preserve"> </w:t>
      </w:r>
      <w:r w:rsidRPr="00DD7BD1">
        <w:rPr>
          <w:rFonts w:ascii="Calibri" w:hAnsi="Calibri" w:cs="Calibri"/>
          <w:i/>
          <w:w w:val="115"/>
        </w:rPr>
        <w:t>this</w:t>
      </w:r>
      <w:r w:rsidRPr="00DD7BD1">
        <w:rPr>
          <w:rFonts w:ascii="Calibri" w:hAnsi="Calibri" w:cs="Calibri"/>
          <w:i/>
          <w:spacing w:val="-10"/>
          <w:w w:val="115"/>
        </w:rPr>
        <w:t xml:space="preserve"> </w:t>
      </w:r>
      <w:r w:rsidRPr="00DD7BD1">
        <w:rPr>
          <w:rFonts w:ascii="Calibri" w:hAnsi="Calibri" w:cs="Calibri"/>
          <w:i/>
          <w:w w:val="115"/>
        </w:rPr>
        <w:t>subsection,</w:t>
      </w:r>
      <w:r w:rsidRPr="00DD7BD1">
        <w:rPr>
          <w:rFonts w:ascii="Calibri" w:hAnsi="Calibri" w:cs="Calibri"/>
          <w:i/>
          <w:spacing w:val="-9"/>
          <w:w w:val="115"/>
        </w:rPr>
        <w:t xml:space="preserve"> </w:t>
      </w:r>
      <w:r w:rsidRPr="00DD7BD1">
        <w:rPr>
          <w:rFonts w:ascii="Calibri" w:hAnsi="Calibri" w:cs="Calibri"/>
          <w:i/>
          <w:w w:val="115"/>
        </w:rPr>
        <w:t>the</w:t>
      </w:r>
      <w:r w:rsidRPr="00DD7BD1">
        <w:rPr>
          <w:rFonts w:ascii="Calibri" w:hAnsi="Calibri" w:cs="Calibri"/>
          <w:i/>
          <w:spacing w:val="-10"/>
          <w:w w:val="115"/>
        </w:rPr>
        <w:t xml:space="preserve"> </w:t>
      </w:r>
      <w:r w:rsidRPr="00DD7BD1">
        <w:rPr>
          <w:rFonts w:ascii="Calibri" w:hAnsi="Calibri" w:cs="Calibri"/>
          <w:i/>
          <w:w w:val="115"/>
        </w:rPr>
        <w:t>employer</w:t>
      </w:r>
      <w:r w:rsidRPr="00DD7BD1">
        <w:rPr>
          <w:rFonts w:ascii="Calibri" w:hAnsi="Calibri" w:cs="Calibri"/>
          <w:i/>
          <w:spacing w:val="-10"/>
          <w:w w:val="115"/>
        </w:rPr>
        <w:t xml:space="preserve"> </w:t>
      </w:r>
      <w:r w:rsidRPr="00DD7BD1">
        <w:rPr>
          <w:rFonts w:ascii="Calibri" w:hAnsi="Calibri" w:cs="Calibri"/>
          <w:i/>
          <w:w w:val="115"/>
        </w:rPr>
        <w:t>shall calculate the daily average pay the</w:t>
      </w:r>
      <w:r w:rsidRPr="00DD7BD1">
        <w:rPr>
          <w:rFonts w:ascii="Calibri" w:hAnsi="Calibri" w:cs="Calibri"/>
          <w:i/>
          <w:spacing w:val="-1"/>
          <w:w w:val="115"/>
        </w:rPr>
        <w:t xml:space="preserve"> </w:t>
      </w:r>
      <w:r w:rsidRPr="00DD7BD1">
        <w:rPr>
          <w:rFonts w:ascii="Calibri" w:hAnsi="Calibri" w:cs="Calibri"/>
          <w:i/>
          <w:w w:val="115"/>
        </w:rPr>
        <w:t>part-time employee received during his or her previous 2 months of employment and</w:t>
      </w:r>
      <w:r w:rsidRPr="00DD7BD1">
        <w:rPr>
          <w:rFonts w:ascii="Calibri" w:hAnsi="Calibri" w:cs="Calibri"/>
          <w:i/>
          <w:spacing w:val="-3"/>
          <w:w w:val="115"/>
        </w:rPr>
        <w:t xml:space="preserve"> </w:t>
      </w:r>
      <w:r w:rsidRPr="00DD7BD1">
        <w:rPr>
          <w:rFonts w:ascii="Calibri" w:hAnsi="Calibri" w:cs="Calibri"/>
          <w:i/>
          <w:w w:val="115"/>
        </w:rPr>
        <w:t>compensate</w:t>
      </w:r>
      <w:r w:rsidRPr="00DD7BD1">
        <w:rPr>
          <w:rFonts w:ascii="Calibri" w:hAnsi="Calibri" w:cs="Calibri"/>
          <w:i/>
          <w:spacing w:val="-1"/>
          <w:w w:val="115"/>
        </w:rPr>
        <w:t xml:space="preserve"> </w:t>
      </w:r>
      <w:r w:rsidRPr="00DD7BD1">
        <w:rPr>
          <w:rFonts w:ascii="Calibri" w:hAnsi="Calibri" w:cs="Calibri"/>
          <w:i/>
          <w:w w:val="115"/>
        </w:rPr>
        <w:t>the part-time</w:t>
      </w:r>
      <w:r w:rsidRPr="00DD7BD1">
        <w:rPr>
          <w:rFonts w:ascii="Calibri" w:hAnsi="Calibri" w:cs="Calibri"/>
          <w:i/>
          <w:spacing w:val="-3"/>
          <w:w w:val="115"/>
        </w:rPr>
        <w:t xml:space="preserve"> </w:t>
      </w:r>
      <w:r w:rsidRPr="00DD7BD1">
        <w:rPr>
          <w:rFonts w:ascii="Calibri" w:hAnsi="Calibri" w:cs="Calibri"/>
          <w:i/>
          <w:w w:val="115"/>
        </w:rPr>
        <w:t>employee in the</w:t>
      </w:r>
      <w:r w:rsidRPr="00DD7BD1">
        <w:rPr>
          <w:rFonts w:ascii="Calibri" w:hAnsi="Calibri" w:cs="Calibri"/>
          <w:i/>
          <w:spacing w:val="-3"/>
          <w:w w:val="115"/>
        </w:rPr>
        <w:t xml:space="preserve"> </w:t>
      </w:r>
      <w:r w:rsidRPr="00DD7BD1">
        <w:rPr>
          <w:rFonts w:ascii="Calibri" w:hAnsi="Calibri" w:cs="Calibri"/>
          <w:i/>
          <w:w w:val="115"/>
        </w:rPr>
        <w:t>amount</w:t>
      </w:r>
      <w:r w:rsidRPr="00DD7BD1">
        <w:rPr>
          <w:rFonts w:ascii="Calibri" w:hAnsi="Calibri" w:cs="Calibri"/>
          <w:i/>
          <w:spacing w:val="-2"/>
          <w:w w:val="115"/>
        </w:rPr>
        <w:t xml:space="preserve"> </w:t>
      </w:r>
      <w:r w:rsidRPr="00DD7BD1">
        <w:rPr>
          <w:rFonts w:ascii="Calibri" w:hAnsi="Calibri" w:cs="Calibri"/>
          <w:i/>
          <w:w w:val="115"/>
        </w:rPr>
        <w:t>of the</w:t>
      </w:r>
      <w:r w:rsidRPr="00DD7BD1">
        <w:rPr>
          <w:rFonts w:ascii="Calibri" w:hAnsi="Calibri" w:cs="Calibri"/>
          <w:i/>
          <w:spacing w:val="-3"/>
          <w:w w:val="115"/>
        </w:rPr>
        <w:t xml:space="preserve"> </w:t>
      </w:r>
      <w:r w:rsidRPr="00DD7BD1">
        <w:rPr>
          <w:rFonts w:ascii="Calibri" w:hAnsi="Calibri" w:cs="Calibri"/>
          <w:i/>
          <w:w w:val="115"/>
        </w:rPr>
        <w:t>daily</w:t>
      </w:r>
      <w:r w:rsidRPr="00DD7BD1">
        <w:rPr>
          <w:rFonts w:ascii="Calibri" w:hAnsi="Calibri" w:cs="Calibri"/>
          <w:i/>
          <w:spacing w:val="-3"/>
          <w:w w:val="115"/>
        </w:rPr>
        <w:t xml:space="preserve"> </w:t>
      </w:r>
      <w:r w:rsidRPr="00DD7BD1">
        <w:rPr>
          <w:rFonts w:ascii="Calibri" w:hAnsi="Calibri" w:cs="Calibri"/>
          <w:i/>
          <w:w w:val="115"/>
        </w:rPr>
        <w:t>average</w:t>
      </w:r>
      <w:r w:rsidRPr="00DD7BD1">
        <w:rPr>
          <w:rFonts w:ascii="Calibri" w:hAnsi="Calibri" w:cs="Calibri"/>
          <w:i/>
          <w:spacing w:val="-1"/>
          <w:w w:val="115"/>
        </w:rPr>
        <w:t xml:space="preserve"> </w:t>
      </w:r>
      <w:r w:rsidRPr="00DD7BD1">
        <w:rPr>
          <w:rFonts w:ascii="Calibri" w:hAnsi="Calibri" w:cs="Calibri"/>
          <w:i/>
          <w:w w:val="115"/>
        </w:rPr>
        <w:t>pay for</w:t>
      </w:r>
      <w:r w:rsidRPr="00DD7BD1">
        <w:rPr>
          <w:rFonts w:ascii="Calibri" w:hAnsi="Calibri" w:cs="Calibri"/>
          <w:i/>
          <w:spacing w:val="-2"/>
          <w:w w:val="115"/>
        </w:rPr>
        <w:t xml:space="preserve"> </w:t>
      </w:r>
      <w:r w:rsidRPr="00DD7BD1">
        <w:rPr>
          <w:rFonts w:ascii="Calibri" w:hAnsi="Calibri" w:cs="Calibri"/>
          <w:i/>
          <w:w w:val="115"/>
        </w:rPr>
        <w:t>the</w:t>
      </w:r>
      <w:r w:rsidRPr="00DD7BD1">
        <w:rPr>
          <w:rFonts w:ascii="Calibri" w:hAnsi="Calibri" w:cs="Calibri"/>
          <w:i/>
          <w:spacing w:val="-3"/>
          <w:w w:val="115"/>
        </w:rPr>
        <w:t xml:space="preserve"> </w:t>
      </w:r>
      <w:r w:rsidRPr="00DD7BD1">
        <w:rPr>
          <w:rFonts w:ascii="Calibri" w:hAnsi="Calibri" w:cs="Calibri"/>
          <w:i/>
          <w:w w:val="115"/>
        </w:rPr>
        <w:t xml:space="preserve">leave </w:t>
      </w:r>
      <w:r w:rsidRPr="00DD7BD1">
        <w:rPr>
          <w:rFonts w:ascii="Calibri" w:hAnsi="Calibri" w:cs="Calibri"/>
          <w:i/>
          <w:w w:val="110"/>
        </w:rPr>
        <w:t>days used.</w:t>
      </w:r>
      <w:r w:rsidRPr="00DD7BD1">
        <w:rPr>
          <w:rFonts w:ascii="Calibri" w:hAnsi="Calibri" w:cs="Calibri"/>
          <w:w w:val="110"/>
        </w:rPr>
        <w:t xml:space="preserve">” Nothing in this subsection references providing pay to full-time employees, and the original language remains the same, stating that an employee “may use up to 10 days of leave” without reference </w:t>
      </w:r>
      <w:r w:rsidRPr="00DD7BD1">
        <w:rPr>
          <w:rFonts w:ascii="Calibri" w:hAnsi="Calibri" w:cs="Calibri"/>
          <w:w w:val="115"/>
        </w:rPr>
        <w:t>to</w:t>
      </w:r>
      <w:r w:rsidRPr="00DD7BD1">
        <w:rPr>
          <w:rFonts w:ascii="Calibri" w:hAnsi="Calibri" w:cs="Calibri"/>
          <w:spacing w:val="-5"/>
          <w:w w:val="115"/>
        </w:rPr>
        <w:t xml:space="preserve"> </w:t>
      </w:r>
      <w:r w:rsidRPr="00DD7BD1">
        <w:rPr>
          <w:rFonts w:ascii="Calibri" w:hAnsi="Calibri" w:cs="Calibri"/>
          <w:w w:val="115"/>
        </w:rPr>
        <w:t>the</w:t>
      </w:r>
      <w:r w:rsidRPr="00DD7BD1">
        <w:rPr>
          <w:rFonts w:ascii="Calibri" w:hAnsi="Calibri" w:cs="Calibri"/>
          <w:spacing w:val="-5"/>
          <w:w w:val="115"/>
        </w:rPr>
        <w:t xml:space="preserve"> </w:t>
      </w:r>
      <w:r w:rsidRPr="00DD7BD1">
        <w:rPr>
          <w:rFonts w:ascii="Calibri" w:hAnsi="Calibri" w:cs="Calibri"/>
          <w:w w:val="115"/>
        </w:rPr>
        <w:t>leave</w:t>
      </w:r>
      <w:r w:rsidRPr="00DD7BD1">
        <w:rPr>
          <w:rFonts w:ascii="Calibri" w:hAnsi="Calibri" w:cs="Calibri"/>
          <w:spacing w:val="-9"/>
          <w:w w:val="115"/>
        </w:rPr>
        <w:t xml:space="preserve"> </w:t>
      </w:r>
      <w:r w:rsidRPr="00DD7BD1">
        <w:rPr>
          <w:rFonts w:ascii="Calibri" w:hAnsi="Calibri" w:cs="Calibri"/>
          <w:w w:val="115"/>
        </w:rPr>
        <w:t>being</w:t>
      </w:r>
      <w:r w:rsidRPr="00DD7BD1">
        <w:rPr>
          <w:rFonts w:ascii="Calibri" w:hAnsi="Calibri" w:cs="Calibri"/>
          <w:spacing w:val="-8"/>
          <w:w w:val="115"/>
        </w:rPr>
        <w:t xml:space="preserve"> </w:t>
      </w:r>
      <w:r w:rsidRPr="00DD7BD1">
        <w:rPr>
          <w:rFonts w:ascii="Calibri" w:hAnsi="Calibri" w:cs="Calibri"/>
          <w:w w:val="115"/>
        </w:rPr>
        <w:t>paid</w:t>
      </w:r>
      <w:r w:rsidRPr="00DD7BD1">
        <w:rPr>
          <w:rFonts w:ascii="Calibri" w:hAnsi="Calibri" w:cs="Calibri"/>
          <w:spacing w:val="-9"/>
          <w:w w:val="115"/>
        </w:rPr>
        <w:t xml:space="preserve"> </w:t>
      </w:r>
      <w:r w:rsidRPr="00DD7BD1">
        <w:rPr>
          <w:rFonts w:ascii="Calibri" w:hAnsi="Calibri" w:cs="Calibri"/>
          <w:w w:val="115"/>
        </w:rPr>
        <w:t>or</w:t>
      </w:r>
      <w:r w:rsidRPr="00DD7BD1">
        <w:rPr>
          <w:rFonts w:ascii="Calibri" w:hAnsi="Calibri" w:cs="Calibri"/>
          <w:spacing w:val="-10"/>
          <w:w w:val="115"/>
        </w:rPr>
        <w:t xml:space="preserve"> </w:t>
      </w:r>
      <w:r w:rsidRPr="00DD7BD1">
        <w:rPr>
          <w:rFonts w:ascii="Calibri" w:hAnsi="Calibri" w:cs="Calibri"/>
          <w:w w:val="115"/>
        </w:rPr>
        <w:t>unpaid.</w:t>
      </w:r>
    </w:p>
    <w:p w14:paraId="1A5355FC" w14:textId="77777777" w:rsidR="00A85628" w:rsidRPr="00DD7BD1" w:rsidRDefault="00A85628" w:rsidP="00A85628">
      <w:pPr>
        <w:pStyle w:val="BodyText"/>
        <w:spacing w:before="203" w:line="247" w:lineRule="auto"/>
        <w:ind w:right="-270"/>
        <w:jc w:val="left"/>
        <w:rPr>
          <w:rFonts w:cs="Calibri"/>
          <w:color w:val="auto"/>
          <w:szCs w:val="22"/>
        </w:rPr>
      </w:pPr>
      <w:r w:rsidRPr="00DD7BD1">
        <w:rPr>
          <w:rFonts w:cs="Calibri"/>
          <w:color w:val="auto"/>
          <w:w w:val="110"/>
          <w:szCs w:val="22"/>
        </w:rPr>
        <w:t>As</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9"/>
          <w:w w:val="110"/>
          <w:szCs w:val="22"/>
        </w:rPr>
        <w:t xml:space="preserve"> </w:t>
      </w:r>
      <w:r w:rsidRPr="00DD7BD1">
        <w:rPr>
          <w:rFonts w:cs="Calibri"/>
          <w:color w:val="auto"/>
          <w:w w:val="110"/>
          <w:szCs w:val="22"/>
        </w:rPr>
        <w:t>stands,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only</w:t>
      </w:r>
      <w:r w:rsidRPr="00DD7BD1">
        <w:rPr>
          <w:rFonts w:cs="Calibri"/>
          <w:color w:val="auto"/>
          <w:spacing w:val="-5"/>
          <w:w w:val="110"/>
          <w:szCs w:val="22"/>
        </w:rPr>
        <w:t xml:space="preserve"> </w:t>
      </w:r>
      <w:r w:rsidRPr="00DD7BD1">
        <w:rPr>
          <w:rFonts w:cs="Calibri"/>
          <w:color w:val="auto"/>
          <w:w w:val="110"/>
          <w:szCs w:val="22"/>
        </w:rPr>
        <w:t>references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substantive</w:t>
      </w:r>
      <w:r w:rsidRPr="00DD7BD1">
        <w:rPr>
          <w:rFonts w:cs="Calibri"/>
          <w:color w:val="auto"/>
          <w:spacing w:val="-7"/>
          <w:w w:val="110"/>
          <w:szCs w:val="22"/>
        </w:rPr>
        <w:t xml:space="preserve"> </w:t>
      </w:r>
      <w:r w:rsidRPr="00DD7BD1">
        <w:rPr>
          <w:rFonts w:cs="Calibri"/>
          <w:color w:val="auto"/>
          <w:w w:val="110"/>
          <w:szCs w:val="22"/>
        </w:rPr>
        <w:t>portion</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(i.e.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title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subsection and</w:t>
      </w:r>
      <w:r w:rsidRPr="00DD7BD1">
        <w:rPr>
          <w:rFonts w:cs="Calibri"/>
          <w:color w:val="auto"/>
          <w:spacing w:val="-4"/>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introductory</w:t>
      </w:r>
      <w:r w:rsidRPr="00DD7BD1">
        <w:rPr>
          <w:rFonts w:cs="Calibri"/>
          <w:color w:val="auto"/>
          <w:spacing w:val="-4"/>
          <w:w w:val="110"/>
          <w:szCs w:val="22"/>
        </w:rPr>
        <w:t xml:space="preserve"> </w:t>
      </w:r>
      <w:r w:rsidRPr="00DD7BD1">
        <w:rPr>
          <w:rFonts w:cs="Calibri"/>
          <w:color w:val="auto"/>
          <w:w w:val="110"/>
          <w:szCs w:val="22"/>
        </w:rPr>
        <w:t>language</w:t>
      </w:r>
      <w:r w:rsidRPr="00DD7BD1">
        <w:rPr>
          <w:rFonts w:cs="Calibri"/>
          <w:color w:val="auto"/>
          <w:spacing w:val="-4"/>
          <w:w w:val="110"/>
          <w:szCs w:val="22"/>
        </w:rPr>
        <w:t xml:space="preserve"> </w:t>
      </w:r>
      <w:r w:rsidRPr="00DD7BD1">
        <w:rPr>
          <w:rFonts w:cs="Calibri"/>
          <w:color w:val="auto"/>
          <w:w w:val="110"/>
          <w:szCs w:val="22"/>
        </w:rPr>
        <w:t>about</w:t>
      </w:r>
      <w:r w:rsidRPr="00DD7BD1">
        <w:rPr>
          <w:rFonts w:cs="Calibri"/>
          <w:color w:val="auto"/>
          <w:spacing w:val="-5"/>
          <w:w w:val="110"/>
          <w:szCs w:val="22"/>
        </w:rPr>
        <w:t xml:space="preserve"> </w:t>
      </w:r>
      <w:r w:rsidRPr="00DD7BD1">
        <w:rPr>
          <w:rFonts w:cs="Calibri"/>
          <w:color w:val="auto"/>
          <w:w w:val="110"/>
          <w:szCs w:val="22"/>
        </w:rPr>
        <w:t>intent)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amended</w:t>
      </w:r>
      <w:r w:rsidRPr="00DD7BD1">
        <w:rPr>
          <w:rFonts w:cs="Calibri"/>
          <w:color w:val="auto"/>
          <w:spacing w:val="-7"/>
          <w:w w:val="110"/>
          <w:szCs w:val="22"/>
        </w:rPr>
        <w:t xml:space="preserve"> </w:t>
      </w:r>
      <w:r w:rsidRPr="00DD7BD1">
        <w:rPr>
          <w:rFonts w:cs="Calibri"/>
          <w:color w:val="auto"/>
          <w:w w:val="110"/>
          <w:szCs w:val="22"/>
        </w:rPr>
        <w:t>subsection</w:t>
      </w:r>
      <w:r w:rsidRPr="00DD7BD1">
        <w:rPr>
          <w:rFonts w:cs="Calibri"/>
          <w:color w:val="auto"/>
          <w:spacing w:val="-7"/>
          <w:w w:val="110"/>
          <w:szCs w:val="22"/>
        </w:rPr>
        <w:t xml:space="preserve"> </w:t>
      </w:r>
      <w:r w:rsidRPr="00DD7BD1">
        <w:rPr>
          <w:rFonts w:cs="Calibri"/>
          <w:color w:val="auto"/>
          <w:w w:val="110"/>
          <w:szCs w:val="22"/>
        </w:rPr>
        <w:t>(b-5)</w:t>
      </w:r>
      <w:r w:rsidRPr="00DD7BD1">
        <w:rPr>
          <w:rFonts w:cs="Calibri"/>
          <w:color w:val="auto"/>
          <w:spacing w:val="-8"/>
          <w:w w:val="110"/>
          <w:szCs w:val="22"/>
        </w:rPr>
        <w:t xml:space="preserve"> </w:t>
      </w:r>
      <w:r w:rsidRPr="00DD7BD1">
        <w:rPr>
          <w:rFonts w:cs="Calibri"/>
          <w:color w:val="auto"/>
          <w:w w:val="110"/>
          <w:szCs w:val="22"/>
        </w:rPr>
        <w:t>relating</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how</w:t>
      </w:r>
      <w:r w:rsidRPr="00DD7BD1">
        <w:rPr>
          <w:rFonts w:cs="Calibri"/>
          <w:color w:val="auto"/>
          <w:spacing w:val="-5"/>
          <w:w w:val="110"/>
          <w:szCs w:val="22"/>
        </w:rPr>
        <w:t xml:space="preserve"> </w:t>
      </w:r>
      <w:r w:rsidRPr="00DD7BD1">
        <w:rPr>
          <w:rFonts w:cs="Calibri"/>
          <w:color w:val="auto"/>
          <w:w w:val="110"/>
          <w:szCs w:val="22"/>
        </w:rPr>
        <w:t>to calculate</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part-time</w:t>
      </w:r>
      <w:r w:rsidRPr="00DD7BD1">
        <w:rPr>
          <w:rFonts w:cs="Calibri"/>
          <w:color w:val="auto"/>
          <w:spacing w:val="-6"/>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subsection</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stating</w:t>
      </w:r>
      <w:r w:rsidRPr="00DD7BD1">
        <w:rPr>
          <w:rFonts w:cs="Calibri"/>
          <w:color w:val="auto"/>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leave with</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Therefore,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wonder</w:t>
      </w:r>
      <w:r w:rsidRPr="00DD7BD1">
        <w:rPr>
          <w:rFonts w:cs="Calibri"/>
          <w:color w:val="auto"/>
          <w:spacing w:val="-18"/>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3"/>
          <w:w w:val="110"/>
          <w:szCs w:val="22"/>
        </w:rPr>
        <w:t xml:space="preserve"> </w:t>
      </w:r>
      <w:r w:rsidRPr="00DD7BD1">
        <w:rPr>
          <w:rFonts w:cs="Calibri"/>
          <w:color w:val="auto"/>
          <w:w w:val="110"/>
          <w:szCs w:val="22"/>
        </w:rPr>
        <w:t>paid</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who donate</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top</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whatever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5"/>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2"/>
          <w:w w:val="110"/>
          <w:szCs w:val="22"/>
        </w:rPr>
        <w:t xml:space="preserve"> </w:t>
      </w:r>
      <w:r w:rsidRPr="00DD7BD1">
        <w:rPr>
          <w:rFonts w:cs="Calibri"/>
          <w:color w:val="auto"/>
          <w:w w:val="110"/>
          <w:szCs w:val="22"/>
        </w:rPr>
        <w:t>they</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merely</w:t>
      </w:r>
      <w:r w:rsidRPr="00DD7BD1">
        <w:rPr>
          <w:rFonts w:cs="Calibri"/>
          <w:color w:val="auto"/>
          <w:spacing w:val="-12"/>
          <w:w w:val="110"/>
          <w:szCs w:val="22"/>
        </w:rPr>
        <w:t xml:space="preserve"> </w:t>
      </w:r>
      <w:r w:rsidRPr="00DD7BD1">
        <w:rPr>
          <w:rFonts w:cs="Calibri"/>
          <w:color w:val="auto"/>
          <w:w w:val="110"/>
          <w:szCs w:val="22"/>
        </w:rPr>
        <w:t>allow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10 days of leave and allow employees to use accrued paid leave and pay them accordingly.</w:t>
      </w:r>
    </w:p>
    <w:p w14:paraId="0A165E18" w14:textId="14B52FE3" w:rsidR="00A85628" w:rsidRPr="00DD7BD1" w:rsidRDefault="00A85628" w:rsidP="006208B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wondering</w:t>
      </w:r>
      <w:r w:rsidRPr="00DD7BD1">
        <w:rPr>
          <w:rFonts w:cs="Calibri"/>
          <w:color w:val="auto"/>
          <w:spacing w:val="-13"/>
          <w:w w:val="110"/>
          <w:szCs w:val="22"/>
        </w:rPr>
        <w:t xml:space="preserve"> </w:t>
      </w:r>
      <w:r w:rsidRPr="00DD7BD1">
        <w:rPr>
          <w:rFonts w:cs="Calibri"/>
          <w:color w:val="auto"/>
          <w:w w:val="110"/>
          <w:szCs w:val="22"/>
        </w:rPr>
        <w:t>whether</w:t>
      </w:r>
      <w:r w:rsidRPr="00DD7BD1">
        <w:rPr>
          <w:rFonts w:cs="Calibri"/>
          <w:color w:val="auto"/>
          <w:spacing w:val="-14"/>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r w:rsidRPr="00DD7BD1">
        <w:rPr>
          <w:rFonts w:cs="Calibri"/>
          <w:color w:val="auto"/>
          <w:w w:val="110"/>
          <w:szCs w:val="22"/>
        </w:rPr>
        <w:t>actually</w:t>
      </w:r>
      <w:r w:rsidRPr="00DD7BD1">
        <w:rPr>
          <w:rFonts w:cs="Calibri"/>
          <w:color w:val="auto"/>
          <w:spacing w:val="-13"/>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who</w:t>
      </w:r>
      <w:r w:rsidRPr="00DD7BD1">
        <w:rPr>
          <w:rFonts w:cs="Calibri"/>
          <w:color w:val="auto"/>
          <w:spacing w:val="-15"/>
          <w:w w:val="110"/>
          <w:szCs w:val="22"/>
        </w:rPr>
        <w:t xml:space="preserve"> </w:t>
      </w:r>
      <w:r w:rsidRPr="00DD7BD1">
        <w:rPr>
          <w:rFonts w:cs="Calibri"/>
          <w:color w:val="auto"/>
          <w:w w:val="110"/>
          <w:szCs w:val="22"/>
        </w:rPr>
        <w:t>donate</w:t>
      </w:r>
      <w:r w:rsidRPr="00DD7BD1">
        <w:rPr>
          <w:rFonts w:cs="Calibri"/>
          <w:color w:val="auto"/>
          <w:spacing w:val="-15"/>
          <w:w w:val="110"/>
          <w:szCs w:val="22"/>
        </w:rPr>
        <w:t xml:space="preserve"> </w:t>
      </w:r>
      <w:r w:rsidRPr="00DD7BD1">
        <w:rPr>
          <w:rFonts w:cs="Calibri"/>
          <w:color w:val="auto"/>
          <w:w w:val="110"/>
          <w:szCs w:val="22"/>
        </w:rPr>
        <w:t>blood</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organs</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top of whatever other paid leave they provide.</w:t>
      </w:r>
      <w:r w:rsidR="00176D45" w:rsidRPr="00DD7BD1">
        <w:rPr>
          <w:rFonts w:cs="Calibri"/>
          <w:color w:val="auto"/>
          <w:w w:val="110"/>
          <w:szCs w:val="22"/>
        </w:rPr>
        <w:t xml:space="preserve"> ETC with the December 2025 HR WIRE will also be publishing an updated IL State Handbook Addendum with revised policy language addressing regulatory changes.</w:t>
      </w:r>
    </w:p>
    <w:p w14:paraId="3735E362" w14:textId="77777777" w:rsidR="006208B6" w:rsidRPr="00DD7BD1" w:rsidRDefault="006208B6" w:rsidP="006208B6">
      <w:pPr>
        <w:pStyle w:val="Heading1"/>
        <w:spacing w:before="0" w:beforeAutospacing="0" w:after="0" w:afterAutospacing="0"/>
        <w:ind w:right="-180" w:hanging="89"/>
        <w:jc w:val="center"/>
        <w:rPr>
          <w:rFonts w:ascii="Calibri" w:hAnsi="Calibri" w:cs="Calibri"/>
          <w:kern w:val="0"/>
          <w:sz w:val="22"/>
          <w:szCs w:val="22"/>
          <w:shd w:val="clear" w:color="auto" w:fill="FFFFFF"/>
        </w:rPr>
      </w:pPr>
      <w:bookmarkStart w:id="90" w:name="_Hlk212642808"/>
    </w:p>
    <w:p w14:paraId="17248561" w14:textId="7806C80F" w:rsidR="00A85628" w:rsidRPr="00DD7BD1" w:rsidRDefault="00A85628" w:rsidP="006208B6">
      <w:pPr>
        <w:pStyle w:val="Heading1"/>
        <w:spacing w:before="0" w:beforeAutospacing="0" w:after="0" w:afterAutospacing="0"/>
        <w:ind w:right="-180" w:hanging="89"/>
        <w:jc w:val="center"/>
        <w:rPr>
          <w:rFonts w:ascii="Calibri" w:hAnsi="Calibri" w:cs="Calibri"/>
        </w:rPr>
      </w:pPr>
      <w:r w:rsidRPr="00DD7BD1">
        <w:rPr>
          <w:rFonts w:ascii="Calibri" w:hAnsi="Calibri" w:cs="Calibri"/>
          <w:kern w:val="0"/>
          <w:sz w:val="28"/>
          <w:szCs w:val="28"/>
          <w:shd w:val="clear" w:color="auto" w:fill="FFFFFF"/>
        </w:rPr>
        <w:t>Updated State Regulations: Neonatal Intensive Care Leave, Military, Funeral Honors and Paid Break Time for Nursing Mothers</w:t>
      </w:r>
      <w:bookmarkEnd w:id="90"/>
    </w:p>
    <w:p w14:paraId="6F1D98BA"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employment</w:t>
      </w:r>
      <w:r w:rsidRPr="00DD7BD1">
        <w:rPr>
          <w:rFonts w:cs="Calibri"/>
          <w:color w:val="auto"/>
          <w:spacing w:val="-18"/>
          <w:w w:val="110"/>
          <w:szCs w:val="22"/>
        </w:rPr>
        <w:t xml:space="preserve"> </w:t>
      </w:r>
      <w:r w:rsidRPr="00DD7BD1">
        <w:rPr>
          <w:rFonts w:cs="Calibri"/>
          <w:color w:val="auto"/>
          <w:w w:val="110"/>
          <w:szCs w:val="22"/>
        </w:rPr>
        <w:t>laws</w:t>
      </w:r>
      <w:r w:rsidRPr="00DD7BD1">
        <w:rPr>
          <w:rFonts w:cs="Calibri"/>
          <w:color w:val="auto"/>
          <w:spacing w:val="-16"/>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covered</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unpaid</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5"/>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parents</w:t>
      </w:r>
      <w:r w:rsidRPr="00DD7BD1">
        <w:rPr>
          <w:rFonts w:cs="Calibri"/>
          <w:color w:val="auto"/>
          <w:spacing w:val="-15"/>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child in neonatal</w:t>
      </w:r>
      <w:r w:rsidRPr="00DD7BD1">
        <w:rPr>
          <w:rFonts w:cs="Calibri"/>
          <w:color w:val="auto"/>
          <w:spacing w:val="-2"/>
          <w:w w:val="110"/>
          <w:szCs w:val="22"/>
        </w:rPr>
        <w:t xml:space="preserve"> </w:t>
      </w:r>
      <w:r w:rsidRPr="00DD7BD1">
        <w:rPr>
          <w:rFonts w:cs="Calibri"/>
          <w:color w:val="auto"/>
          <w:w w:val="110"/>
          <w:szCs w:val="22"/>
        </w:rPr>
        <w:t>care,</w:t>
      </w:r>
      <w:r w:rsidRPr="00DD7BD1">
        <w:rPr>
          <w:rFonts w:cs="Calibri"/>
          <w:color w:val="auto"/>
          <w:spacing w:val="-3"/>
          <w:w w:val="110"/>
          <w:szCs w:val="22"/>
        </w:rPr>
        <w:t xml:space="preserve"> </w:t>
      </w:r>
      <w:r w:rsidRPr="00DD7BD1">
        <w:rPr>
          <w:rFonts w:cs="Calibri"/>
          <w:color w:val="auto"/>
          <w:w w:val="110"/>
          <w:szCs w:val="22"/>
        </w:rPr>
        <w:t>paid leave for</w:t>
      </w:r>
      <w:r w:rsidRPr="00DD7BD1">
        <w:rPr>
          <w:rFonts w:cs="Calibri"/>
          <w:color w:val="auto"/>
          <w:spacing w:val="-3"/>
          <w:w w:val="110"/>
          <w:szCs w:val="22"/>
        </w:rPr>
        <w:t xml:space="preserve"> </w:t>
      </w:r>
      <w:r w:rsidRPr="00DD7BD1">
        <w:rPr>
          <w:rFonts w:cs="Calibri"/>
          <w:color w:val="auto"/>
          <w:w w:val="110"/>
          <w:szCs w:val="22"/>
        </w:rPr>
        <w:t>military funeral</w:t>
      </w:r>
      <w:r w:rsidRPr="00DD7BD1">
        <w:rPr>
          <w:rFonts w:cs="Calibri"/>
          <w:color w:val="auto"/>
          <w:spacing w:val="-5"/>
          <w:w w:val="110"/>
          <w:szCs w:val="22"/>
        </w:rPr>
        <w:t xml:space="preserve"> </w:t>
      </w:r>
      <w:r w:rsidRPr="00DD7BD1">
        <w:rPr>
          <w:rFonts w:cs="Calibri"/>
          <w:color w:val="auto"/>
          <w:w w:val="110"/>
          <w:szCs w:val="22"/>
        </w:rPr>
        <w:t>honors,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paid break</w:t>
      </w:r>
      <w:r w:rsidRPr="00DD7BD1">
        <w:rPr>
          <w:rFonts w:cs="Calibri"/>
          <w:color w:val="auto"/>
          <w:spacing w:val="-2"/>
          <w:w w:val="110"/>
          <w:szCs w:val="22"/>
        </w:rPr>
        <w:t xml:space="preserve"> </w:t>
      </w:r>
      <w:r w:rsidRPr="00DD7BD1">
        <w:rPr>
          <w:rFonts w:cs="Calibri"/>
          <w:color w:val="auto"/>
          <w:w w:val="110"/>
          <w:szCs w:val="22"/>
        </w:rPr>
        <w:t>time for</w:t>
      </w:r>
      <w:r w:rsidRPr="00DD7BD1">
        <w:rPr>
          <w:rFonts w:cs="Calibri"/>
          <w:color w:val="auto"/>
          <w:spacing w:val="-5"/>
          <w:w w:val="110"/>
          <w:szCs w:val="22"/>
        </w:rPr>
        <w:t xml:space="preserve"> </w:t>
      </w:r>
      <w:r w:rsidRPr="00DD7BD1">
        <w:rPr>
          <w:rFonts w:cs="Calibri"/>
          <w:color w:val="auto"/>
          <w:w w:val="110"/>
          <w:szCs w:val="22"/>
        </w:rPr>
        <w:t>nursing</w:t>
      </w:r>
      <w:r w:rsidRPr="00DD7BD1">
        <w:rPr>
          <w:rFonts w:cs="Calibri"/>
          <w:color w:val="auto"/>
          <w:spacing w:val="-2"/>
          <w:w w:val="110"/>
          <w:szCs w:val="22"/>
        </w:rPr>
        <w:t xml:space="preserve"> </w:t>
      </w:r>
      <w:r w:rsidRPr="00DD7BD1">
        <w:rPr>
          <w:rFonts w:cs="Calibri"/>
          <w:color w:val="auto"/>
          <w:w w:val="110"/>
          <w:szCs w:val="22"/>
        </w:rPr>
        <w:t>mothers.</w:t>
      </w:r>
    </w:p>
    <w:p w14:paraId="7A53CA9E" w14:textId="77777777" w:rsidR="00E6323F" w:rsidRPr="00DD7BD1" w:rsidRDefault="00E6323F" w:rsidP="00A85628">
      <w:pPr>
        <w:pStyle w:val="Heading4"/>
        <w:spacing w:before="0" w:line="240" w:lineRule="auto"/>
        <w:ind w:right="-274"/>
        <w:rPr>
          <w:rFonts w:ascii="Calibri" w:eastAsia="Times New Roman" w:hAnsi="Calibri" w:cs="Calibri"/>
          <w:b/>
          <w:bCs/>
          <w:i w:val="0"/>
          <w:iCs w:val="0"/>
          <w:color w:val="auto"/>
        </w:rPr>
      </w:pPr>
    </w:p>
    <w:p w14:paraId="5D790424" w14:textId="29B0AFC4"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Nursing Mothers Breaktime – Eff</w:t>
      </w:r>
      <w:r w:rsidRPr="00DD7BD1">
        <w:rPr>
          <w:rFonts w:ascii="Calibri" w:hAnsi="Calibri" w:cs="Calibri"/>
          <w:color w:val="C00000"/>
          <w:spacing w:val="-11"/>
        </w:rPr>
        <w:t xml:space="preserve"> </w:t>
      </w:r>
      <w:r w:rsidRPr="00DD7BD1">
        <w:rPr>
          <w:rFonts w:ascii="Calibri" w:hAnsi="Calibri" w:cs="Calibri"/>
          <w:b/>
          <w:bCs/>
          <w:i w:val="0"/>
          <w:iCs w:val="0"/>
          <w:color w:val="C00000"/>
          <w:spacing w:val="-2"/>
        </w:rPr>
        <w:t>Jan</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06A0BA90" w14:textId="22BE89E9"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Workplace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compensate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for breaks taken to</w:t>
      </w:r>
      <w:r w:rsidRPr="00DD7BD1">
        <w:rPr>
          <w:rFonts w:cs="Calibri"/>
          <w:color w:val="auto"/>
          <w:spacing w:val="-2"/>
          <w:w w:val="110"/>
          <w:szCs w:val="22"/>
        </w:rPr>
        <w:t xml:space="preserve"> </w:t>
      </w:r>
      <w:r w:rsidRPr="00DD7BD1">
        <w:rPr>
          <w:rFonts w:cs="Calibri"/>
          <w:color w:val="auto"/>
          <w:w w:val="110"/>
          <w:szCs w:val="22"/>
        </w:rPr>
        <w:t>express</w:t>
      </w:r>
      <w:r w:rsidRPr="00DD7BD1">
        <w:rPr>
          <w:rFonts w:cs="Calibri"/>
          <w:color w:val="auto"/>
          <w:spacing w:val="-4"/>
          <w:w w:val="110"/>
          <w:szCs w:val="22"/>
        </w:rPr>
        <w:t xml:space="preserve"> </w:t>
      </w:r>
      <w:r w:rsidRPr="00DD7BD1">
        <w:rPr>
          <w:rFonts w:cs="Calibri"/>
          <w:color w:val="auto"/>
          <w:w w:val="110"/>
          <w:szCs w:val="22"/>
        </w:rPr>
        <w:t>breast</w:t>
      </w:r>
      <w:r w:rsidRPr="00DD7BD1">
        <w:rPr>
          <w:rFonts w:cs="Calibri"/>
          <w:color w:val="auto"/>
          <w:spacing w:val="-3"/>
          <w:w w:val="110"/>
          <w:szCs w:val="22"/>
        </w:rPr>
        <w:t xml:space="preserve"> </w:t>
      </w:r>
      <w:r w:rsidRPr="00DD7BD1">
        <w:rPr>
          <w:rFonts w:cs="Calibri"/>
          <w:color w:val="auto"/>
          <w:w w:val="110"/>
          <w:szCs w:val="22"/>
        </w:rPr>
        <w:t>milk. Under</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hyperlink r:id="rId642">
        <w:r w:rsidRPr="00DD7BD1">
          <w:rPr>
            <w:rFonts w:cs="Calibri"/>
            <w:color w:val="0000FF"/>
            <w:w w:val="110"/>
            <w:szCs w:val="22"/>
          </w:rPr>
          <w:t>amended</w:t>
        </w:r>
        <w:r w:rsidRPr="00DD7BD1">
          <w:rPr>
            <w:rFonts w:cs="Calibri"/>
            <w:color w:val="0000FF"/>
            <w:spacing w:val="-3"/>
            <w:w w:val="110"/>
            <w:szCs w:val="22"/>
          </w:rPr>
          <w:t xml:space="preserve"> </w:t>
        </w:r>
        <w:r w:rsidRPr="00DD7BD1">
          <w:rPr>
            <w:rFonts w:cs="Calibri"/>
            <w:color w:val="0000FF"/>
            <w:w w:val="110"/>
            <w:szCs w:val="22"/>
          </w:rPr>
          <w:t>Act</w:t>
        </w:r>
        <w:r w:rsidRPr="00DD7BD1">
          <w:rPr>
            <w:rFonts w:cs="Calibri"/>
            <w:w w:val="110"/>
            <w:szCs w:val="22"/>
          </w:rPr>
          <w:t>,</w:t>
        </w:r>
      </w:hyperlink>
      <w:r w:rsidRPr="00DD7BD1">
        <w:rPr>
          <w:rFonts w:cs="Calibri"/>
          <w:spacing w:val="-1"/>
          <w:w w:val="110"/>
          <w:szCs w:val="22"/>
        </w:rPr>
        <w:t xml:space="preserve"> </w:t>
      </w:r>
      <w:r w:rsidRPr="00DD7BD1">
        <w:rPr>
          <w:rFonts w:cs="Calibri"/>
          <w:color w:val="auto"/>
          <w:w w:val="110"/>
          <w:szCs w:val="22"/>
        </w:rPr>
        <w:t>as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2"/>
          <w:w w:val="110"/>
          <w:szCs w:val="22"/>
        </w:rPr>
        <w:t xml:space="preserve"> </w:t>
      </w:r>
      <w:r w:rsidRPr="00DD7BD1">
        <w:rPr>
          <w:rFonts w:cs="Calibri"/>
          <w:color w:val="auto"/>
          <w:w w:val="110"/>
          <w:szCs w:val="22"/>
        </w:rPr>
        <w:t>January 1,</w:t>
      </w:r>
      <w:r w:rsidRPr="00DD7BD1">
        <w:rPr>
          <w:rFonts w:cs="Calibri"/>
          <w:color w:val="auto"/>
          <w:spacing w:val="-3"/>
          <w:w w:val="110"/>
          <w:szCs w:val="22"/>
        </w:rPr>
        <w:t xml:space="preserve"> </w:t>
      </w:r>
      <w:r w:rsidRPr="00DD7BD1">
        <w:rPr>
          <w:rFonts w:cs="Calibri"/>
          <w:color w:val="auto"/>
          <w:w w:val="110"/>
          <w:szCs w:val="22"/>
        </w:rPr>
        <w:t>2026,</w:t>
      </w:r>
      <w:r w:rsidRPr="00DD7BD1">
        <w:rPr>
          <w:rFonts w:cs="Calibri"/>
          <w:color w:val="auto"/>
          <w:spacing w:val="-3"/>
          <w:w w:val="110"/>
          <w:szCs w:val="22"/>
        </w:rPr>
        <w:t xml:space="preserve"> </w:t>
      </w:r>
      <w:r w:rsidRPr="00DD7BD1">
        <w:rPr>
          <w:rFonts w:cs="Calibri"/>
          <w:color w:val="auto"/>
          <w:w w:val="110"/>
          <w:szCs w:val="22"/>
        </w:rPr>
        <w:t>employers</w:t>
      </w:r>
      <w:r w:rsidRPr="00DD7BD1">
        <w:rPr>
          <w:rFonts w:cs="Calibri"/>
          <w:color w:val="auto"/>
          <w:spacing w:val="-2"/>
          <w:w w:val="110"/>
          <w:szCs w:val="22"/>
        </w:rPr>
        <w:t xml:space="preserve"> </w:t>
      </w:r>
      <w:r w:rsidRPr="00DD7BD1">
        <w:rPr>
          <w:rFonts w:cs="Calibri"/>
          <w:color w:val="auto"/>
          <w:w w:val="110"/>
          <w:szCs w:val="22"/>
        </w:rPr>
        <w:t>now</w:t>
      </w:r>
      <w:r w:rsidRPr="00DD7BD1">
        <w:rPr>
          <w:rFonts w:cs="Calibri"/>
          <w:color w:val="auto"/>
          <w:spacing w:val="-1"/>
          <w:w w:val="110"/>
          <w:szCs w:val="22"/>
        </w:rPr>
        <w:t xml:space="preserve"> </w:t>
      </w:r>
      <w:r w:rsidRPr="00DD7BD1">
        <w:rPr>
          <w:rFonts w:cs="Calibri"/>
          <w:color w:val="auto"/>
          <w:w w:val="110"/>
          <w:szCs w:val="22"/>
        </w:rPr>
        <w:t>must compensate</w:t>
      </w:r>
      <w:r w:rsidRPr="00DD7BD1">
        <w:rPr>
          <w:rFonts w:cs="Calibri"/>
          <w:color w:val="auto"/>
          <w:spacing w:val="-8"/>
          <w:w w:val="110"/>
          <w:szCs w:val="22"/>
        </w:rPr>
        <w:t xml:space="preserve"> </w:t>
      </w:r>
      <w:r w:rsidRPr="00DD7BD1">
        <w:rPr>
          <w:rFonts w:cs="Calibri"/>
          <w:color w:val="auto"/>
          <w:w w:val="110"/>
          <w:szCs w:val="22"/>
        </w:rPr>
        <w:t>nursing</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such</w:t>
      </w:r>
      <w:r w:rsidRPr="00DD7BD1">
        <w:rPr>
          <w:rFonts w:cs="Calibri"/>
          <w:color w:val="auto"/>
          <w:spacing w:val="-11"/>
          <w:w w:val="110"/>
          <w:szCs w:val="22"/>
        </w:rPr>
        <w:t xml:space="preserve"> </w:t>
      </w:r>
      <w:r w:rsidRPr="00DD7BD1">
        <w:rPr>
          <w:rFonts w:cs="Calibri"/>
          <w:color w:val="auto"/>
          <w:w w:val="110"/>
          <w:szCs w:val="22"/>
        </w:rPr>
        <w:t>break</w:t>
      </w:r>
      <w:r w:rsidRPr="00DD7BD1">
        <w:rPr>
          <w:rFonts w:cs="Calibri"/>
          <w:color w:val="auto"/>
          <w:spacing w:val="-10"/>
          <w:w w:val="110"/>
          <w:szCs w:val="22"/>
        </w:rPr>
        <w:t xml:space="preserve"> </w:t>
      </w:r>
      <w:r w:rsidRPr="00DD7BD1">
        <w:rPr>
          <w:rFonts w:cs="Calibri"/>
          <w:color w:val="auto"/>
          <w:w w:val="110"/>
          <w:szCs w:val="22"/>
        </w:rPr>
        <w:t>time</w:t>
      </w:r>
      <w:r w:rsidRPr="00DD7BD1">
        <w:rPr>
          <w:rFonts w:cs="Calibri"/>
          <w:color w:val="auto"/>
          <w:spacing w:val="-10"/>
          <w:w w:val="110"/>
          <w:szCs w:val="22"/>
        </w:rPr>
        <w:t xml:space="preserve"> </w:t>
      </w:r>
      <w:r w:rsidRPr="00DD7BD1">
        <w:rPr>
          <w:rFonts w:cs="Calibri"/>
          <w:color w:val="auto"/>
          <w:w w:val="110"/>
          <w:szCs w:val="22"/>
        </w:rPr>
        <w:t>at</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regular</w:t>
      </w:r>
      <w:r w:rsidRPr="00DD7BD1">
        <w:rPr>
          <w:rFonts w:cs="Calibri"/>
          <w:color w:val="auto"/>
          <w:spacing w:val="-9"/>
          <w:w w:val="110"/>
          <w:szCs w:val="22"/>
        </w:rPr>
        <w:t xml:space="preserve"> </w:t>
      </w:r>
      <w:r w:rsidRPr="00DD7BD1">
        <w:rPr>
          <w:rFonts w:cs="Calibri"/>
          <w:color w:val="auto"/>
          <w:w w:val="110"/>
          <w:szCs w:val="22"/>
        </w:rPr>
        <w:t>rate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compensation.</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8"/>
          <w:w w:val="110"/>
          <w:szCs w:val="22"/>
        </w:rPr>
        <w:t xml:space="preserve"> </w:t>
      </w:r>
      <w:r w:rsidRPr="00DD7BD1">
        <w:rPr>
          <w:rFonts w:cs="Calibri"/>
          <w:color w:val="auto"/>
          <w:w w:val="110"/>
          <w:szCs w:val="22"/>
        </w:rPr>
        <w:t>also may</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paid</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such</w:t>
      </w:r>
      <w:r w:rsidRPr="00DD7BD1">
        <w:rPr>
          <w:rFonts w:cs="Calibri"/>
          <w:color w:val="auto"/>
          <w:spacing w:val="-8"/>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time</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otherwise</w:t>
      </w:r>
      <w:r w:rsidRPr="00DD7BD1">
        <w:rPr>
          <w:rFonts w:cs="Calibri"/>
          <w:color w:val="auto"/>
          <w:spacing w:val="-9"/>
          <w:w w:val="110"/>
          <w:szCs w:val="22"/>
        </w:rPr>
        <w:t xml:space="preserve"> </w:t>
      </w:r>
      <w:r w:rsidRPr="00DD7BD1">
        <w:rPr>
          <w:rFonts w:cs="Calibri"/>
          <w:color w:val="auto"/>
          <w:w w:val="110"/>
          <w:szCs w:val="22"/>
        </w:rPr>
        <w:t>reduce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 xml:space="preserve">employee’s compensation during the break time. </w:t>
      </w:r>
      <w:r w:rsidRPr="00DD7BD1">
        <w:rPr>
          <w:rFonts w:cs="Calibri"/>
          <w:color w:val="auto"/>
          <w:szCs w:val="22"/>
        </w:rPr>
        <w:t>ETC</w:t>
      </w:r>
      <w:r w:rsidRPr="00DD7BD1">
        <w:rPr>
          <w:rFonts w:cs="Calibri"/>
          <w:color w:val="auto"/>
          <w:spacing w:val="37"/>
          <w:szCs w:val="22"/>
        </w:rPr>
        <w:t xml:space="preserve"> </w:t>
      </w:r>
      <w:r w:rsidRPr="00DD7BD1">
        <w:rPr>
          <w:rFonts w:cs="Calibri"/>
          <w:color w:val="auto"/>
          <w:szCs w:val="22"/>
        </w:rPr>
        <w:t>will</w:t>
      </w:r>
      <w:r w:rsidRPr="00DD7BD1">
        <w:rPr>
          <w:rFonts w:cs="Calibri"/>
          <w:color w:val="auto"/>
          <w:spacing w:val="33"/>
          <w:szCs w:val="22"/>
        </w:rPr>
        <w:t xml:space="preserve"> </w:t>
      </w:r>
      <w:r w:rsidRPr="00DD7BD1">
        <w:rPr>
          <w:rFonts w:cs="Calibri"/>
          <w:color w:val="auto"/>
          <w:szCs w:val="22"/>
        </w:rPr>
        <w:t>continue</w:t>
      </w:r>
      <w:r w:rsidRPr="00DD7BD1">
        <w:rPr>
          <w:rFonts w:cs="Calibri"/>
          <w:color w:val="auto"/>
          <w:spacing w:val="38"/>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monitor</w:t>
      </w:r>
      <w:r w:rsidRPr="00DD7BD1">
        <w:rPr>
          <w:rFonts w:cs="Calibri"/>
          <w:color w:val="auto"/>
          <w:spacing w:val="36"/>
          <w:szCs w:val="22"/>
        </w:rPr>
        <w:t xml:space="preserve"> </w:t>
      </w:r>
      <w:r w:rsidRPr="00DD7BD1">
        <w:rPr>
          <w:rFonts w:cs="Calibri"/>
          <w:color w:val="auto"/>
          <w:szCs w:val="22"/>
        </w:rPr>
        <w:t>any</w:t>
      </w:r>
      <w:r w:rsidRPr="00DD7BD1">
        <w:rPr>
          <w:rFonts w:cs="Calibri"/>
          <w:color w:val="auto"/>
          <w:spacing w:val="33"/>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employment</w:t>
      </w:r>
      <w:r w:rsidRPr="00DD7BD1">
        <w:rPr>
          <w:rFonts w:cs="Calibri"/>
          <w:color w:val="auto"/>
          <w:spacing w:val="30"/>
          <w:szCs w:val="22"/>
        </w:rPr>
        <w:t xml:space="preserve"> </w:t>
      </w:r>
      <w:r w:rsidRPr="00DD7BD1">
        <w:rPr>
          <w:rFonts w:cs="Calibri"/>
          <w:color w:val="auto"/>
          <w:szCs w:val="22"/>
        </w:rPr>
        <w:t>obligations</w:t>
      </w:r>
      <w:r w:rsidRPr="00DD7BD1">
        <w:rPr>
          <w:rFonts w:cs="Calibri"/>
          <w:color w:val="auto"/>
          <w:spacing w:val="34"/>
          <w:szCs w:val="22"/>
        </w:rPr>
        <w:t xml:space="preserve"> </w:t>
      </w:r>
      <w:r w:rsidRPr="00DD7BD1">
        <w:rPr>
          <w:rFonts w:cs="Calibri"/>
          <w:color w:val="auto"/>
          <w:szCs w:val="22"/>
        </w:rPr>
        <w:t>under</w:t>
      </w:r>
      <w:r w:rsidRPr="00DD7BD1">
        <w:rPr>
          <w:rFonts w:cs="Calibri"/>
          <w:color w:val="auto"/>
          <w:spacing w:val="35"/>
          <w:szCs w:val="22"/>
        </w:rPr>
        <w:t xml:space="preserve"> </w:t>
      </w:r>
      <w:r w:rsidRPr="00DD7BD1">
        <w:rPr>
          <w:rFonts w:cs="Calibri"/>
          <w:color w:val="auto"/>
          <w:szCs w:val="22"/>
        </w:rPr>
        <w:t>Illinois</w:t>
      </w:r>
      <w:r w:rsidRPr="00DD7BD1">
        <w:rPr>
          <w:rFonts w:cs="Calibri"/>
          <w:color w:val="auto"/>
          <w:spacing w:val="34"/>
          <w:szCs w:val="22"/>
        </w:rPr>
        <w:t xml:space="preserve"> </w:t>
      </w:r>
      <w:r w:rsidRPr="00DD7BD1">
        <w:rPr>
          <w:rFonts w:cs="Calibri"/>
          <w:color w:val="auto"/>
          <w:spacing w:val="-4"/>
          <w:szCs w:val="22"/>
        </w:rPr>
        <w:t>law.</w:t>
      </w:r>
      <w:r w:rsidR="00152D3B" w:rsidRPr="00DD7BD1">
        <w:rPr>
          <w:rFonts w:cs="Calibri"/>
          <w:color w:val="auto"/>
          <w:spacing w:val="-4"/>
          <w:szCs w:val="22"/>
        </w:rPr>
        <w:t xml:space="preserve">  </w:t>
      </w:r>
      <w:r w:rsidR="00152D3B" w:rsidRPr="00DD7BD1">
        <w:rPr>
          <w:rFonts w:cs="Calibri"/>
          <w:color w:val="auto"/>
          <w:w w:val="110"/>
          <w:szCs w:val="22"/>
        </w:rPr>
        <w:t>ETC’s released of the IL State Handbook Addendum for Dec 2025, includes language addressing the above.</w:t>
      </w:r>
    </w:p>
    <w:p w14:paraId="5F21E5DA" w14:textId="77777777" w:rsidR="00A85628" w:rsidRPr="00DD7BD1" w:rsidRDefault="00A85628" w:rsidP="00A85628">
      <w:pPr>
        <w:pStyle w:val="Heading4"/>
        <w:spacing w:before="0"/>
        <w:ind w:right="-274"/>
        <w:rPr>
          <w:rFonts w:ascii="Calibri" w:hAnsi="Calibri" w:cs="Calibri"/>
          <w:i w:val="0"/>
          <w:iCs w:val="0"/>
          <w:spacing w:val="-2"/>
          <w:sz w:val="16"/>
          <w:szCs w:val="16"/>
        </w:rPr>
      </w:pPr>
    </w:p>
    <w:p w14:paraId="327BB73C" w14:textId="77777777"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Neonatal Intensive Care L</w:t>
      </w:r>
      <w:r w:rsidRPr="00DD7BD1">
        <w:rPr>
          <w:rFonts w:ascii="Calibri" w:eastAsia="Times New Roman" w:hAnsi="Calibri" w:cs="Calibri"/>
          <w:b/>
          <w:bCs/>
          <w:color w:val="auto"/>
        </w:rPr>
        <w:t>eave</w:t>
      </w:r>
      <w:r w:rsidRPr="00DD7BD1">
        <w:rPr>
          <w:rFonts w:ascii="Calibri" w:hAnsi="Calibri" w:cs="Calibri"/>
          <w:spacing w:val="-7"/>
        </w:rPr>
        <w:t xml:space="preserve"> </w:t>
      </w:r>
      <w:r w:rsidRPr="00DD7BD1">
        <w:rPr>
          <w:rFonts w:ascii="Calibri" w:hAnsi="Calibri" w:cs="Calibri"/>
          <w:spacing w:val="-2"/>
        </w:rPr>
        <w:t>–</w:t>
      </w:r>
      <w:r w:rsidRPr="00DD7BD1">
        <w:rPr>
          <w:rFonts w:ascii="Calibri" w:hAnsi="Calibri" w:cs="Calibri"/>
          <w:spacing w:val="-12"/>
        </w:rPr>
        <w:t xml:space="preserve"> </w:t>
      </w:r>
      <w:r w:rsidRPr="00DD7BD1">
        <w:rPr>
          <w:rFonts w:ascii="Calibri" w:hAnsi="Calibri" w:cs="Calibri"/>
          <w:b/>
          <w:bCs/>
          <w:i w:val="0"/>
          <w:iCs w:val="0"/>
          <w:color w:val="auto"/>
          <w:spacing w:val="-2"/>
        </w:rPr>
        <w:t>Eff</w:t>
      </w:r>
      <w:r w:rsidRPr="00DD7BD1">
        <w:rPr>
          <w:rFonts w:ascii="Calibri" w:hAnsi="Calibri" w:cs="Calibri"/>
          <w:b/>
          <w:bCs/>
          <w:i w:val="0"/>
          <w:iCs w:val="0"/>
          <w:color w:val="auto"/>
          <w:spacing w:val="-12"/>
        </w:rPr>
        <w:t xml:space="preserve"> </w:t>
      </w:r>
      <w:r w:rsidRPr="00DD7BD1">
        <w:rPr>
          <w:rFonts w:ascii="Calibri" w:hAnsi="Calibri" w:cs="Calibri"/>
          <w:b/>
          <w:bCs/>
          <w:i w:val="0"/>
          <w:iCs w:val="0"/>
          <w:color w:val="C00000"/>
          <w:spacing w:val="-2"/>
        </w:rPr>
        <w:t>June</w:t>
      </w:r>
      <w:r w:rsidRPr="00DD7BD1">
        <w:rPr>
          <w:rFonts w:ascii="Calibri" w:hAnsi="Calibri" w:cs="Calibri"/>
          <w:b/>
          <w:bCs/>
          <w:i w:val="0"/>
          <w:iCs w:val="0"/>
          <w:color w:val="C00000"/>
          <w:spacing w:val="-12"/>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4F3146DF"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Effective</w:t>
      </w:r>
      <w:r w:rsidRPr="00DD7BD1">
        <w:rPr>
          <w:rFonts w:cs="Calibri"/>
          <w:color w:val="auto"/>
          <w:spacing w:val="-11"/>
          <w:w w:val="110"/>
          <w:szCs w:val="22"/>
        </w:rPr>
        <w:t xml:space="preserve"> </w:t>
      </w:r>
      <w:r w:rsidRPr="00DD7BD1">
        <w:rPr>
          <w:rFonts w:cs="Calibri"/>
          <w:color w:val="auto"/>
          <w:w w:val="110"/>
          <w:szCs w:val="22"/>
        </w:rPr>
        <w:t>June</w:t>
      </w:r>
      <w:r w:rsidRPr="00DD7BD1">
        <w:rPr>
          <w:rFonts w:cs="Calibri"/>
          <w:color w:val="auto"/>
          <w:spacing w:val="-11"/>
          <w:w w:val="110"/>
          <w:szCs w:val="22"/>
        </w:rPr>
        <w:t xml:space="preserve"> </w:t>
      </w:r>
      <w:r w:rsidRPr="00DD7BD1">
        <w:rPr>
          <w:rFonts w:cs="Calibri"/>
          <w:color w:val="auto"/>
          <w:w w:val="110"/>
          <w:szCs w:val="22"/>
        </w:rPr>
        <w:t>1,</w:t>
      </w:r>
      <w:r w:rsidRPr="00DD7BD1">
        <w:rPr>
          <w:rFonts w:cs="Calibri"/>
          <w:color w:val="auto"/>
          <w:spacing w:val="-13"/>
          <w:w w:val="110"/>
          <w:szCs w:val="22"/>
        </w:rPr>
        <w:t xml:space="preserve"> </w:t>
      </w:r>
      <w:r w:rsidRPr="00DD7BD1">
        <w:rPr>
          <w:rFonts w:cs="Calibri"/>
          <w:color w:val="auto"/>
          <w:w w:val="110"/>
          <w:szCs w:val="22"/>
        </w:rPr>
        <w:t>2026,</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10"/>
          <w:w w:val="110"/>
          <w:szCs w:val="22"/>
        </w:rPr>
        <w:t xml:space="preserve"> </w:t>
      </w:r>
      <w:r w:rsidRPr="00DD7BD1">
        <w:rPr>
          <w:rFonts w:cs="Calibri"/>
          <w:color w:val="auto"/>
          <w:w w:val="110"/>
          <w:szCs w:val="22"/>
        </w:rPr>
        <w:t>least</w:t>
      </w:r>
      <w:r w:rsidRPr="00DD7BD1">
        <w:rPr>
          <w:rFonts w:cs="Calibri"/>
          <w:color w:val="auto"/>
          <w:spacing w:val="-14"/>
          <w:w w:val="110"/>
          <w:szCs w:val="22"/>
        </w:rPr>
        <w:t xml:space="preserve"> </w:t>
      </w:r>
      <w:r w:rsidRPr="00DD7BD1">
        <w:rPr>
          <w:rFonts w:cs="Calibri"/>
          <w:color w:val="auto"/>
          <w:w w:val="110"/>
          <w:szCs w:val="22"/>
        </w:rPr>
        <w:t>sixteen</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are</w:t>
      </w:r>
      <w:r w:rsidRPr="00DD7BD1">
        <w:rPr>
          <w:rFonts w:cs="Calibri"/>
          <w:color w:val="auto"/>
          <w:spacing w:val="-9"/>
          <w:w w:val="110"/>
          <w:szCs w:val="22"/>
        </w:rPr>
        <w:t xml:space="preserve"> </w:t>
      </w:r>
      <w:r w:rsidRPr="00DD7BD1">
        <w:rPr>
          <w:rFonts w:cs="Calibri"/>
          <w:color w:val="auto"/>
          <w:w w:val="110"/>
          <w:szCs w:val="22"/>
        </w:rPr>
        <w:t>required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provide</w:t>
      </w:r>
      <w:r w:rsidRPr="00DD7BD1">
        <w:rPr>
          <w:rFonts w:cs="Calibri"/>
          <w:color w:val="auto"/>
          <w:spacing w:val="-11"/>
          <w:w w:val="110"/>
          <w:szCs w:val="22"/>
        </w:rPr>
        <w:t xml:space="preserve"> </w:t>
      </w:r>
      <w:r w:rsidRPr="00DD7BD1">
        <w:rPr>
          <w:rFonts w:cs="Calibri"/>
          <w:color w:val="auto"/>
          <w:w w:val="110"/>
          <w:szCs w:val="22"/>
        </w:rPr>
        <w:t>unpaid</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 xml:space="preserve">to </w:t>
      </w:r>
      <w:r w:rsidRPr="00DD7BD1">
        <w:rPr>
          <w:rFonts w:cs="Calibri"/>
          <w:color w:val="auto"/>
          <w:spacing w:val="-2"/>
          <w:w w:val="115"/>
          <w:szCs w:val="22"/>
        </w:rPr>
        <w:t>employees</w:t>
      </w:r>
      <w:r w:rsidRPr="00DD7BD1">
        <w:rPr>
          <w:rFonts w:cs="Calibri"/>
          <w:color w:val="auto"/>
          <w:spacing w:val="-11"/>
          <w:w w:val="115"/>
          <w:szCs w:val="22"/>
        </w:rPr>
        <w:t xml:space="preserve"> </w:t>
      </w:r>
      <w:r w:rsidRPr="00DD7BD1">
        <w:rPr>
          <w:rFonts w:cs="Calibri"/>
          <w:color w:val="auto"/>
          <w:spacing w:val="-2"/>
          <w:w w:val="115"/>
          <w:szCs w:val="22"/>
        </w:rPr>
        <w:t>to</w:t>
      </w:r>
      <w:r w:rsidRPr="00DD7BD1">
        <w:rPr>
          <w:rFonts w:cs="Calibri"/>
          <w:color w:val="auto"/>
          <w:spacing w:val="-13"/>
          <w:w w:val="115"/>
          <w:szCs w:val="22"/>
        </w:rPr>
        <w:t xml:space="preserve"> </w:t>
      </w:r>
      <w:r w:rsidRPr="00DD7BD1">
        <w:rPr>
          <w:rFonts w:cs="Calibri"/>
          <w:color w:val="auto"/>
          <w:spacing w:val="-2"/>
          <w:w w:val="115"/>
          <w:szCs w:val="22"/>
        </w:rPr>
        <w:t>use</w:t>
      </w:r>
      <w:r w:rsidRPr="00DD7BD1">
        <w:rPr>
          <w:rFonts w:cs="Calibri"/>
          <w:color w:val="auto"/>
          <w:spacing w:val="-11"/>
          <w:w w:val="115"/>
          <w:szCs w:val="22"/>
        </w:rPr>
        <w:t xml:space="preserve"> </w:t>
      </w:r>
      <w:r w:rsidRPr="00DD7BD1">
        <w:rPr>
          <w:rFonts w:cs="Calibri"/>
          <w:color w:val="auto"/>
          <w:spacing w:val="-2"/>
          <w:w w:val="115"/>
          <w:szCs w:val="22"/>
        </w:rPr>
        <w:t>while</w:t>
      </w:r>
      <w:r w:rsidRPr="00DD7BD1">
        <w:rPr>
          <w:rFonts w:cs="Calibri"/>
          <w:color w:val="auto"/>
          <w:spacing w:val="-11"/>
          <w:w w:val="115"/>
          <w:szCs w:val="22"/>
        </w:rPr>
        <w:t xml:space="preserve"> </w:t>
      </w:r>
      <w:r w:rsidRPr="00DD7BD1">
        <w:rPr>
          <w:rFonts w:cs="Calibri"/>
          <w:color w:val="auto"/>
          <w:spacing w:val="-2"/>
          <w:w w:val="115"/>
          <w:szCs w:val="22"/>
        </w:rPr>
        <w:t>their</w:t>
      </w:r>
      <w:r w:rsidRPr="00DD7BD1">
        <w:rPr>
          <w:rFonts w:cs="Calibri"/>
          <w:color w:val="auto"/>
          <w:spacing w:val="-12"/>
          <w:w w:val="115"/>
          <w:szCs w:val="22"/>
        </w:rPr>
        <w:t xml:space="preserve"> </w:t>
      </w:r>
      <w:r w:rsidRPr="00DD7BD1">
        <w:rPr>
          <w:rFonts w:cs="Calibri"/>
          <w:color w:val="auto"/>
          <w:spacing w:val="-2"/>
          <w:w w:val="115"/>
          <w:szCs w:val="22"/>
        </w:rPr>
        <w:t>child</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3"/>
          <w:w w:val="115"/>
          <w:szCs w:val="22"/>
        </w:rPr>
        <w:t xml:space="preserve"> </w:t>
      </w:r>
      <w:r w:rsidRPr="00DD7BD1">
        <w:rPr>
          <w:rFonts w:cs="Calibri"/>
          <w:color w:val="auto"/>
          <w:spacing w:val="-2"/>
          <w:w w:val="115"/>
          <w:szCs w:val="22"/>
        </w:rPr>
        <w:t>patient</w:t>
      </w:r>
      <w:r w:rsidRPr="00DD7BD1">
        <w:rPr>
          <w:rFonts w:cs="Calibri"/>
          <w:color w:val="auto"/>
          <w:spacing w:val="-16"/>
          <w:w w:val="115"/>
          <w:szCs w:val="22"/>
        </w:rPr>
        <w:t xml:space="preserve"> </w:t>
      </w:r>
      <w:r w:rsidRPr="00DD7BD1">
        <w:rPr>
          <w:rFonts w:cs="Calibri"/>
          <w:color w:val="auto"/>
          <w:spacing w:val="-2"/>
          <w:w w:val="115"/>
          <w:szCs w:val="22"/>
        </w:rPr>
        <w:t>in</w:t>
      </w:r>
      <w:r w:rsidRPr="00DD7BD1">
        <w:rPr>
          <w:rFonts w:cs="Calibri"/>
          <w:color w:val="auto"/>
          <w:spacing w:val="-12"/>
          <w:w w:val="115"/>
          <w:szCs w:val="22"/>
        </w:rPr>
        <w:t xml:space="preserve"> </w:t>
      </w:r>
      <w:r w:rsidRPr="00DD7BD1">
        <w:rPr>
          <w:rFonts w:cs="Calibri"/>
          <w:color w:val="auto"/>
          <w:spacing w:val="-2"/>
          <w:w w:val="115"/>
          <w:szCs w:val="22"/>
        </w:rPr>
        <w:t>a</w:t>
      </w:r>
      <w:r w:rsidRPr="00DD7BD1">
        <w:rPr>
          <w:rFonts w:cs="Calibri"/>
          <w:color w:val="auto"/>
          <w:spacing w:val="-14"/>
          <w:w w:val="115"/>
          <w:szCs w:val="22"/>
        </w:rPr>
        <w:t xml:space="preserve"> </w:t>
      </w:r>
      <w:r w:rsidRPr="00DD7BD1">
        <w:rPr>
          <w:rFonts w:cs="Calibri"/>
          <w:color w:val="auto"/>
          <w:spacing w:val="-2"/>
          <w:w w:val="115"/>
          <w:szCs w:val="22"/>
        </w:rPr>
        <w:t>neonatal</w:t>
      </w:r>
      <w:r w:rsidRPr="00DD7BD1">
        <w:rPr>
          <w:rFonts w:cs="Calibri"/>
          <w:color w:val="auto"/>
          <w:spacing w:val="-13"/>
          <w:w w:val="115"/>
          <w:szCs w:val="22"/>
        </w:rPr>
        <w:t xml:space="preserve"> </w:t>
      </w:r>
      <w:r w:rsidRPr="00DD7BD1">
        <w:rPr>
          <w:rFonts w:cs="Calibri"/>
          <w:color w:val="auto"/>
          <w:spacing w:val="-2"/>
          <w:w w:val="115"/>
          <w:szCs w:val="22"/>
        </w:rPr>
        <w:t>intensive</w:t>
      </w:r>
      <w:r w:rsidRPr="00DD7BD1">
        <w:rPr>
          <w:rFonts w:cs="Calibri"/>
          <w:color w:val="auto"/>
          <w:spacing w:val="-11"/>
          <w:w w:val="115"/>
          <w:szCs w:val="22"/>
        </w:rPr>
        <w:t xml:space="preserve"> </w:t>
      </w:r>
      <w:r w:rsidRPr="00DD7BD1">
        <w:rPr>
          <w:rFonts w:cs="Calibri"/>
          <w:color w:val="auto"/>
          <w:spacing w:val="-2"/>
          <w:w w:val="115"/>
          <w:szCs w:val="22"/>
        </w:rPr>
        <w:t>care</w:t>
      </w:r>
      <w:r w:rsidRPr="00DD7BD1">
        <w:rPr>
          <w:rFonts w:cs="Calibri"/>
          <w:color w:val="auto"/>
          <w:spacing w:val="-17"/>
          <w:w w:val="115"/>
          <w:szCs w:val="22"/>
        </w:rPr>
        <w:t xml:space="preserve"> </w:t>
      </w:r>
      <w:r w:rsidRPr="00DD7BD1">
        <w:rPr>
          <w:rFonts w:cs="Calibri"/>
          <w:color w:val="auto"/>
          <w:spacing w:val="-2"/>
          <w:w w:val="115"/>
          <w:szCs w:val="22"/>
        </w:rPr>
        <w:t>unit.</w:t>
      </w:r>
    </w:p>
    <w:p w14:paraId="3078BD31"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Under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hyperlink r:id="rId643">
        <w:r w:rsidRPr="00DD7BD1">
          <w:rPr>
            <w:rFonts w:cs="Calibri"/>
            <w:color w:val="0000FF"/>
            <w:w w:val="110"/>
            <w:szCs w:val="22"/>
            <w:u w:val="single" w:color="0000FF"/>
          </w:rPr>
          <w:t>Family</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Neonatal</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Intensive</w:t>
        </w:r>
        <w:r w:rsidRPr="00DD7BD1">
          <w:rPr>
            <w:rFonts w:cs="Calibri"/>
            <w:color w:val="0000FF"/>
            <w:spacing w:val="-14"/>
            <w:w w:val="110"/>
            <w:szCs w:val="22"/>
            <w:u w:val="single" w:color="0000FF"/>
          </w:rPr>
          <w:t xml:space="preserve"> </w:t>
        </w:r>
        <w:r w:rsidRPr="00DD7BD1">
          <w:rPr>
            <w:rFonts w:cs="Calibri"/>
            <w:color w:val="0000FF"/>
            <w:w w:val="110"/>
            <w:szCs w:val="22"/>
            <w:u w:val="single" w:color="0000FF"/>
          </w:rPr>
          <w:t>Care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Leave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Act</w:t>
        </w:r>
        <w:r w:rsidRPr="00DD7BD1">
          <w:rPr>
            <w:rFonts w:cs="Calibri"/>
            <w:w w:val="110"/>
            <w:szCs w:val="22"/>
          </w:rPr>
          <w:t>,</w:t>
        </w:r>
      </w:hyperlink>
      <w:r w:rsidRPr="00DD7BD1">
        <w:rPr>
          <w:rFonts w:cs="Calibri"/>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16</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50</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may</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6"/>
          <w:w w:val="110"/>
          <w:szCs w:val="22"/>
        </w:rPr>
        <w:t xml:space="preserve"> </w:t>
      </w:r>
      <w:r w:rsidRPr="00DD7BD1">
        <w:rPr>
          <w:rFonts w:cs="Calibri"/>
          <w:color w:val="auto"/>
          <w:w w:val="110"/>
          <w:szCs w:val="22"/>
        </w:rPr>
        <w:t>up to 10 days of leave, while employees of employers with at least 51 employees may use up to 20 days of leave.</w:t>
      </w:r>
    </w:p>
    <w:p w14:paraId="22FED506" w14:textId="77777777" w:rsidR="00A85628" w:rsidRPr="00DD7BD1" w:rsidRDefault="00A85628" w:rsidP="00A85628">
      <w:pPr>
        <w:pStyle w:val="BodyText"/>
        <w:spacing w:after="0" w:line="240" w:lineRule="auto"/>
        <w:ind w:right="-274"/>
        <w:jc w:val="left"/>
        <w:rPr>
          <w:rFonts w:cs="Calibri"/>
          <w:color w:val="auto"/>
          <w:sz w:val="16"/>
          <w:szCs w:val="16"/>
        </w:rPr>
      </w:pPr>
    </w:p>
    <w:p w14:paraId="253F00F4"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7"/>
          <w:w w:val="110"/>
          <w:szCs w:val="22"/>
        </w:rPr>
        <w:t xml:space="preserve"> </w:t>
      </w:r>
      <w:r w:rsidRPr="00DD7BD1">
        <w:rPr>
          <w:rFonts w:cs="Calibri"/>
          <w:color w:val="auto"/>
          <w:w w:val="110"/>
          <w:szCs w:val="22"/>
        </w:rPr>
        <w:t>continuously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intermittently,</w:t>
      </w:r>
      <w:r w:rsidRPr="00DD7BD1">
        <w:rPr>
          <w:rFonts w:cs="Calibri"/>
          <w:color w:val="auto"/>
          <w:spacing w:val="-6"/>
          <w:w w:val="110"/>
          <w:szCs w:val="22"/>
        </w:rPr>
        <w:t xml:space="preserve"> </w:t>
      </w:r>
      <w:r w:rsidRPr="00DD7BD1">
        <w:rPr>
          <w:rFonts w:cs="Calibri"/>
          <w:color w:val="auto"/>
          <w:w w:val="110"/>
          <w:szCs w:val="22"/>
        </w:rPr>
        <w:t>though</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at least</w:t>
      </w:r>
      <w:r w:rsidRPr="00DD7BD1">
        <w:rPr>
          <w:rFonts w:cs="Calibri"/>
          <w:color w:val="auto"/>
          <w:spacing w:val="-12"/>
          <w:w w:val="110"/>
          <w:szCs w:val="22"/>
        </w:rPr>
        <w:t xml:space="preserve"> </w:t>
      </w:r>
      <w:r w:rsidRPr="00DD7BD1">
        <w:rPr>
          <w:rFonts w:cs="Calibri"/>
          <w:color w:val="auto"/>
          <w:w w:val="110"/>
          <w:szCs w:val="22"/>
        </w:rPr>
        <w:t>two-hour</w:t>
      </w:r>
      <w:r w:rsidRPr="00DD7BD1">
        <w:rPr>
          <w:rFonts w:cs="Calibri"/>
          <w:color w:val="auto"/>
          <w:spacing w:val="-15"/>
          <w:w w:val="110"/>
          <w:szCs w:val="22"/>
        </w:rPr>
        <w:t xml:space="preserve"> </w:t>
      </w:r>
      <w:r w:rsidRPr="00DD7BD1">
        <w:rPr>
          <w:rFonts w:cs="Calibri"/>
          <w:color w:val="auto"/>
          <w:w w:val="110"/>
          <w:szCs w:val="22"/>
        </w:rPr>
        <w:t>increments.</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bill</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maintain</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3"/>
          <w:w w:val="110"/>
          <w:szCs w:val="22"/>
        </w:rPr>
        <w:t xml:space="preserve"> </w:t>
      </w:r>
      <w:r w:rsidRPr="00DD7BD1">
        <w:rPr>
          <w:rFonts w:cs="Calibri"/>
          <w:color w:val="auto"/>
          <w:w w:val="110"/>
          <w:szCs w:val="22"/>
        </w:rPr>
        <w:t>health</w:t>
      </w:r>
      <w:r w:rsidRPr="00DD7BD1">
        <w:rPr>
          <w:rFonts w:cs="Calibri"/>
          <w:color w:val="auto"/>
          <w:spacing w:val="-12"/>
          <w:w w:val="110"/>
          <w:szCs w:val="22"/>
        </w:rPr>
        <w:t xml:space="preserve"> </w:t>
      </w:r>
      <w:r w:rsidRPr="00DD7BD1">
        <w:rPr>
          <w:rFonts w:cs="Calibri"/>
          <w:color w:val="auto"/>
          <w:w w:val="110"/>
          <w:szCs w:val="22"/>
        </w:rPr>
        <w:t>insurance</w:t>
      </w:r>
      <w:r w:rsidRPr="00DD7BD1">
        <w:rPr>
          <w:rFonts w:cs="Calibri"/>
          <w:color w:val="auto"/>
          <w:spacing w:val="-16"/>
          <w:w w:val="110"/>
          <w:szCs w:val="22"/>
        </w:rPr>
        <w:t xml:space="preserve"> </w:t>
      </w:r>
      <w:r w:rsidRPr="00DD7BD1">
        <w:rPr>
          <w:rFonts w:cs="Calibri"/>
          <w:color w:val="auto"/>
          <w:w w:val="110"/>
          <w:szCs w:val="22"/>
        </w:rPr>
        <w:t>benefits</w:t>
      </w:r>
      <w:r w:rsidRPr="00DD7BD1">
        <w:rPr>
          <w:rFonts w:cs="Calibri"/>
          <w:color w:val="auto"/>
          <w:spacing w:val="-13"/>
          <w:w w:val="110"/>
          <w:szCs w:val="22"/>
        </w:rPr>
        <w:t xml:space="preserve"> </w:t>
      </w:r>
      <w:r w:rsidRPr="00DD7BD1">
        <w:rPr>
          <w:rFonts w:cs="Calibri"/>
          <w:color w:val="auto"/>
          <w:w w:val="110"/>
          <w:szCs w:val="22"/>
        </w:rPr>
        <w:t>while he</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she</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reinstate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his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her</w:t>
      </w:r>
      <w:r w:rsidRPr="00DD7BD1">
        <w:rPr>
          <w:rFonts w:cs="Calibri"/>
          <w:color w:val="auto"/>
          <w:spacing w:val="-6"/>
          <w:w w:val="110"/>
          <w:szCs w:val="22"/>
        </w:rPr>
        <w:t xml:space="preserve"> </w:t>
      </w:r>
      <w:r w:rsidRPr="00DD7BD1">
        <w:rPr>
          <w:rFonts w:cs="Calibri"/>
          <w:color w:val="auto"/>
          <w:w w:val="110"/>
          <w:szCs w:val="22"/>
        </w:rPr>
        <w:t>former</w:t>
      </w:r>
      <w:r w:rsidRPr="00DD7BD1">
        <w:rPr>
          <w:rFonts w:cs="Calibri"/>
          <w:color w:val="auto"/>
          <w:spacing w:val="-6"/>
          <w:w w:val="110"/>
          <w:szCs w:val="22"/>
        </w:rPr>
        <w:t xml:space="preserve"> </w:t>
      </w:r>
      <w:r w:rsidRPr="00DD7BD1">
        <w:rPr>
          <w:rFonts w:cs="Calibri"/>
          <w:color w:val="auto"/>
          <w:w w:val="110"/>
          <w:szCs w:val="22"/>
        </w:rPr>
        <w:t>position</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substantially</w:t>
      </w:r>
      <w:r w:rsidRPr="00DD7BD1">
        <w:rPr>
          <w:rFonts w:cs="Calibri"/>
          <w:color w:val="auto"/>
          <w:spacing w:val="-5"/>
          <w:w w:val="110"/>
          <w:szCs w:val="22"/>
        </w:rPr>
        <w:t xml:space="preserve"> </w:t>
      </w:r>
      <w:r w:rsidRPr="00DD7BD1">
        <w:rPr>
          <w:rFonts w:cs="Calibri"/>
          <w:color w:val="auto"/>
          <w:w w:val="110"/>
          <w:szCs w:val="22"/>
        </w:rPr>
        <w:t>equivalent position once the leave ends. Employers are prohibited from taking any adverse action against an employee exercising</w:t>
      </w:r>
      <w:r w:rsidRPr="00DD7BD1">
        <w:rPr>
          <w:rFonts w:cs="Calibri"/>
          <w:color w:val="auto"/>
          <w:spacing w:val="-14"/>
          <w:w w:val="110"/>
          <w:szCs w:val="22"/>
        </w:rPr>
        <w:t xml:space="preserve"> </w:t>
      </w:r>
      <w:r w:rsidRPr="00DD7BD1">
        <w:rPr>
          <w:rFonts w:cs="Calibri"/>
          <w:color w:val="auto"/>
          <w:w w:val="110"/>
          <w:szCs w:val="22"/>
        </w:rPr>
        <w:t>his</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her</w:t>
      </w:r>
      <w:r w:rsidRPr="00DD7BD1">
        <w:rPr>
          <w:rFonts w:cs="Calibri"/>
          <w:color w:val="auto"/>
          <w:spacing w:val="-15"/>
          <w:w w:val="110"/>
          <w:szCs w:val="22"/>
        </w:rPr>
        <w:t xml:space="preserve"> </w:t>
      </w:r>
      <w:r w:rsidRPr="00DD7BD1">
        <w:rPr>
          <w:rFonts w:cs="Calibri"/>
          <w:color w:val="auto"/>
          <w:w w:val="110"/>
          <w:szCs w:val="22"/>
        </w:rPr>
        <w:t>right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neonatal</w:t>
      </w:r>
      <w:r w:rsidRPr="00DD7BD1">
        <w:rPr>
          <w:rFonts w:cs="Calibri"/>
          <w:color w:val="auto"/>
          <w:spacing w:val="-14"/>
          <w:w w:val="110"/>
          <w:szCs w:val="22"/>
        </w:rPr>
        <w:t xml:space="preserve"> </w:t>
      </w:r>
      <w:r w:rsidRPr="00DD7BD1">
        <w:rPr>
          <w:rFonts w:cs="Calibri"/>
          <w:color w:val="auto"/>
          <w:w w:val="110"/>
          <w:szCs w:val="22"/>
        </w:rPr>
        <w:t>intensive</w:t>
      </w:r>
      <w:r w:rsidRPr="00DD7BD1">
        <w:rPr>
          <w:rFonts w:cs="Calibri"/>
          <w:color w:val="auto"/>
          <w:spacing w:val="-12"/>
          <w:w w:val="110"/>
          <w:szCs w:val="22"/>
        </w:rPr>
        <w:t xml:space="preserve"> </w:t>
      </w:r>
      <w:r w:rsidRPr="00DD7BD1">
        <w:rPr>
          <w:rFonts w:cs="Calibri"/>
          <w:color w:val="auto"/>
          <w:w w:val="110"/>
          <w:szCs w:val="22"/>
        </w:rPr>
        <w:t>care</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who</w:t>
      </w:r>
      <w:r w:rsidRPr="00DD7BD1">
        <w:rPr>
          <w:rFonts w:cs="Calibri"/>
          <w:color w:val="auto"/>
          <w:spacing w:val="-14"/>
          <w:w w:val="110"/>
          <w:szCs w:val="22"/>
        </w:rPr>
        <w:t xml:space="preserve"> </w:t>
      </w:r>
      <w:r w:rsidRPr="00DD7BD1">
        <w:rPr>
          <w:rFonts w:cs="Calibri"/>
          <w:color w:val="auto"/>
          <w:w w:val="110"/>
          <w:szCs w:val="22"/>
        </w:rPr>
        <w:t>violate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subject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civil penalty up to $5,000 per employee affected.</w:t>
      </w:r>
    </w:p>
    <w:p w14:paraId="4D4BC3C4" w14:textId="77777777" w:rsidR="00F9575D" w:rsidRPr="00DD7BD1" w:rsidRDefault="00F9575D" w:rsidP="00A85628">
      <w:pPr>
        <w:pStyle w:val="Heading1"/>
        <w:spacing w:before="0" w:beforeAutospacing="0" w:after="0" w:afterAutospacing="0"/>
        <w:ind w:right="356"/>
        <w:jc w:val="center"/>
        <w:rPr>
          <w:rFonts w:ascii="Calibri" w:hAnsi="Calibri" w:cs="Calibri"/>
          <w:kern w:val="0"/>
          <w:sz w:val="22"/>
          <w:szCs w:val="22"/>
          <w:shd w:val="clear" w:color="auto" w:fill="FFFFFF"/>
        </w:rPr>
      </w:pPr>
    </w:p>
    <w:p w14:paraId="0DC82199" w14:textId="7940FD8B" w:rsidR="00A85628" w:rsidRPr="00DD7BD1" w:rsidRDefault="00A85628" w:rsidP="00A85628">
      <w:pPr>
        <w:pStyle w:val="Heading1"/>
        <w:spacing w:before="0" w:beforeAutospacing="0" w:after="0" w:afterAutospacing="0"/>
        <w:ind w:right="356"/>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 xml:space="preserve">State’s Military Leave Law – Eff </w:t>
      </w:r>
      <w:r w:rsidRPr="00DD7BD1">
        <w:rPr>
          <w:rFonts w:ascii="Calibri" w:hAnsi="Calibri" w:cs="Calibri"/>
          <w:color w:val="C00000"/>
          <w:kern w:val="0"/>
          <w:sz w:val="28"/>
          <w:szCs w:val="28"/>
          <w:shd w:val="clear" w:color="auto" w:fill="FFFFFF"/>
        </w:rPr>
        <w:t>Aug 1, 2025</w:t>
      </w:r>
    </w:p>
    <w:p w14:paraId="51BDB1FD" w14:textId="77777777" w:rsidR="00A85628" w:rsidRPr="00DD7BD1"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Calibri" w:hAnsi="Calibri" w:cs="Calibri"/>
        </w:rPr>
      </w:pPr>
      <w:r w:rsidRPr="00DD7BD1">
        <w:rPr>
          <w:rFonts w:ascii="Calibri" w:hAnsi="Calibri" w:cs="Calibri"/>
          <w:w w:val="105"/>
        </w:rPr>
        <w:t xml:space="preserve">Illinois </w:t>
      </w:r>
      <w:r w:rsidRPr="00DD7BD1">
        <w:rPr>
          <w:rFonts w:ascii="Calibri" w:hAnsi="Calibri" w:cs="Calibri"/>
          <w:w w:val="105"/>
          <w:u w:val="single"/>
        </w:rPr>
        <w:t>employers with 51 or more employees</w:t>
      </w:r>
      <w:r w:rsidRPr="00DD7BD1">
        <w:rPr>
          <w:rFonts w:ascii="Calibri" w:hAnsi="Calibri" w:cs="Calibri"/>
          <w:w w:val="105"/>
        </w:rPr>
        <w:t xml:space="preserve"> are now required to provide </w:t>
      </w:r>
      <w:r w:rsidRPr="00DD7BD1">
        <w:rPr>
          <w:rFonts w:ascii="Calibri" w:hAnsi="Calibri" w:cs="Calibri"/>
          <w:b/>
          <w:i/>
          <w:w w:val="105"/>
        </w:rPr>
        <w:t>paid</w:t>
      </w:r>
      <w:r w:rsidRPr="00DD7BD1">
        <w:rPr>
          <w:rFonts w:ascii="Calibri" w:hAnsi="Calibri" w:cs="Calibri"/>
          <w:b/>
          <w:i/>
          <w:spacing w:val="-2"/>
          <w:w w:val="105"/>
        </w:rPr>
        <w:t xml:space="preserve"> </w:t>
      </w:r>
      <w:r w:rsidRPr="00DD7BD1">
        <w:rPr>
          <w:rFonts w:ascii="Calibri" w:hAnsi="Calibri" w:cs="Calibri"/>
          <w:b/>
          <w:w w:val="105"/>
        </w:rPr>
        <w:t xml:space="preserve">leave </w:t>
      </w:r>
      <w:r w:rsidRPr="00DD7BD1">
        <w:rPr>
          <w:rFonts w:ascii="Calibri" w:hAnsi="Calibri" w:cs="Calibri"/>
          <w:w w:val="105"/>
        </w:rPr>
        <w:t>to employees who participate</w:t>
      </w:r>
      <w:r w:rsidRPr="00DD7BD1">
        <w:rPr>
          <w:rFonts w:ascii="Calibri" w:hAnsi="Calibri" w:cs="Calibri"/>
          <w:spacing w:val="-7"/>
          <w:w w:val="105"/>
        </w:rPr>
        <w:t xml:space="preserve"> </w:t>
      </w:r>
      <w:r w:rsidRPr="00DD7BD1">
        <w:rPr>
          <w:rFonts w:ascii="Calibri" w:hAnsi="Calibri" w:cs="Calibri"/>
          <w:w w:val="105"/>
        </w:rPr>
        <w:t>in</w:t>
      </w:r>
      <w:r w:rsidRPr="00DD7BD1">
        <w:rPr>
          <w:rFonts w:ascii="Calibri" w:hAnsi="Calibri" w:cs="Calibri"/>
          <w:spacing w:val="-10"/>
          <w:w w:val="105"/>
        </w:rPr>
        <w:t xml:space="preserve"> </w:t>
      </w:r>
      <w:r w:rsidRPr="00DD7BD1">
        <w:rPr>
          <w:rFonts w:ascii="Calibri" w:hAnsi="Calibri" w:cs="Calibri"/>
          <w:w w:val="105"/>
        </w:rPr>
        <w:t>a</w:t>
      </w:r>
      <w:r w:rsidRPr="00DD7BD1">
        <w:rPr>
          <w:rFonts w:ascii="Calibri" w:hAnsi="Calibri" w:cs="Calibri"/>
          <w:spacing w:val="-9"/>
          <w:w w:val="105"/>
        </w:rPr>
        <w:t xml:space="preserve"> </w:t>
      </w:r>
      <w:r w:rsidRPr="00DD7BD1">
        <w:rPr>
          <w:rFonts w:ascii="Calibri" w:hAnsi="Calibri" w:cs="Calibri"/>
          <w:b/>
          <w:w w:val="105"/>
        </w:rPr>
        <w:t>military</w:t>
      </w:r>
      <w:r w:rsidRPr="00DD7BD1">
        <w:rPr>
          <w:rFonts w:ascii="Calibri" w:hAnsi="Calibri" w:cs="Calibri"/>
          <w:b/>
          <w:spacing w:val="-8"/>
          <w:w w:val="105"/>
        </w:rPr>
        <w:t xml:space="preserve"> </w:t>
      </w:r>
      <w:r w:rsidRPr="00DD7BD1">
        <w:rPr>
          <w:rFonts w:ascii="Calibri" w:hAnsi="Calibri" w:cs="Calibri"/>
          <w:b/>
          <w:w w:val="105"/>
        </w:rPr>
        <w:t>funeral</w:t>
      </w:r>
      <w:r w:rsidRPr="00DD7BD1">
        <w:rPr>
          <w:rFonts w:ascii="Calibri" w:hAnsi="Calibri" w:cs="Calibri"/>
          <w:b/>
          <w:spacing w:val="-11"/>
          <w:w w:val="105"/>
        </w:rPr>
        <w:t xml:space="preserve"> </w:t>
      </w:r>
      <w:r w:rsidRPr="00DD7BD1">
        <w:rPr>
          <w:rFonts w:ascii="Calibri" w:hAnsi="Calibri" w:cs="Calibri"/>
          <w:b/>
          <w:w w:val="105"/>
        </w:rPr>
        <w:t>honors</w:t>
      </w:r>
      <w:r w:rsidRPr="00DD7BD1">
        <w:rPr>
          <w:rFonts w:ascii="Calibri" w:hAnsi="Calibri" w:cs="Calibri"/>
          <w:b/>
          <w:spacing w:val="-10"/>
          <w:w w:val="105"/>
        </w:rPr>
        <w:t xml:space="preserve"> </w:t>
      </w:r>
      <w:r w:rsidRPr="00DD7BD1">
        <w:rPr>
          <w:rFonts w:ascii="Calibri" w:hAnsi="Calibri" w:cs="Calibri"/>
          <w:b/>
          <w:w w:val="105"/>
        </w:rPr>
        <w:t>detail</w:t>
      </w:r>
      <w:r w:rsidRPr="00DD7BD1">
        <w:rPr>
          <w:rFonts w:ascii="Calibri" w:hAnsi="Calibri" w:cs="Calibri"/>
          <w:b/>
        </w:rPr>
        <w:tab/>
      </w:r>
      <w:r w:rsidRPr="00DD7BD1">
        <w:rPr>
          <w:rFonts w:ascii="Calibri" w:hAnsi="Calibri" w:cs="Calibri"/>
          <w:w w:val="105"/>
        </w:rPr>
        <w:t>(</w:t>
      </w:r>
      <w:hyperlink r:id="rId644">
        <w:r w:rsidRPr="00DD7BD1">
          <w:rPr>
            <w:rFonts w:ascii="Calibri" w:hAnsi="Calibri" w:cs="Calibri"/>
            <w:color w:val="0000FF"/>
            <w:w w:val="105"/>
            <w:u w:val="single" w:color="0000FF"/>
          </w:rPr>
          <w:t>Public Act 104-0078</w:t>
        </w:r>
      </w:hyperlink>
      <w:r w:rsidRPr="00DD7BD1">
        <w:rPr>
          <w:rFonts w:ascii="Calibri" w:hAnsi="Calibri" w:cs="Calibri"/>
          <w:w w:val="105"/>
        </w:rPr>
        <w:t>)</w:t>
      </w:r>
    </w:p>
    <w:p w14:paraId="756214B8" w14:textId="77777777" w:rsidR="00A85628" w:rsidRPr="00DD7BD1"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can</w:t>
      </w:r>
      <w:r w:rsidRPr="00DD7BD1">
        <w:rPr>
          <w:rFonts w:ascii="Calibri" w:hAnsi="Calibri" w:cs="Calibri"/>
          <w:spacing w:val="-11"/>
          <w:w w:val="110"/>
        </w:rPr>
        <w:t xml:space="preserve"> </w:t>
      </w:r>
      <w:r w:rsidRPr="00DD7BD1">
        <w:rPr>
          <w:rFonts w:ascii="Calibri" w:hAnsi="Calibri" w:cs="Calibri"/>
          <w:spacing w:val="-2"/>
          <w:w w:val="110"/>
        </w:rPr>
        <w:t>take</w:t>
      </w:r>
      <w:r w:rsidRPr="00DD7BD1">
        <w:rPr>
          <w:rFonts w:ascii="Calibri" w:hAnsi="Calibri" w:cs="Calibri"/>
          <w:spacing w:val="-10"/>
          <w:w w:val="110"/>
        </w:rPr>
        <w:t xml:space="preserve"> </w:t>
      </w:r>
      <w:r w:rsidRPr="00DD7BD1">
        <w:rPr>
          <w:rFonts w:ascii="Calibri" w:hAnsi="Calibri" w:cs="Calibri"/>
          <w:spacing w:val="-2"/>
          <w:w w:val="110"/>
        </w:rPr>
        <w:t>up</w:t>
      </w:r>
      <w:r w:rsidRPr="00DD7BD1">
        <w:rPr>
          <w:rFonts w:ascii="Calibri" w:hAnsi="Calibri" w:cs="Calibri"/>
          <w:spacing w:val="-10"/>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eight</w:t>
      </w:r>
      <w:r w:rsidRPr="00DD7BD1">
        <w:rPr>
          <w:rFonts w:ascii="Calibri" w:hAnsi="Calibri" w:cs="Calibri"/>
          <w:spacing w:val="-8"/>
          <w:w w:val="110"/>
        </w:rPr>
        <w:t xml:space="preserve"> </w:t>
      </w:r>
      <w:r w:rsidRPr="00DD7BD1">
        <w:rPr>
          <w:rFonts w:ascii="Calibri" w:hAnsi="Calibri" w:cs="Calibri"/>
          <w:spacing w:val="-2"/>
          <w:w w:val="110"/>
          <w:u w:val="single"/>
        </w:rPr>
        <w:t>(8)</w:t>
      </w:r>
      <w:r w:rsidRPr="00DD7BD1">
        <w:rPr>
          <w:rFonts w:ascii="Calibri" w:hAnsi="Calibri" w:cs="Calibri"/>
          <w:spacing w:val="-10"/>
          <w:w w:val="110"/>
          <w:u w:val="single"/>
        </w:rPr>
        <w:t xml:space="preserve"> </w:t>
      </w:r>
      <w:r w:rsidRPr="00DD7BD1">
        <w:rPr>
          <w:rFonts w:ascii="Calibri" w:hAnsi="Calibri" w:cs="Calibri"/>
          <w:spacing w:val="-2"/>
          <w:w w:val="110"/>
          <w:u w:val="single"/>
        </w:rPr>
        <w:t>hours</w:t>
      </w:r>
      <w:r w:rsidRPr="00DD7BD1">
        <w:rPr>
          <w:rFonts w:ascii="Calibri" w:hAnsi="Calibri" w:cs="Calibri"/>
          <w:spacing w:val="-10"/>
          <w:w w:val="110"/>
          <w:u w:val="single"/>
        </w:rPr>
        <w:t xml:space="preserve"> </w:t>
      </w:r>
      <w:r w:rsidRPr="00DD7BD1">
        <w:rPr>
          <w:rFonts w:ascii="Calibri" w:hAnsi="Calibri" w:cs="Calibri"/>
          <w:spacing w:val="-2"/>
          <w:w w:val="110"/>
          <w:u w:val="single"/>
        </w:rPr>
        <w:t>per</w:t>
      </w:r>
      <w:r w:rsidRPr="00DD7BD1">
        <w:rPr>
          <w:rFonts w:ascii="Calibri" w:hAnsi="Calibri" w:cs="Calibri"/>
          <w:spacing w:val="-11"/>
          <w:w w:val="110"/>
          <w:u w:val="single"/>
        </w:rPr>
        <w:t xml:space="preserve"> </w:t>
      </w:r>
      <w:r w:rsidRPr="00DD7BD1">
        <w:rPr>
          <w:rFonts w:ascii="Calibri" w:hAnsi="Calibri" w:cs="Calibri"/>
          <w:spacing w:val="-2"/>
          <w:w w:val="110"/>
          <w:u w:val="single"/>
        </w:rPr>
        <w:t>month</w:t>
      </w:r>
      <w:r w:rsidRPr="00DD7BD1">
        <w:rPr>
          <w:rFonts w:ascii="Calibri" w:hAnsi="Calibri" w:cs="Calibri"/>
          <w:spacing w:val="-2"/>
          <w:w w:val="110"/>
        </w:rPr>
        <w:t>—but</w:t>
      </w:r>
      <w:r w:rsidRPr="00DD7BD1">
        <w:rPr>
          <w:rFonts w:ascii="Calibri" w:hAnsi="Calibri" w:cs="Calibri"/>
          <w:spacing w:val="-13"/>
          <w:w w:val="110"/>
        </w:rPr>
        <w:t xml:space="preserve"> </w:t>
      </w:r>
      <w:r w:rsidRPr="00DD7BD1">
        <w:rPr>
          <w:rFonts w:ascii="Calibri" w:hAnsi="Calibri" w:cs="Calibri"/>
          <w:spacing w:val="-2"/>
          <w:w w:val="110"/>
        </w:rPr>
        <w:t>not</w:t>
      </w:r>
      <w:r w:rsidRPr="00DD7BD1">
        <w:rPr>
          <w:rFonts w:ascii="Calibri" w:hAnsi="Calibri" w:cs="Calibri"/>
          <w:spacing w:val="-13"/>
          <w:w w:val="110"/>
        </w:rPr>
        <w:t xml:space="preserve"> </w:t>
      </w:r>
      <w:r w:rsidRPr="00DD7BD1">
        <w:rPr>
          <w:rFonts w:ascii="Calibri" w:hAnsi="Calibri" w:cs="Calibri"/>
          <w:spacing w:val="-2"/>
          <w:w w:val="110"/>
        </w:rPr>
        <w:t>more</w:t>
      </w:r>
      <w:r w:rsidRPr="00DD7BD1">
        <w:rPr>
          <w:rFonts w:ascii="Calibri" w:hAnsi="Calibri" w:cs="Calibri"/>
          <w:spacing w:val="-10"/>
          <w:w w:val="110"/>
        </w:rPr>
        <w:t xml:space="preserve"> </w:t>
      </w:r>
      <w:r w:rsidRPr="00DD7BD1">
        <w:rPr>
          <w:rFonts w:ascii="Calibri" w:hAnsi="Calibri" w:cs="Calibri"/>
          <w:spacing w:val="-2"/>
          <w:w w:val="110"/>
        </w:rPr>
        <w:t>than</w:t>
      </w:r>
      <w:r w:rsidRPr="00DD7BD1">
        <w:rPr>
          <w:rFonts w:ascii="Calibri" w:hAnsi="Calibri" w:cs="Calibri"/>
          <w:spacing w:val="-10"/>
          <w:w w:val="110"/>
        </w:rPr>
        <w:t xml:space="preserve"> </w:t>
      </w:r>
      <w:r w:rsidRPr="00DD7BD1">
        <w:rPr>
          <w:rFonts w:ascii="Calibri" w:hAnsi="Calibri" w:cs="Calibri"/>
          <w:spacing w:val="-2"/>
          <w:w w:val="110"/>
        </w:rPr>
        <w:t>40</w:t>
      </w:r>
      <w:r w:rsidRPr="00DD7BD1">
        <w:rPr>
          <w:rFonts w:ascii="Calibri" w:hAnsi="Calibri" w:cs="Calibri"/>
          <w:spacing w:val="-10"/>
          <w:w w:val="110"/>
        </w:rPr>
        <w:t xml:space="preserve"> </w:t>
      </w:r>
      <w:r w:rsidRPr="00DD7BD1">
        <w:rPr>
          <w:rFonts w:ascii="Calibri" w:hAnsi="Calibri" w:cs="Calibri"/>
          <w:spacing w:val="-2"/>
          <w:w w:val="110"/>
        </w:rPr>
        <w:t>hours</w:t>
      </w:r>
      <w:r w:rsidRPr="00DD7BD1">
        <w:rPr>
          <w:rFonts w:ascii="Calibri" w:hAnsi="Calibri" w:cs="Calibri"/>
          <w:spacing w:val="-10"/>
          <w:w w:val="110"/>
        </w:rPr>
        <w:t xml:space="preserve"> </w:t>
      </w:r>
      <w:r w:rsidRPr="00DD7BD1">
        <w:rPr>
          <w:rFonts w:ascii="Calibri" w:hAnsi="Calibri" w:cs="Calibri"/>
          <w:spacing w:val="-2"/>
          <w:w w:val="110"/>
        </w:rPr>
        <w:t>per</w:t>
      </w:r>
      <w:r w:rsidRPr="00DD7BD1">
        <w:rPr>
          <w:rFonts w:ascii="Calibri" w:hAnsi="Calibri" w:cs="Calibri"/>
          <w:spacing w:val="-11"/>
          <w:w w:val="110"/>
        </w:rPr>
        <w:t xml:space="preserve"> </w:t>
      </w:r>
      <w:r w:rsidRPr="00DD7BD1">
        <w:rPr>
          <w:rFonts w:ascii="Calibri" w:hAnsi="Calibri" w:cs="Calibri"/>
          <w:spacing w:val="-2"/>
          <w:w w:val="110"/>
        </w:rPr>
        <w:t>calendar</w:t>
      </w:r>
      <w:r w:rsidRPr="00DD7BD1">
        <w:rPr>
          <w:rFonts w:ascii="Calibri" w:hAnsi="Calibri" w:cs="Calibri"/>
          <w:spacing w:val="-14"/>
          <w:w w:val="110"/>
        </w:rPr>
        <w:t xml:space="preserve"> </w:t>
      </w:r>
      <w:r w:rsidRPr="00DD7BD1">
        <w:rPr>
          <w:rFonts w:ascii="Calibri" w:hAnsi="Calibri" w:cs="Calibri"/>
          <w:spacing w:val="-2"/>
          <w:w w:val="110"/>
        </w:rPr>
        <w:t xml:space="preserve">year—to </w:t>
      </w:r>
      <w:r w:rsidRPr="00DD7BD1">
        <w:rPr>
          <w:rFonts w:ascii="Calibri" w:hAnsi="Calibri" w:cs="Calibri"/>
          <w:w w:val="110"/>
        </w:rPr>
        <w:t>participate in these funeral activities.</w:t>
      </w:r>
    </w:p>
    <w:p w14:paraId="4EC1C091" w14:textId="77777777" w:rsidR="00A85628" w:rsidRPr="00DD7BD1"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u w:val="single"/>
        </w:rPr>
        <w:t>can’t</w:t>
      </w:r>
      <w:r w:rsidRPr="00DD7BD1">
        <w:rPr>
          <w:rFonts w:ascii="Calibri" w:hAnsi="Calibri" w:cs="Calibri"/>
          <w:spacing w:val="-9"/>
          <w:w w:val="110"/>
          <w:u w:val="single"/>
        </w:rPr>
        <w:t xml:space="preserve"> </w:t>
      </w:r>
      <w:r w:rsidRPr="00DD7BD1">
        <w:rPr>
          <w:rFonts w:ascii="Calibri" w:hAnsi="Calibri" w:cs="Calibri"/>
          <w:spacing w:val="-2"/>
          <w:w w:val="110"/>
          <w:u w:val="single"/>
        </w:rPr>
        <w:t>be</w:t>
      </w:r>
      <w:r w:rsidRPr="00DD7BD1">
        <w:rPr>
          <w:rFonts w:ascii="Calibri" w:hAnsi="Calibri" w:cs="Calibri"/>
          <w:spacing w:val="-6"/>
          <w:w w:val="110"/>
          <w:u w:val="single"/>
        </w:rPr>
        <w:t xml:space="preserve"> </w:t>
      </w:r>
      <w:r w:rsidRPr="00DD7BD1">
        <w:rPr>
          <w:rFonts w:ascii="Calibri" w:hAnsi="Calibri" w:cs="Calibri"/>
          <w:spacing w:val="-2"/>
          <w:w w:val="110"/>
          <w:u w:val="single"/>
        </w:rPr>
        <w:t>required</w:t>
      </w:r>
      <w:r w:rsidRPr="00DD7BD1">
        <w:rPr>
          <w:rFonts w:ascii="Calibri" w:hAnsi="Calibri" w:cs="Calibri"/>
          <w:spacing w:val="-6"/>
          <w:w w:val="110"/>
          <w:u w:val="single"/>
        </w:rPr>
        <w:t xml:space="preserve"> </w:t>
      </w:r>
      <w:r w:rsidRPr="00DD7BD1">
        <w:rPr>
          <w:rFonts w:ascii="Calibri" w:hAnsi="Calibri" w:cs="Calibri"/>
          <w:spacing w:val="-2"/>
          <w:w w:val="110"/>
          <w:u w:val="single"/>
        </w:rPr>
        <w:t>to</w:t>
      </w:r>
      <w:r w:rsidRPr="00DD7BD1">
        <w:rPr>
          <w:rFonts w:ascii="Calibri" w:hAnsi="Calibri" w:cs="Calibri"/>
          <w:spacing w:val="-6"/>
          <w:w w:val="110"/>
          <w:u w:val="single"/>
        </w:rPr>
        <w:t xml:space="preserve"> </w:t>
      </w:r>
      <w:r w:rsidRPr="00DD7BD1">
        <w:rPr>
          <w:rFonts w:ascii="Calibri" w:hAnsi="Calibri" w:cs="Calibri"/>
          <w:spacing w:val="-2"/>
          <w:w w:val="110"/>
          <w:u w:val="single"/>
        </w:rPr>
        <w:t>use</w:t>
      </w:r>
      <w:r w:rsidRPr="00DD7BD1">
        <w:rPr>
          <w:rFonts w:ascii="Calibri" w:hAnsi="Calibri" w:cs="Calibri"/>
          <w:spacing w:val="-10"/>
          <w:w w:val="110"/>
          <w:u w:val="single"/>
        </w:rPr>
        <w:t xml:space="preserve"> </w:t>
      </w:r>
      <w:r w:rsidRPr="00DD7BD1">
        <w:rPr>
          <w:rFonts w:ascii="Calibri" w:hAnsi="Calibri" w:cs="Calibri"/>
          <w:spacing w:val="-2"/>
          <w:w w:val="110"/>
          <w:u w:val="single"/>
        </w:rPr>
        <w:t>other</w:t>
      </w:r>
      <w:r w:rsidRPr="00DD7BD1">
        <w:rPr>
          <w:rFonts w:ascii="Calibri" w:hAnsi="Calibri" w:cs="Calibri"/>
          <w:spacing w:val="-9"/>
          <w:w w:val="110"/>
          <w:u w:val="single"/>
        </w:rPr>
        <w:t xml:space="preserve"> </w:t>
      </w:r>
      <w:r w:rsidRPr="00DD7BD1">
        <w:rPr>
          <w:rFonts w:ascii="Calibri" w:hAnsi="Calibri" w:cs="Calibri"/>
          <w:spacing w:val="-2"/>
          <w:w w:val="110"/>
          <w:u w:val="single"/>
        </w:rPr>
        <w:t>forms</w:t>
      </w:r>
      <w:r w:rsidRPr="00DD7BD1">
        <w:rPr>
          <w:rFonts w:ascii="Calibri" w:hAnsi="Calibri" w:cs="Calibri"/>
          <w:spacing w:val="-9"/>
          <w:w w:val="110"/>
          <w:u w:val="single"/>
        </w:rPr>
        <w:t xml:space="preserve"> </w:t>
      </w:r>
      <w:r w:rsidRPr="00DD7BD1">
        <w:rPr>
          <w:rFonts w:ascii="Calibri" w:hAnsi="Calibri" w:cs="Calibri"/>
          <w:spacing w:val="-2"/>
          <w:w w:val="110"/>
          <w:u w:val="single"/>
        </w:rPr>
        <w:t>of</w:t>
      </w:r>
      <w:r w:rsidRPr="00DD7BD1">
        <w:rPr>
          <w:rFonts w:ascii="Calibri" w:hAnsi="Calibri" w:cs="Calibri"/>
          <w:spacing w:val="-9"/>
          <w:w w:val="110"/>
          <w:u w:val="single"/>
        </w:rPr>
        <w:t xml:space="preserve"> </w:t>
      </w:r>
      <w:r w:rsidRPr="00DD7BD1">
        <w:rPr>
          <w:rFonts w:ascii="Calibri" w:hAnsi="Calibri" w:cs="Calibri"/>
          <w:spacing w:val="-2"/>
          <w:w w:val="110"/>
          <w:u w:val="single"/>
        </w:rPr>
        <w:t>leave</w:t>
      </w:r>
      <w:r w:rsidRPr="00DD7BD1">
        <w:rPr>
          <w:rFonts w:ascii="Calibri" w:hAnsi="Calibri" w:cs="Calibri"/>
          <w:spacing w:val="-9"/>
          <w:w w:val="110"/>
          <w:u w:val="single"/>
        </w:rPr>
        <w:t xml:space="preserve"> </w:t>
      </w:r>
      <w:r w:rsidRPr="00DD7BD1">
        <w:rPr>
          <w:rFonts w:ascii="Calibri" w:hAnsi="Calibri" w:cs="Calibri"/>
          <w:spacing w:val="-2"/>
          <w:w w:val="110"/>
          <w:u w:val="single"/>
        </w:rPr>
        <w:t>like</w:t>
      </w:r>
      <w:r w:rsidRPr="00DD7BD1">
        <w:rPr>
          <w:rFonts w:ascii="Calibri" w:hAnsi="Calibri" w:cs="Calibri"/>
          <w:spacing w:val="-9"/>
          <w:w w:val="110"/>
          <w:u w:val="single"/>
        </w:rPr>
        <w:t xml:space="preserve"> </w:t>
      </w:r>
      <w:r w:rsidRPr="00DD7BD1">
        <w:rPr>
          <w:rFonts w:ascii="Calibri" w:hAnsi="Calibri" w:cs="Calibri"/>
          <w:spacing w:val="-4"/>
          <w:w w:val="110"/>
          <w:u w:val="single"/>
        </w:rPr>
        <w:t>PTO</w:t>
      </w:r>
      <w:r w:rsidRPr="00DD7BD1">
        <w:rPr>
          <w:rFonts w:ascii="Calibri" w:hAnsi="Calibri" w:cs="Calibri"/>
          <w:spacing w:val="-4"/>
          <w:w w:val="110"/>
        </w:rPr>
        <w:t>.</w:t>
      </w:r>
    </w:p>
    <w:p w14:paraId="7A055FE7" w14:textId="77777777" w:rsidR="00A85628" w:rsidRPr="00DD7BD1"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Calibri" w:hAnsi="Calibri" w:cs="Calibri"/>
        </w:rPr>
      </w:pPr>
      <w:r w:rsidRPr="00DD7BD1">
        <w:rPr>
          <w:rFonts w:ascii="Calibri" w:hAnsi="Calibri" w:cs="Calibri"/>
          <w:w w:val="110"/>
        </w:rPr>
        <w:t>Employees eligible for this leave include current and retired servicemembers and those who typically participate in a military funeral honors detail, such as members of veterans service organizations.</w:t>
      </w:r>
    </w:p>
    <w:p w14:paraId="3B3D09F8" w14:textId="77777777" w:rsidR="00A85628" w:rsidRPr="00DD7BD1" w:rsidRDefault="00A85628" w:rsidP="00A85628">
      <w:pPr>
        <w:pStyle w:val="BodyText"/>
        <w:spacing w:before="194" w:line="249" w:lineRule="auto"/>
        <w:ind w:right="-270"/>
        <w:rPr>
          <w:rFonts w:cs="Calibri"/>
          <w:color w:val="auto"/>
          <w:szCs w:val="22"/>
        </w:rPr>
      </w:pPr>
      <w:r w:rsidRPr="00DD7BD1">
        <w:rPr>
          <w:rFonts w:cs="Calibri"/>
          <w:color w:val="auto"/>
          <w:w w:val="110"/>
          <w:szCs w:val="22"/>
        </w:rPr>
        <w:t>ETC</w:t>
      </w:r>
      <w:r w:rsidRPr="00DD7BD1">
        <w:rPr>
          <w:rFonts w:cs="Calibri"/>
          <w:color w:val="auto"/>
          <w:spacing w:val="23"/>
          <w:w w:val="110"/>
          <w:szCs w:val="22"/>
        </w:rPr>
        <w:t xml:space="preserve"> </w:t>
      </w:r>
      <w:r w:rsidRPr="00DD7BD1">
        <w:rPr>
          <w:rFonts w:cs="Calibri"/>
          <w:color w:val="auto"/>
          <w:w w:val="110"/>
          <w:szCs w:val="22"/>
        </w:rPr>
        <w:t>has</w:t>
      </w:r>
      <w:r w:rsidRPr="00DD7BD1">
        <w:rPr>
          <w:rFonts w:cs="Calibri"/>
          <w:color w:val="auto"/>
          <w:spacing w:val="25"/>
          <w:w w:val="110"/>
          <w:szCs w:val="22"/>
        </w:rPr>
        <w:t xml:space="preserve"> </w:t>
      </w:r>
      <w:r w:rsidRPr="00DD7BD1">
        <w:rPr>
          <w:rFonts w:cs="Calibri"/>
          <w:color w:val="auto"/>
          <w:w w:val="110"/>
          <w:szCs w:val="22"/>
        </w:rPr>
        <w:t>released</w:t>
      </w:r>
      <w:r w:rsidRPr="00DD7BD1">
        <w:rPr>
          <w:rFonts w:cs="Calibri"/>
          <w:color w:val="auto"/>
          <w:spacing w:val="24"/>
          <w:w w:val="110"/>
          <w:szCs w:val="22"/>
        </w:rPr>
        <w:t xml:space="preserve"> </w:t>
      </w:r>
      <w:r w:rsidRPr="00DD7BD1">
        <w:rPr>
          <w:rFonts w:cs="Calibri"/>
          <w:color w:val="auto"/>
          <w:w w:val="110"/>
          <w:szCs w:val="22"/>
        </w:rPr>
        <w:t>an</w:t>
      </w:r>
      <w:r w:rsidRPr="00DD7BD1">
        <w:rPr>
          <w:rFonts w:cs="Calibri"/>
          <w:color w:val="auto"/>
          <w:spacing w:val="24"/>
          <w:w w:val="110"/>
          <w:szCs w:val="22"/>
        </w:rPr>
        <w:t xml:space="preserve"> </w:t>
      </w:r>
      <w:r w:rsidRPr="00DD7BD1">
        <w:rPr>
          <w:rFonts w:cs="Calibri"/>
          <w:color w:val="auto"/>
          <w:w w:val="110"/>
          <w:szCs w:val="22"/>
        </w:rPr>
        <w:t>updated</w:t>
      </w:r>
      <w:r w:rsidRPr="00DD7BD1">
        <w:rPr>
          <w:rFonts w:cs="Calibri"/>
          <w:color w:val="auto"/>
          <w:spacing w:val="24"/>
          <w:w w:val="110"/>
          <w:szCs w:val="22"/>
        </w:rPr>
        <w:t xml:space="preserve"> </w:t>
      </w:r>
      <w:r w:rsidRPr="00DD7BD1">
        <w:rPr>
          <w:rFonts w:cs="Calibri"/>
          <w:color w:val="auto"/>
          <w:w w:val="110"/>
          <w:szCs w:val="22"/>
        </w:rPr>
        <w:t>IL</w:t>
      </w:r>
      <w:r w:rsidRPr="00DD7BD1">
        <w:rPr>
          <w:rFonts w:cs="Calibri"/>
          <w:color w:val="auto"/>
          <w:spacing w:val="22"/>
          <w:w w:val="110"/>
          <w:szCs w:val="22"/>
        </w:rPr>
        <w:t xml:space="preserve"> </w:t>
      </w:r>
      <w:r w:rsidRPr="00DD7BD1">
        <w:rPr>
          <w:rFonts w:cs="Calibri"/>
          <w:color w:val="auto"/>
          <w:w w:val="110"/>
          <w:szCs w:val="22"/>
        </w:rPr>
        <w:t>State</w:t>
      </w:r>
      <w:r w:rsidRPr="00DD7BD1">
        <w:rPr>
          <w:rFonts w:cs="Calibri"/>
          <w:color w:val="auto"/>
          <w:spacing w:val="21"/>
          <w:w w:val="110"/>
          <w:szCs w:val="22"/>
        </w:rPr>
        <w:t xml:space="preserve"> </w:t>
      </w:r>
      <w:r w:rsidRPr="00DD7BD1">
        <w:rPr>
          <w:rFonts w:cs="Calibri"/>
          <w:color w:val="auto"/>
          <w:w w:val="110"/>
          <w:szCs w:val="22"/>
        </w:rPr>
        <w:t>Handbook</w:t>
      </w:r>
      <w:r w:rsidRPr="00DD7BD1">
        <w:rPr>
          <w:rFonts w:cs="Calibri"/>
          <w:color w:val="auto"/>
          <w:spacing w:val="24"/>
          <w:w w:val="110"/>
          <w:szCs w:val="22"/>
        </w:rPr>
        <w:t xml:space="preserve"> </w:t>
      </w:r>
      <w:r w:rsidRPr="00DD7BD1">
        <w:rPr>
          <w:rFonts w:cs="Calibri"/>
          <w:color w:val="auto"/>
          <w:w w:val="110"/>
          <w:szCs w:val="22"/>
        </w:rPr>
        <w:t>Addendum</w:t>
      </w:r>
      <w:r w:rsidRPr="00DD7BD1">
        <w:rPr>
          <w:rFonts w:cs="Calibri"/>
          <w:color w:val="auto"/>
          <w:spacing w:val="24"/>
          <w:w w:val="110"/>
          <w:szCs w:val="22"/>
        </w:rPr>
        <w:t xml:space="preserve"> </w:t>
      </w:r>
      <w:r w:rsidRPr="00DD7BD1">
        <w:rPr>
          <w:rFonts w:cs="Calibri"/>
          <w:color w:val="auto"/>
          <w:w w:val="110"/>
          <w:szCs w:val="22"/>
        </w:rPr>
        <w:t>to</w:t>
      </w:r>
      <w:r w:rsidRPr="00DD7BD1">
        <w:rPr>
          <w:rFonts w:cs="Calibri"/>
          <w:color w:val="auto"/>
          <w:spacing w:val="22"/>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military</w:t>
      </w:r>
      <w:r w:rsidRPr="00DD7BD1">
        <w:rPr>
          <w:rFonts w:cs="Calibri"/>
          <w:color w:val="auto"/>
          <w:spacing w:val="24"/>
          <w:w w:val="110"/>
          <w:szCs w:val="22"/>
        </w:rPr>
        <w:t xml:space="preserve"> </w:t>
      </w:r>
      <w:r w:rsidRPr="00DD7BD1">
        <w:rPr>
          <w:rFonts w:cs="Calibri"/>
          <w:color w:val="auto"/>
          <w:w w:val="110"/>
          <w:szCs w:val="22"/>
        </w:rPr>
        <w:t>funeral</w:t>
      </w:r>
      <w:r w:rsidRPr="00DD7BD1">
        <w:rPr>
          <w:rFonts w:cs="Calibri"/>
          <w:color w:val="auto"/>
          <w:spacing w:val="22"/>
          <w:w w:val="110"/>
          <w:szCs w:val="22"/>
        </w:rPr>
        <w:t xml:space="preserve"> </w:t>
      </w:r>
      <w:r w:rsidRPr="00DD7BD1">
        <w:rPr>
          <w:rFonts w:cs="Calibri"/>
          <w:color w:val="auto"/>
          <w:w w:val="110"/>
          <w:szCs w:val="22"/>
        </w:rPr>
        <w:t>honors</w:t>
      </w:r>
      <w:r w:rsidRPr="00DD7BD1">
        <w:rPr>
          <w:rFonts w:cs="Calibri"/>
          <w:color w:val="auto"/>
          <w:spacing w:val="22"/>
          <w:w w:val="110"/>
          <w:szCs w:val="22"/>
        </w:rPr>
        <w:t xml:space="preserve"> </w:t>
      </w:r>
      <w:r w:rsidRPr="00DD7BD1">
        <w:rPr>
          <w:rFonts w:cs="Calibri"/>
          <w:color w:val="auto"/>
          <w:w w:val="110"/>
          <w:szCs w:val="22"/>
        </w:rPr>
        <w:t>leave</w:t>
      </w:r>
      <w:r w:rsidRPr="00DD7BD1">
        <w:rPr>
          <w:rFonts w:cs="Calibri"/>
          <w:color w:val="auto"/>
          <w:spacing w:val="24"/>
          <w:w w:val="110"/>
          <w:szCs w:val="22"/>
        </w:rPr>
        <w:t xml:space="preserve"> </w:t>
      </w:r>
      <w:r w:rsidRPr="00DD7BD1">
        <w:rPr>
          <w:rFonts w:cs="Calibri"/>
          <w:color w:val="auto"/>
          <w:w w:val="110"/>
          <w:szCs w:val="22"/>
        </w:rPr>
        <w:t>with</w:t>
      </w:r>
      <w:r w:rsidRPr="00DD7BD1">
        <w:rPr>
          <w:rFonts w:cs="Calibri"/>
          <w:color w:val="auto"/>
          <w:spacing w:val="24"/>
          <w:w w:val="110"/>
          <w:szCs w:val="22"/>
        </w:rPr>
        <w:t xml:space="preserve"> </w:t>
      </w:r>
      <w:r w:rsidRPr="00DD7BD1">
        <w:rPr>
          <w:rFonts w:cs="Calibri"/>
          <w:color w:val="auto"/>
          <w:w w:val="110"/>
          <w:szCs w:val="22"/>
        </w:rPr>
        <w:t>the Aug/Sept HR WIRE.</w:t>
      </w:r>
    </w:p>
    <w:p w14:paraId="2FB43C0C" w14:textId="105A9A05" w:rsidR="00A85628" w:rsidRPr="00DD7BD1" w:rsidRDefault="00A85628" w:rsidP="00A85628">
      <w:pPr>
        <w:pStyle w:val="Heading1"/>
        <w:spacing w:before="0" w:beforeAutospacing="0" w:after="0" w:afterAutospacing="0"/>
        <w:ind w:right="359"/>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Amended Wage Transparency Act – Eff J</w:t>
      </w:r>
      <w:r w:rsidR="00087C7A" w:rsidRPr="00DD7BD1">
        <w:rPr>
          <w:rFonts w:ascii="Calibri" w:hAnsi="Calibri" w:cs="Calibri"/>
          <w:kern w:val="0"/>
          <w:sz w:val="28"/>
          <w:szCs w:val="28"/>
          <w:shd w:val="clear" w:color="auto" w:fill="FFFFFF"/>
        </w:rPr>
        <w:t xml:space="preserve">an </w:t>
      </w:r>
      <w:r w:rsidRPr="00DD7BD1">
        <w:rPr>
          <w:rFonts w:ascii="Calibri" w:hAnsi="Calibri" w:cs="Calibri"/>
          <w:kern w:val="0"/>
          <w:sz w:val="28"/>
          <w:szCs w:val="28"/>
          <w:shd w:val="clear" w:color="auto" w:fill="FFFFFF"/>
        </w:rPr>
        <w:t>1, 2026</w:t>
      </w:r>
    </w:p>
    <w:p w14:paraId="307060BE"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5"/>
          <w:szCs w:val="22"/>
        </w:rPr>
        <w:t xml:space="preserve"> </w:t>
      </w:r>
      <w:r w:rsidRPr="00DD7BD1">
        <w:rPr>
          <w:rFonts w:cs="Calibri"/>
          <w:color w:val="auto"/>
          <w:szCs w:val="22"/>
        </w:rPr>
        <w:t>Employers</w:t>
      </w:r>
      <w:r w:rsidRPr="00DD7BD1">
        <w:rPr>
          <w:rFonts w:cs="Calibri"/>
          <w:color w:val="auto"/>
          <w:spacing w:val="32"/>
          <w:szCs w:val="22"/>
        </w:rPr>
        <w:t xml:space="preserve"> </w:t>
      </w:r>
      <w:r w:rsidRPr="00DD7BD1">
        <w:rPr>
          <w:rFonts w:cs="Calibri"/>
          <w:color w:val="auto"/>
          <w:szCs w:val="22"/>
        </w:rPr>
        <w:t>with</w:t>
      </w:r>
      <w:r w:rsidRPr="00DD7BD1">
        <w:rPr>
          <w:rFonts w:cs="Calibri"/>
          <w:color w:val="auto"/>
          <w:spacing w:val="29"/>
          <w:szCs w:val="22"/>
        </w:rPr>
        <w:t xml:space="preserve"> </w:t>
      </w:r>
      <w:r w:rsidRPr="00DD7BD1">
        <w:rPr>
          <w:rFonts w:cs="Calibri"/>
          <w:color w:val="auto"/>
          <w:szCs w:val="22"/>
        </w:rPr>
        <w:t>one</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7"/>
          <w:szCs w:val="22"/>
        </w:rPr>
        <w:t xml:space="preserve"> </w:t>
      </w:r>
      <w:r w:rsidRPr="00DD7BD1">
        <w:rPr>
          <w:rFonts w:cs="Calibri"/>
          <w:color w:val="auto"/>
          <w:szCs w:val="22"/>
        </w:rPr>
        <w:t>more</w:t>
      </w:r>
      <w:r w:rsidRPr="00DD7BD1">
        <w:rPr>
          <w:rFonts w:cs="Calibri"/>
          <w:color w:val="auto"/>
          <w:spacing w:val="27"/>
          <w:szCs w:val="22"/>
        </w:rPr>
        <w:t xml:space="preserve"> </w:t>
      </w:r>
      <w:r w:rsidRPr="00DD7BD1">
        <w:rPr>
          <w:rFonts w:cs="Calibri"/>
          <w:color w:val="auto"/>
          <w:szCs w:val="22"/>
        </w:rPr>
        <w:t>employees</w:t>
      </w:r>
      <w:r w:rsidRPr="00DD7BD1">
        <w:rPr>
          <w:rFonts w:cs="Calibri"/>
          <w:color w:val="auto"/>
          <w:spacing w:val="30"/>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non-employee</w:t>
      </w:r>
      <w:r w:rsidRPr="00DD7BD1">
        <w:rPr>
          <w:rFonts w:cs="Calibri"/>
          <w:color w:val="auto"/>
          <w:spacing w:val="32"/>
          <w:szCs w:val="22"/>
        </w:rPr>
        <w:t xml:space="preserve"> </w:t>
      </w:r>
      <w:r w:rsidRPr="00DD7BD1">
        <w:rPr>
          <w:rFonts w:cs="Calibri"/>
          <w:color w:val="auto"/>
          <w:szCs w:val="22"/>
        </w:rPr>
        <w:t>consultants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contractors)</w:t>
      </w:r>
      <w:r w:rsidRPr="00DD7BD1">
        <w:rPr>
          <w:rFonts w:cs="Calibri"/>
          <w:color w:val="auto"/>
          <w:spacing w:val="30"/>
          <w:szCs w:val="22"/>
        </w:rPr>
        <w:t xml:space="preserve"> </w:t>
      </w:r>
      <w:r w:rsidRPr="00DD7BD1">
        <w:rPr>
          <w:rFonts w:cs="Calibri"/>
          <w:color w:val="auto"/>
          <w:szCs w:val="22"/>
        </w:rPr>
        <w:t xml:space="preserve">in </w:t>
      </w:r>
      <w:r w:rsidRPr="00DD7BD1">
        <w:rPr>
          <w:rFonts w:cs="Calibri"/>
          <w:color w:val="auto"/>
          <w:w w:val="110"/>
          <w:szCs w:val="22"/>
        </w:rPr>
        <w:t>Illinois should consider reviewing the agreements they use with any such persons and consult legal counsel regarding the applicability of and compliance</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the IWTA, including its most recent</w:t>
      </w:r>
      <w:r w:rsidRPr="00DD7BD1">
        <w:rPr>
          <w:rFonts w:cs="Calibri"/>
          <w:color w:val="auto"/>
          <w:spacing w:val="-1"/>
          <w:w w:val="110"/>
          <w:szCs w:val="22"/>
        </w:rPr>
        <w:t xml:space="preserve"> </w:t>
      </w:r>
      <w:r w:rsidRPr="00DD7BD1">
        <w:rPr>
          <w:rFonts w:cs="Calibri"/>
          <w:color w:val="auto"/>
          <w:w w:val="110"/>
          <w:szCs w:val="22"/>
        </w:rPr>
        <w:t>amendments.</w:t>
      </w:r>
    </w:p>
    <w:p w14:paraId="623C1E55"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color w:val="auto"/>
          <w:w w:val="110"/>
          <w:szCs w:val="22"/>
        </w:rPr>
        <w:t>New</w:t>
      </w:r>
      <w:r w:rsidRPr="00DD7BD1">
        <w:rPr>
          <w:rFonts w:cs="Calibri"/>
          <w:color w:val="auto"/>
          <w:spacing w:val="-14"/>
          <w:w w:val="110"/>
          <w:szCs w:val="22"/>
        </w:rPr>
        <w:t xml:space="preserve"> </w:t>
      </w:r>
      <w:r w:rsidRPr="00DD7BD1">
        <w:rPr>
          <w:rFonts w:cs="Calibri"/>
          <w:color w:val="auto"/>
          <w:w w:val="110"/>
          <w:szCs w:val="22"/>
        </w:rPr>
        <w:t>amendments</w:t>
      </w:r>
      <w:r w:rsidRPr="00DD7BD1">
        <w:rPr>
          <w:rFonts w:cs="Calibri"/>
          <w:color w:val="auto"/>
          <w:spacing w:val="-16"/>
          <w:w w:val="110"/>
          <w:szCs w:val="22"/>
        </w:rPr>
        <w:t xml:space="preserve"> </w:t>
      </w:r>
      <w:r w:rsidRPr="00DD7BD1">
        <w:rPr>
          <w:rFonts w:cs="Calibri"/>
          <w:color w:val="auto"/>
          <w:w w:val="110"/>
          <w:szCs w:val="22"/>
        </w:rPr>
        <w:t>(House</w:t>
      </w:r>
      <w:r w:rsidRPr="00DD7BD1">
        <w:rPr>
          <w:rFonts w:cs="Calibri"/>
          <w:color w:val="auto"/>
          <w:spacing w:val="-14"/>
          <w:w w:val="110"/>
          <w:szCs w:val="22"/>
        </w:rPr>
        <w:t xml:space="preserve"> </w:t>
      </w:r>
      <w:r w:rsidRPr="00DD7BD1">
        <w:rPr>
          <w:rFonts w:cs="Calibri"/>
          <w:color w:val="auto"/>
          <w:w w:val="110"/>
          <w:szCs w:val="22"/>
        </w:rPr>
        <w:t>Bill</w:t>
      </w:r>
      <w:r w:rsidRPr="00DD7BD1">
        <w:rPr>
          <w:rFonts w:cs="Calibri"/>
          <w:color w:val="auto"/>
          <w:spacing w:val="-16"/>
          <w:w w:val="110"/>
          <w:szCs w:val="22"/>
        </w:rPr>
        <w:t xml:space="preserve"> </w:t>
      </w:r>
      <w:r w:rsidRPr="00DD7BD1">
        <w:rPr>
          <w:rFonts w:cs="Calibri"/>
          <w:color w:val="auto"/>
          <w:w w:val="110"/>
          <w:szCs w:val="22"/>
        </w:rPr>
        <w:t>3638)</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6"/>
          <w:w w:val="110"/>
          <w:szCs w:val="22"/>
        </w:rPr>
        <w:t xml:space="preserve"> </w:t>
      </w:r>
      <w:r w:rsidRPr="00DD7BD1">
        <w:rPr>
          <w:rFonts w:cs="Calibri"/>
          <w:color w:val="auto"/>
          <w:w w:val="110"/>
          <w:szCs w:val="22"/>
        </w:rPr>
        <w:t>Workplace</w:t>
      </w:r>
      <w:r w:rsidRPr="00DD7BD1">
        <w:rPr>
          <w:rFonts w:cs="Calibri"/>
          <w:color w:val="auto"/>
          <w:spacing w:val="-14"/>
          <w:w w:val="110"/>
          <w:szCs w:val="22"/>
        </w:rPr>
        <w:t xml:space="preserve"> </w:t>
      </w:r>
      <w:r w:rsidRPr="00DD7BD1">
        <w:rPr>
          <w:rFonts w:cs="Calibri"/>
          <w:color w:val="auto"/>
          <w:w w:val="110"/>
          <w:szCs w:val="22"/>
        </w:rPr>
        <w:t>Transparency</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5"/>
          <w:w w:val="110"/>
          <w:szCs w:val="22"/>
        </w:rPr>
        <w:t xml:space="preserve"> </w:t>
      </w:r>
      <w:r w:rsidRPr="00DD7BD1">
        <w:rPr>
          <w:rFonts w:cs="Calibri"/>
          <w:color w:val="auto"/>
          <w:w w:val="110"/>
          <w:szCs w:val="22"/>
        </w:rPr>
        <w:t>(IWTA)</w:t>
      </w:r>
      <w:r w:rsidRPr="00DD7BD1">
        <w:rPr>
          <w:rFonts w:cs="Calibri"/>
          <w:color w:val="auto"/>
          <w:spacing w:val="-15"/>
          <w:w w:val="110"/>
          <w:szCs w:val="22"/>
        </w:rPr>
        <w:t xml:space="preserve"> </w:t>
      </w:r>
      <w:r w:rsidRPr="00DD7BD1">
        <w:rPr>
          <w:rFonts w:cs="Calibri"/>
          <w:color w:val="auto"/>
          <w:w w:val="110"/>
          <w:szCs w:val="22"/>
        </w:rPr>
        <w:t>expand</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6"/>
          <w:w w:val="110"/>
          <w:szCs w:val="22"/>
        </w:rPr>
        <w:t xml:space="preserve"> </w:t>
      </w:r>
      <w:r w:rsidRPr="00DD7BD1">
        <w:rPr>
          <w:rFonts w:cs="Calibri"/>
          <w:color w:val="auto"/>
          <w:w w:val="110"/>
          <w:szCs w:val="22"/>
        </w:rPr>
        <w:t>and consultant/contractor</w:t>
      </w:r>
      <w:r w:rsidRPr="00DD7BD1">
        <w:rPr>
          <w:rFonts w:cs="Calibri"/>
          <w:color w:val="auto"/>
          <w:spacing w:val="-11"/>
          <w:w w:val="110"/>
          <w:szCs w:val="22"/>
        </w:rPr>
        <w:t xml:space="preserve"> </w:t>
      </w:r>
      <w:r w:rsidRPr="00DD7BD1">
        <w:rPr>
          <w:rFonts w:cs="Calibri"/>
          <w:color w:val="auto"/>
          <w:w w:val="110"/>
          <w:szCs w:val="22"/>
        </w:rPr>
        <w:t>protections,</w:t>
      </w:r>
      <w:r w:rsidRPr="00DD7BD1">
        <w:rPr>
          <w:rFonts w:cs="Calibri"/>
          <w:color w:val="auto"/>
          <w:spacing w:val="-11"/>
          <w:w w:val="110"/>
          <w:szCs w:val="22"/>
        </w:rPr>
        <w:t xml:space="preserve"> </w:t>
      </w:r>
      <w:r w:rsidRPr="00DD7BD1">
        <w:rPr>
          <w:rFonts w:cs="Calibri"/>
          <w:color w:val="auto"/>
          <w:w w:val="110"/>
          <w:szCs w:val="22"/>
        </w:rPr>
        <w:t>including</w:t>
      </w:r>
      <w:r w:rsidRPr="00DD7BD1">
        <w:rPr>
          <w:rFonts w:cs="Calibri"/>
          <w:color w:val="auto"/>
          <w:spacing w:val="-12"/>
          <w:w w:val="110"/>
          <w:szCs w:val="22"/>
        </w:rPr>
        <w:t xml:space="preserve"> </w:t>
      </w:r>
      <w:r w:rsidRPr="00DD7BD1">
        <w:rPr>
          <w:rFonts w:cs="Calibri"/>
          <w:color w:val="auto"/>
          <w:w w:val="110"/>
          <w:szCs w:val="22"/>
        </w:rPr>
        <w:t>prohibitions</w:t>
      </w:r>
      <w:r w:rsidRPr="00DD7BD1">
        <w:rPr>
          <w:rFonts w:cs="Calibri"/>
          <w:color w:val="auto"/>
          <w:spacing w:val="-12"/>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various</w:t>
      </w:r>
      <w:r w:rsidRPr="00DD7BD1">
        <w:rPr>
          <w:rFonts w:cs="Calibri"/>
          <w:color w:val="auto"/>
          <w:spacing w:val="-10"/>
          <w:w w:val="110"/>
          <w:szCs w:val="22"/>
        </w:rPr>
        <w:t xml:space="preserve"> </w:t>
      </w:r>
      <w:r w:rsidRPr="00DD7BD1">
        <w:rPr>
          <w:rFonts w:cs="Calibri"/>
          <w:color w:val="auto"/>
          <w:w w:val="110"/>
          <w:szCs w:val="22"/>
        </w:rPr>
        <w:t>“unilateral”</w:t>
      </w:r>
      <w:r w:rsidRPr="00DD7BD1">
        <w:rPr>
          <w:rFonts w:cs="Calibri"/>
          <w:color w:val="auto"/>
          <w:spacing w:val="-10"/>
          <w:w w:val="110"/>
          <w:szCs w:val="22"/>
        </w:rPr>
        <w:t xml:space="preserve"> </w:t>
      </w:r>
      <w:r w:rsidRPr="00DD7BD1">
        <w:rPr>
          <w:rFonts w:cs="Calibri"/>
          <w:color w:val="auto"/>
          <w:w w:val="110"/>
          <w:szCs w:val="22"/>
        </w:rPr>
        <w:t>contract</w:t>
      </w:r>
      <w:r w:rsidRPr="00DD7BD1">
        <w:rPr>
          <w:rFonts w:cs="Calibri"/>
          <w:color w:val="auto"/>
          <w:spacing w:val="-14"/>
          <w:w w:val="110"/>
          <w:szCs w:val="22"/>
        </w:rPr>
        <w:t xml:space="preserve"> </w:t>
      </w:r>
      <w:r w:rsidRPr="00DD7BD1">
        <w:rPr>
          <w:rFonts w:cs="Calibri"/>
          <w:color w:val="auto"/>
          <w:w w:val="110"/>
          <w:szCs w:val="22"/>
        </w:rPr>
        <w:t>provisions</w:t>
      </w:r>
      <w:r w:rsidRPr="00DD7BD1">
        <w:rPr>
          <w:rFonts w:cs="Calibri"/>
          <w:color w:val="auto"/>
          <w:spacing w:val="-12"/>
          <w:w w:val="110"/>
          <w:szCs w:val="22"/>
        </w:rPr>
        <w:t xml:space="preserve"> </w:t>
      </w:r>
      <w:r w:rsidRPr="00DD7BD1">
        <w:rPr>
          <w:rFonts w:cs="Calibri"/>
          <w:color w:val="auto"/>
          <w:w w:val="110"/>
          <w:szCs w:val="22"/>
        </w:rPr>
        <w:t>imposed</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 condition</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employment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enhanced</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valid</w:t>
      </w:r>
      <w:r w:rsidRPr="00DD7BD1">
        <w:rPr>
          <w:rFonts w:cs="Calibri"/>
          <w:color w:val="auto"/>
          <w:spacing w:val="-11"/>
          <w:w w:val="110"/>
          <w:szCs w:val="22"/>
        </w:rPr>
        <w:t xml:space="preserve"> </w:t>
      </w:r>
      <w:r w:rsidRPr="00DD7BD1">
        <w:rPr>
          <w:rFonts w:cs="Calibri"/>
          <w:color w:val="auto"/>
          <w:w w:val="110"/>
          <w:szCs w:val="22"/>
        </w:rPr>
        <w:t>“mutual”</w:t>
      </w:r>
      <w:r w:rsidRPr="00DD7BD1">
        <w:rPr>
          <w:rFonts w:cs="Calibri"/>
          <w:color w:val="auto"/>
          <w:spacing w:val="-7"/>
          <w:w w:val="110"/>
          <w:szCs w:val="22"/>
        </w:rPr>
        <w:t xml:space="preserve"> </w:t>
      </w:r>
      <w:r w:rsidRPr="00DD7BD1">
        <w:rPr>
          <w:rFonts w:cs="Calibri"/>
          <w:color w:val="auto"/>
          <w:w w:val="110"/>
          <w:szCs w:val="22"/>
        </w:rPr>
        <w:t>conditions</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confidentiality</w:t>
      </w:r>
      <w:r w:rsidRPr="00DD7BD1">
        <w:rPr>
          <w:rFonts w:cs="Calibri"/>
          <w:color w:val="auto"/>
          <w:spacing w:val="-7"/>
          <w:w w:val="110"/>
          <w:szCs w:val="22"/>
        </w:rPr>
        <w:t xml:space="preserve"> </w:t>
      </w:r>
      <w:r w:rsidRPr="00DD7BD1">
        <w:rPr>
          <w:rFonts w:cs="Calibri"/>
          <w:color w:val="auto"/>
          <w:w w:val="110"/>
          <w:szCs w:val="22"/>
        </w:rPr>
        <w:t>clauses in termination and settlement agreements.</w:t>
      </w:r>
    </w:p>
    <w:p w14:paraId="37647D65" w14:textId="77777777" w:rsidR="00A85628" w:rsidRPr="00DD7BD1" w:rsidRDefault="00A85628" w:rsidP="00A85628">
      <w:pPr>
        <w:pStyle w:val="Heading4"/>
        <w:spacing w:before="0"/>
        <w:rPr>
          <w:rFonts w:ascii="Calibri" w:hAnsi="Calibri" w:cs="Calibri"/>
          <w:spacing w:val="-10"/>
          <w:sz w:val="16"/>
          <w:szCs w:val="16"/>
        </w:rPr>
      </w:pPr>
    </w:p>
    <w:p w14:paraId="252B4F5B" w14:textId="77777777" w:rsidR="00A85628" w:rsidRPr="00DD7BD1" w:rsidRDefault="00A85628" w:rsidP="00A85628">
      <w:pPr>
        <w:pStyle w:val="Heading4"/>
        <w:spacing w:before="0" w:line="240" w:lineRule="auto"/>
        <w:rPr>
          <w:rFonts w:ascii="Calibri" w:hAnsi="Calibri" w:cs="Calibri"/>
          <w:b/>
          <w:bCs/>
          <w:i w:val="0"/>
          <w:iCs w:val="0"/>
        </w:rPr>
      </w:pPr>
      <w:r w:rsidRPr="00DD7BD1">
        <w:rPr>
          <w:rFonts w:ascii="Calibri" w:hAnsi="Calibri" w:cs="Calibri"/>
          <w:b/>
          <w:bCs/>
          <w:i w:val="0"/>
          <w:iCs w:val="0"/>
          <w:color w:val="auto"/>
          <w:spacing w:val="-10"/>
        </w:rPr>
        <w:t>Overview</w:t>
      </w:r>
      <w:r w:rsidRPr="00DD7BD1">
        <w:rPr>
          <w:rFonts w:ascii="Calibri" w:hAnsi="Calibri" w:cs="Calibri"/>
          <w:b/>
          <w:bCs/>
          <w:i w:val="0"/>
          <w:iCs w:val="0"/>
          <w:color w:val="auto"/>
          <w:spacing w:val="-1"/>
        </w:rPr>
        <w:t xml:space="preserve"> </w:t>
      </w:r>
      <w:r w:rsidRPr="00DD7BD1">
        <w:rPr>
          <w:rFonts w:ascii="Calibri" w:hAnsi="Calibri" w:cs="Calibri"/>
          <w:b/>
          <w:bCs/>
          <w:i w:val="0"/>
          <w:iCs w:val="0"/>
          <w:color w:val="auto"/>
          <w:spacing w:val="-10"/>
        </w:rPr>
        <w:t>of</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10"/>
        </w:rPr>
        <w:t>the</w:t>
      </w:r>
      <w:r w:rsidRPr="00DD7BD1">
        <w:rPr>
          <w:rFonts w:ascii="Calibri" w:hAnsi="Calibri" w:cs="Calibri"/>
          <w:b/>
          <w:bCs/>
          <w:i w:val="0"/>
          <w:iCs w:val="0"/>
          <w:color w:val="auto"/>
          <w:spacing w:val="1"/>
        </w:rPr>
        <w:t xml:space="preserve"> </w:t>
      </w:r>
      <w:hyperlink r:id="rId645">
        <w:r w:rsidRPr="00DD7BD1">
          <w:rPr>
            <w:rFonts w:ascii="Calibri" w:hAnsi="Calibri" w:cs="Calibri"/>
            <w:b/>
            <w:bCs/>
            <w:i w:val="0"/>
            <w:iCs w:val="0"/>
            <w:color w:val="0000FF"/>
            <w:spacing w:val="-10"/>
            <w:u w:val="single" w:color="0000FF"/>
          </w:rPr>
          <w:t>Amended</w:t>
        </w:r>
        <w:r w:rsidRPr="00DD7BD1">
          <w:rPr>
            <w:rFonts w:ascii="Calibri" w:hAnsi="Calibri" w:cs="Calibri"/>
            <w:b/>
            <w:bCs/>
            <w:i w:val="0"/>
            <w:iCs w:val="0"/>
            <w:color w:val="0000FF"/>
            <w:spacing w:val="-1"/>
            <w:u w:val="single" w:color="0000FF"/>
          </w:rPr>
          <w:t xml:space="preserve"> </w:t>
        </w:r>
        <w:r w:rsidRPr="00DD7BD1">
          <w:rPr>
            <w:rFonts w:ascii="Calibri" w:hAnsi="Calibri" w:cs="Calibri"/>
            <w:b/>
            <w:bCs/>
            <w:i w:val="0"/>
            <w:iCs w:val="0"/>
            <w:color w:val="0000FF"/>
            <w:spacing w:val="-10"/>
            <w:u w:val="single" w:color="0000FF"/>
          </w:rPr>
          <w:t>Act</w:t>
        </w:r>
      </w:hyperlink>
    </w:p>
    <w:p w14:paraId="09900A5D"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broadens</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definition</w:t>
      </w:r>
      <w:r w:rsidRPr="00DD7BD1">
        <w:rPr>
          <w:rFonts w:ascii="Calibri" w:hAnsi="Calibri" w:cs="Calibri"/>
          <w:spacing w:val="-7"/>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“unlawful</w:t>
      </w:r>
      <w:r w:rsidRPr="00DD7BD1">
        <w:rPr>
          <w:rFonts w:ascii="Calibri" w:hAnsi="Calibri" w:cs="Calibri"/>
          <w:spacing w:val="-9"/>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practice”</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encompass</w:t>
      </w:r>
      <w:r w:rsidRPr="00DD7BD1">
        <w:rPr>
          <w:rFonts w:ascii="Calibri" w:hAnsi="Calibri" w:cs="Calibri"/>
          <w:spacing w:val="-9"/>
          <w:w w:val="110"/>
        </w:rPr>
        <w:t xml:space="preserve"> </w:t>
      </w:r>
      <w:r w:rsidRPr="00DD7BD1">
        <w:rPr>
          <w:rFonts w:ascii="Calibri" w:hAnsi="Calibri" w:cs="Calibri"/>
          <w:w w:val="110"/>
        </w:rPr>
        <w:t>any</w:t>
      </w:r>
      <w:r w:rsidRPr="00DD7BD1">
        <w:rPr>
          <w:rFonts w:ascii="Calibri" w:hAnsi="Calibri" w:cs="Calibri"/>
          <w:spacing w:val="-7"/>
          <w:w w:val="110"/>
        </w:rPr>
        <w:t xml:space="preserve"> </w:t>
      </w:r>
      <w:r w:rsidRPr="00DD7BD1">
        <w:rPr>
          <w:rFonts w:ascii="Calibri" w:hAnsi="Calibri" w:cs="Calibri"/>
          <w:w w:val="110"/>
        </w:rPr>
        <w:t>practice</w:t>
      </w:r>
      <w:r w:rsidRPr="00DD7BD1">
        <w:rPr>
          <w:rFonts w:ascii="Calibri" w:hAnsi="Calibri" w:cs="Calibri"/>
          <w:spacing w:val="-8"/>
          <w:w w:val="110"/>
        </w:rPr>
        <w:t xml:space="preserve"> </w:t>
      </w:r>
      <w:r w:rsidRPr="00DD7BD1">
        <w:rPr>
          <w:rFonts w:ascii="Calibri" w:hAnsi="Calibri" w:cs="Calibri"/>
          <w:w w:val="110"/>
        </w:rPr>
        <w:t>made</w:t>
      </w:r>
      <w:r w:rsidRPr="00DD7BD1">
        <w:rPr>
          <w:rFonts w:ascii="Calibri" w:hAnsi="Calibri" w:cs="Calibri"/>
          <w:spacing w:val="-7"/>
          <w:w w:val="110"/>
        </w:rPr>
        <w:t xml:space="preserve"> </w:t>
      </w:r>
      <w:r w:rsidRPr="00DD7BD1">
        <w:rPr>
          <w:rFonts w:ascii="Calibri" w:hAnsi="Calibri" w:cs="Calibri"/>
          <w:w w:val="110"/>
        </w:rPr>
        <w:t>unlawful</w:t>
      </w:r>
      <w:r w:rsidRPr="00DD7BD1">
        <w:rPr>
          <w:rFonts w:ascii="Calibri" w:hAnsi="Calibri" w:cs="Calibri"/>
          <w:spacing w:val="-7"/>
          <w:w w:val="110"/>
        </w:rPr>
        <w:t xml:space="preserve"> </w:t>
      </w:r>
      <w:r w:rsidRPr="00DD7BD1">
        <w:rPr>
          <w:rFonts w:ascii="Calibri" w:hAnsi="Calibri" w:cs="Calibri"/>
          <w:w w:val="110"/>
        </w:rPr>
        <w:t>by any federal or</w:t>
      </w:r>
      <w:r w:rsidRPr="00DD7BD1">
        <w:rPr>
          <w:rFonts w:ascii="Calibri" w:hAnsi="Calibri" w:cs="Calibri"/>
          <w:spacing w:val="-3"/>
          <w:w w:val="110"/>
        </w:rPr>
        <w:t xml:space="preserve"> </w:t>
      </w:r>
      <w:r w:rsidRPr="00DD7BD1">
        <w:rPr>
          <w:rFonts w:ascii="Calibri" w:hAnsi="Calibri" w:cs="Calibri"/>
          <w:w w:val="110"/>
        </w:rPr>
        <w:t>Illinois state employment law,</w:t>
      </w:r>
      <w:r w:rsidRPr="00DD7BD1">
        <w:rPr>
          <w:rFonts w:ascii="Calibri" w:hAnsi="Calibri" w:cs="Calibri"/>
          <w:spacing w:val="-2"/>
          <w:w w:val="110"/>
        </w:rPr>
        <w:t xml:space="preserve"> </w:t>
      </w:r>
      <w:r w:rsidRPr="00DD7BD1">
        <w:rPr>
          <w:rFonts w:ascii="Calibri" w:hAnsi="Calibri" w:cs="Calibri"/>
          <w:w w:val="110"/>
        </w:rPr>
        <w:t>providing protections for</w:t>
      </w:r>
      <w:r w:rsidRPr="00DD7BD1">
        <w:rPr>
          <w:rFonts w:ascii="Calibri" w:hAnsi="Calibri" w:cs="Calibri"/>
          <w:spacing w:val="-3"/>
          <w:w w:val="110"/>
        </w:rPr>
        <w:t xml:space="preserve"> </w:t>
      </w:r>
      <w:r w:rsidRPr="00DD7BD1">
        <w:rPr>
          <w:rFonts w:ascii="Calibri" w:hAnsi="Calibri" w:cs="Calibri"/>
          <w:w w:val="110"/>
        </w:rPr>
        <w:t>employees participating in “concerted activity”</w:t>
      </w:r>
    </w:p>
    <w:p w14:paraId="75EA3D04"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adds</w:t>
      </w:r>
      <w:r w:rsidRPr="00DD7BD1">
        <w:rPr>
          <w:rFonts w:ascii="Calibri" w:hAnsi="Calibri" w:cs="Calibri"/>
          <w:spacing w:val="-13"/>
          <w:w w:val="110"/>
        </w:rPr>
        <w:t xml:space="preserve"> </w:t>
      </w:r>
      <w:r w:rsidRPr="00DD7BD1">
        <w:rPr>
          <w:rFonts w:ascii="Calibri" w:hAnsi="Calibri" w:cs="Calibri"/>
          <w:w w:val="110"/>
        </w:rPr>
        <w:t>restrictions</w:t>
      </w:r>
      <w:r w:rsidRPr="00DD7BD1">
        <w:rPr>
          <w:rFonts w:ascii="Calibri" w:hAnsi="Calibri" w:cs="Calibri"/>
          <w:spacing w:val="-13"/>
          <w:w w:val="110"/>
        </w:rPr>
        <w:t xml:space="preserve"> </w:t>
      </w:r>
      <w:r w:rsidRPr="00DD7BD1">
        <w:rPr>
          <w:rFonts w:ascii="Calibri" w:hAnsi="Calibri" w:cs="Calibri"/>
          <w:w w:val="110"/>
        </w:rPr>
        <w:t>on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use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certain</w:t>
      </w:r>
      <w:r w:rsidRPr="00DD7BD1">
        <w:rPr>
          <w:rFonts w:ascii="Calibri" w:hAnsi="Calibri" w:cs="Calibri"/>
          <w:spacing w:val="-14"/>
          <w:w w:val="110"/>
        </w:rPr>
        <w:t xml:space="preserve"> </w:t>
      </w:r>
      <w:r w:rsidRPr="00DD7BD1">
        <w:rPr>
          <w:rFonts w:ascii="Calibri" w:hAnsi="Calibri" w:cs="Calibri"/>
          <w:w w:val="110"/>
        </w:rPr>
        <w:t>“unilateral”</w:t>
      </w:r>
      <w:r w:rsidRPr="00DD7BD1">
        <w:rPr>
          <w:rFonts w:ascii="Calibri" w:hAnsi="Calibri" w:cs="Calibri"/>
          <w:spacing w:val="-14"/>
          <w:w w:val="110"/>
        </w:rPr>
        <w:t xml:space="preserve"> </w:t>
      </w:r>
      <w:r w:rsidRPr="00DD7BD1">
        <w:rPr>
          <w:rFonts w:ascii="Calibri" w:hAnsi="Calibri" w:cs="Calibri"/>
          <w:w w:val="110"/>
        </w:rPr>
        <w:t>conditions</w:t>
      </w:r>
      <w:r w:rsidRPr="00DD7BD1">
        <w:rPr>
          <w:rFonts w:ascii="Calibri" w:hAnsi="Calibri" w:cs="Calibri"/>
          <w:spacing w:val="-11"/>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agreements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expand</w:t>
      </w:r>
      <w:r w:rsidRPr="00DD7BD1">
        <w:rPr>
          <w:rFonts w:ascii="Calibri" w:hAnsi="Calibri" w:cs="Calibri"/>
          <w:spacing w:val="-11"/>
          <w:w w:val="110"/>
        </w:rPr>
        <w:t xml:space="preserve"> </w:t>
      </w:r>
      <w:r w:rsidRPr="00DD7BD1">
        <w:rPr>
          <w:rFonts w:ascii="Calibri" w:hAnsi="Calibri" w:cs="Calibri"/>
          <w:w w:val="110"/>
        </w:rPr>
        <w:t>the requirements for certain legally enforceable “mutual” conditions and agreements, as well as for certain confidentiality provisions in termination and settlement agreements</w:t>
      </w:r>
    </w:p>
    <w:p w14:paraId="3633BB3D"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w w:val="110"/>
        </w:rPr>
        <w:t>introduces</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0"/>
          <w:w w:val="110"/>
        </w:rPr>
        <w:t xml:space="preserve"> </w:t>
      </w:r>
      <w:r w:rsidRPr="00DD7BD1">
        <w:rPr>
          <w:rFonts w:ascii="Calibri" w:hAnsi="Calibri" w:cs="Calibri"/>
          <w:w w:val="110"/>
        </w:rPr>
        <w:t>new</w:t>
      </w:r>
      <w:r w:rsidRPr="00DD7BD1">
        <w:rPr>
          <w:rFonts w:ascii="Calibri" w:hAnsi="Calibri" w:cs="Calibri"/>
          <w:spacing w:val="-8"/>
          <w:w w:val="110"/>
        </w:rPr>
        <w:t xml:space="preserve"> </w:t>
      </w:r>
      <w:r w:rsidRPr="00DD7BD1">
        <w:rPr>
          <w:rFonts w:ascii="Calibri" w:hAnsi="Calibri" w:cs="Calibri"/>
          <w:w w:val="110"/>
        </w:rPr>
        <w:t>remedy</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8"/>
          <w:w w:val="110"/>
        </w:rPr>
        <w:t xml:space="preserve"> </w:t>
      </w:r>
      <w:r w:rsidRPr="00DD7BD1">
        <w:rPr>
          <w:rFonts w:ascii="Calibri" w:hAnsi="Calibri" w:cs="Calibri"/>
          <w:w w:val="110"/>
        </w:rPr>
        <w:t>consequential</w:t>
      </w:r>
      <w:r w:rsidRPr="00DD7BD1">
        <w:rPr>
          <w:rFonts w:ascii="Calibri" w:hAnsi="Calibri" w:cs="Calibri"/>
          <w:spacing w:val="-10"/>
          <w:w w:val="110"/>
        </w:rPr>
        <w:t xml:space="preserve"> </w:t>
      </w:r>
      <w:r w:rsidRPr="00DD7BD1">
        <w:rPr>
          <w:rFonts w:ascii="Calibri" w:hAnsi="Calibri" w:cs="Calibri"/>
          <w:w w:val="110"/>
        </w:rPr>
        <w:t>damages</w:t>
      </w:r>
      <w:r w:rsidRPr="00DD7BD1">
        <w:rPr>
          <w:rFonts w:ascii="Calibri" w:hAnsi="Calibri" w:cs="Calibri"/>
          <w:spacing w:val="-6"/>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9"/>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pursue</w:t>
      </w:r>
      <w:r w:rsidRPr="00DD7BD1">
        <w:rPr>
          <w:rFonts w:ascii="Calibri" w:hAnsi="Calibri" w:cs="Calibri"/>
          <w:spacing w:val="-8"/>
          <w:w w:val="110"/>
        </w:rPr>
        <w:t xml:space="preserve"> </w:t>
      </w:r>
      <w:r w:rsidRPr="00DD7BD1">
        <w:rPr>
          <w:rFonts w:ascii="Calibri" w:hAnsi="Calibri" w:cs="Calibri"/>
          <w:w w:val="110"/>
        </w:rPr>
        <w:t>in</w:t>
      </w:r>
      <w:r w:rsidRPr="00DD7BD1">
        <w:rPr>
          <w:rFonts w:ascii="Calibri" w:hAnsi="Calibri" w:cs="Calibri"/>
          <w:spacing w:val="-10"/>
          <w:w w:val="110"/>
        </w:rPr>
        <w:t xml:space="preserve"> </w:t>
      </w:r>
      <w:r w:rsidRPr="00DD7BD1">
        <w:rPr>
          <w:rFonts w:ascii="Calibri" w:hAnsi="Calibri" w:cs="Calibri"/>
          <w:w w:val="110"/>
        </w:rPr>
        <w:t>addition</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spacing w:val="-2"/>
          <w:w w:val="110"/>
        </w:rPr>
        <w:t>attorney’s</w:t>
      </w:r>
    </w:p>
    <w:p w14:paraId="79A2E581"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5"/>
          <w:szCs w:val="22"/>
        </w:rPr>
        <w:t>fees</w:t>
      </w:r>
      <w:r w:rsidRPr="00DD7BD1">
        <w:rPr>
          <w:rFonts w:cs="Calibri"/>
          <w:color w:val="auto"/>
          <w:spacing w:val="-9"/>
          <w:w w:val="115"/>
          <w:szCs w:val="22"/>
        </w:rPr>
        <w:t xml:space="preserve"> </w:t>
      </w:r>
      <w:r w:rsidRPr="00DD7BD1">
        <w:rPr>
          <w:rFonts w:cs="Calibri"/>
          <w:color w:val="auto"/>
          <w:w w:val="115"/>
          <w:szCs w:val="22"/>
        </w:rPr>
        <w:t>and</w:t>
      </w:r>
      <w:r w:rsidRPr="00DD7BD1">
        <w:rPr>
          <w:rFonts w:cs="Calibri"/>
          <w:color w:val="auto"/>
          <w:spacing w:val="-8"/>
          <w:w w:val="115"/>
          <w:szCs w:val="22"/>
        </w:rPr>
        <w:t xml:space="preserve"> </w:t>
      </w:r>
      <w:r w:rsidRPr="00DD7BD1">
        <w:rPr>
          <w:rFonts w:cs="Calibri"/>
          <w:color w:val="auto"/>
          <w:spacing w:val="-2"/>
          <w:w w:val="115"/>
          <w:szCs w:val="22"/>
        </w:rPr>
        <w:t>costs</w:t>
      </w:r>
    </w:p>
    <w:p w14:paraId="794B779A"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spacing w:val="2"/>
        </w:rPr>
        <w:t>continues</w:t>
      </w:r>
      <w:r w:rsidRPr="00DD7BD1">
        <w:rPr>
          <w:rFonts w:ascii="Calibri" w:hAnsi="Calibri" w:cs="Calibri"/>
          <w:spacing w:val="36"/>
        </w:rPr>
        <w:t xml:space="preserve"> </w:t>
      </w:r>
      <w:r w:rsidRPr="00DD7BD1">
        <w:rPr>
          <w:rFonts w:ascii="Calibri" w:hAnsi="Calibri" w:cs="Calibri"/>
          <w:spacing w:val="2"/>
        </w:rPr>
        <w:t>to</w:t>
      </w:r>
      <w:r w:rsidRPr="00DD7BD1">
        <w:rPr>
          <w:rFonts w:ascii="Calibri" w:hAnsi="Calibri" w:cs="Calibri"/>
          <w:spacing w:val="33"/>
        </w:rPr>
        <w:t xml:space="preserve"> </w:t>
      </w:r>
      <w:r w:rsidRPr="00DD7BD1">
        <w:rPr>
          <w:rFonts w:ascii="Calibri" w:hAnsi="Calibri" w:cs="Calibri"/>
          <w:spacing w:val="2"/>
        </w:rPr>
        <w:t>provide</w:t>
      </w:r>
      <w:r w:rsidRPr="00DD7BD1">
        <w:rPr>
          <w:rFonts w:ascii="Calibri" w:hAnsi="Calibri" w:cs="Calibri"/>
          <w:spacing w:val="37"/>
        </w:rPr>
        <w:t xml:space="preserve"> </w:t>
      </w:r>
      <w:r w:rsidRPr="00DD7BD1">
        <w:rPr>
          <w:rFonts w:ascii="Calibri" w:hAnsi="Calibri" w:cs="Calibri"/>
          <w:spacing w:val="2"/>
        </w:rPr>
        <w:t>that</w:t>
      </w:r>
      <w:r w:rsidRPr="00DD7BD1">
        <w:rPr>
          <w:rFonts w:ascii="Calibri" w:hAnsi="Calibri" w:cs="Calibri"/>
          <w:spacing w:val="37"/>
        </w:rPr>
        <w:t xml:space="preserve"> </w:t>
      </w:r>
      <w:r w:rsidRPr="00DD7BD1">
        <w:rPr>
          <w:rFonts w:ascii="Calibri" w:hAnsi="Calibri" w:cs="Calibri"/>
          <w:spacing w:val="2"/>
        </w:rPr>
        <w:t>protected</w:t>
      </w:r>
      <w:r w:rsidRPr="00DD7BD1">
        <w:rPr>
          <w:rFonts w:ascii="Calibri" w:hAnsi="Calibri" w:cs="Calibri"/>
          <w:spacing w:val="36"/>
        </w:rPr>
        <w:t xml:space="preserve"> </w:t>
      </w:r>
      <w:r w:rsidRPr="00DD7BD1">
        <w:rPr>
          <w:rFonts w:ascii="Calibri" w:hAnsi="Calibri" w:cs="Calibri"/>
          <w:spacing w:val="2"/>
        </w:rPr>
        <w:t>“Employees”</w:t>
      </w:r>
      <w:r w:rsidRPr="00DD7BD1">
        <w:rPr>
          <w:rFonts w:ascii="Calibri" w:hAnsi="Calibri" w:cs="Calibri"/>
          <w:spacing w:val="37"/>
        </w:rPr>
        <w:t xml:space="preserve"> </w:t>
      </w:r>
      <w:r w:rsidRPr="00DD7BD1">
        <w:rPr>
          <w:rFonts w:ascii="Calibri" w:hAnsi="Calibri" w:cs="Calibri"/>
          <w:spacing w:val="2"/>
        </w:rPr>
        <w:t>include</w:t>
      </w:r>
      <w:r w:rsidRPr="00DD7BD1">
        <w:rPr>
          <w:rFonts w:ascii="Calibri" w:hAnsi="Calibri" w:cs="Calibri"/>
          <w:spacing w:val="33"/>
        </w:rPr>
        <w:t xml:space="preserve"> </w:t>
      </w:r>
      <w:r w:rsidRPr="00DD7BD1">
        <w:rPr>
          <w:rFonts w:ascii="Calibri" w:hAnsi="Calibri" w:cs="Calibri"/>
          <w:spacing w:val="2"/>
        </w:rPr>
        <w:t>“‘nonemployees’</w:t>
      </w:r>
      <w:r w:rsidRPr="00DD7BD1">
        <w:rPr>
          <w:rFonts w:ascii="Calibri" w:hAnsi="Calibri" w:cs="Calibri"/>
          <w:spacing w:val="29"/>
        </w:rPr>
        <w:t xml:space="preserve"> </w:t>
      </w:r>
      <w:r w:rsidRPr="00DD7BD1">
        <w:rPr>
          <w:rFonts w:ascii="Calibri" w:hAnsi="Calibri" w:cs="Calibri"/>
          <w:spacing w:val="2"/>
        </w:rPr>
        <w:t>as</w:t>
      </w:r>
      <w:r w:rsidRPr="00DD7BD1">
        <w:rPr>
          <w:rFonts w:ascii="Calibri" w:hAnsi="Calibri" w:cs="Calibri"/>
          <w:spacing w:val="37"/>
        </w:rPr>
        <w:t xml:space="preserve"> </w:t>
      </w:r>
      <w:r w:rsidRPr="00DD7BD1">
        <w:rPr>
          <w:rFonts w:ascii="Calibri" w:hAnsi="Calibri" w:cs="Calibri"/>
          <w:spacing w:val="2"/>
        </w:rPr>
        <w:t>defined</w:t>
      </w:r>
      <w:r w:rsidRPr="00DD7BD1">
        <w:rPr>
          <w:rFonts w:ascii="Calibri" w:hAnsi="Calibri" w:cs="Calibri"/>
          <w:spacing w:val="37"/>
        </w:rPr>
        <w:t xml:space="preserve"> </w:t>
      </w:r>
      <w:r w:rsidRPr="00DD7BD1">
        <w:rPr>
          <w:rFonts w:ascii="Calibri" w:hAnsi="Calibri" w:cs="Calibri"/>
          <w:spacing w:val="2"/>
        </w:rPr>
        <w:t>in</w:t>
      </w:r>
      <w:r w:rsidRPr="00DD7BD1">
        <w:rPr>
          <w:rFonts w:ascii="Calibri" w:hAnsi="Calibri" w:cs="Calibri"/>
          <w:spacing w:val="33"/>
        </w:rPr>
        <w:t xml:space="preserve"> </w:t>
      </w:r>
      <w:r w:rsidRPr="00DD7BD1">
        <w:rPr>
          <w:rFonts w:ascii="Calibri" w:hAnsi="Calibri" w:cs="Calibri"/>
          <w:spacing w:val="2"/>
        </w:rPr>
        <w:t>Section</w:t>
      </w:r>
      <w:r w:rsidRPr="00DD7BD1">
        <w:rPr>
          <w:rFonts w:ascii="Calibri" w:hAnsi="Calibri" w:cs="Calibri"/>
          <w:spacing w:val="33"/>
        </w:rPr>
        <w:t xml:space="preserve"> </w:t>
      </w:r>
      <w:r w:rsidRPr="00DD7BD1">
        <w:rPr>
          <w:rFonts w:ascii="Calibri" w:hAnsi="Calibri" w:cs="Calibri"/>
          <w:spacing w:val="2"/>
        </w:rPr>
        <w:t>2-102</w:t>
      </w:r>
      <w:r w:rsidRPr="00DD7BD1">
        <w:rPr>
          <w:rFonts w:ascii="Calibri" w:hAnsi="Calibri" w:cs="Calibri"/>
          <w:spacing w:val="33"/>
        </w:rPr>
        <w:t xml:space="preserve"> </w:t>
      </w:r>
      <w:r w:rsidRPr="00DD7BD1">
        <w:rPr>
          <w:rFonts w:ascii="Calibri" w:hAnsi="Calibri" w:cs="Calibri"/>
          <w:spacing w:val="-5"/>
        </w:rPr>
        <w:t>of</w:t>
      </w:r>
    </w:p>
    <w:p w14:paraId="5F3844F5"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Human</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1"/>
          <w:w w:val="110"/>
          <w:szCs w:val="22"/>
        </w:rPr>
        <w:t xml:space="preserve"> </w:t>
      </w:r>
      <w:r w:rsidRPr="00DD7BD1">
        <w:rPr>
          <w:rFonts w:cs="Calibri"/>
          <w:color w:val="auto"/>
          <w:spacing w:val="-2"/>
          <w:w w:val="110"/>
          <w:szCs w:val="22"/>
        </w:rPr>
        <w:t>Act.”</w:t>
      </w:r>
    </w:p>
    <w:p w14:paraId="616E5E73" w14:textId="5C9FD064" w:rsidR="00A85628" w:rsidRPr="00DD7BD1" w:rsidRDefault="00A85628" w:rsidP="00A85628">
      <w:pPr>
        <w:pStyle w:val="BodyText"/>
        <w:spacing w:after="0" w:line="240" w:lineRule="auto"/>
        <w:ind w:right="-450"/>
        <w:jc w:val="left"/>
        <w:rPr>
          <w:rFonts w:cs="Calibri"/>
          <w:szCs w:val="22"/>
        </w:rPr>
      </w:pP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read</w:t>
      </w:r>
      <w:r w:rsidRPr="00DD7BD1">
        <w:rPr>
          <w:rFonts w:cs="Calibri"/>
          <w:color w:val="auto"/>
          <w:spacing w:val="-9"/>
          <w:w w:val="110"/>
          <w:szCs w:val="22"/>
        </w:rPr>
        <w:t xml:space="preserve"> </w:t>
      </w:r>
      <w:r w:rsidRPr="00DD7BD1">
        <w:rPr>
          <w:rFonts w:cs="Calibri"/>
          <w:color w:val="auto"/>
          <w:w w:val="110"/>
          <w:szCs w:val="22"/>
        </w:rPr>
        <w:t>more,</w:t>
      </w:r>
      <w:r w:rsidRPr="00DD7BD1">
        <w:rPr>
          <w:rFonts w:cs="Calibri"/>
          <w:color w:val="auto"/>
          <w:spacing w:val="-8"/>
          <w:w w:val="110"/>
          <w:szCs w:val="22"/>
        </w:rPr>
        <w:t xml:space="preserve"> </w:t>
      </w:r>
      <w:r w:rsidRPr="00DD7BD1">
        <w:rPr>
          <w:rFonts w:cs="Calibri"/>
          <w:color w:val="auto"/>
          <w:w w:val="110"/>
          <w:szCs w:val="22"/>
        </w:rPr>
        <w:t>access</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recent</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8"/>
          <w:w w:val="110"/>
          <w:szCs w:val="22"/>
        </w:rPr>
        <w:t xml:space="preserve"> </w:t>
      </w:r>
      <w:r w:rsidRPr="00DD7BD1">
        <w:rPr>
          <w:rFonts w:cs="Calibri"/>
          <w:color w:val="auto"/>
          <w:w w:val="110"/>
          <w:szCs w:val="22"/>
        </w:rPr>
        <w:t>published</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10"/>
          <w:w w:val="110"/>
          <w:szCs w:val="22"/>
        </w:rPr>
        <w:t xml:space="preserve"> </w:t>
      </w:r>
      <w:r w:rsidRPr="00DD7BD1">
        <w:rPr>
          <w:rFonts w:cs="Calibri"/>
          <w:color w:val="auto"/>
          <w:w w:val="110"/>
          <w:szCs w:val="22"/>
        </w:rPr>
        <w:t>27</w:t>
      </w:r>
      <w:r w:rsidRPr="00DD7BD1">
        <w:rPr>
          <w:rFonts w:cs="Calibri"/>
          <w:color w:val="auto"/>
          <w:w w:val="110"/>
          <w:szCs w:val="22"/>
          <w:vertAlign w:val="superscript"/>
        </w:rPr>
        <w:t>th</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Morgan</w:t>
      </w:r>
      <w:r w:rsidRPr="00DD7BD1">
        <w:rPr>
          <w:rFonts w:cs="Calibri"/>
          <w:color w:val="auto"/>
          <w:spacing w:val="-11"/>
          <w:w w:val="110"/>
          <w:szCs w:val="22"/>
        </w:rPr>
        <w:t xml:space="preserve"> </w:t>
      </w:r>
      <w:r w:rsidRPr="00DD7BD1">
        <w:rPr>
          <w:rFonts w:cs="Calibri"/>
          <w:color w:val="auto"/>
          <w:w w:val="110"/>
          <w:szCs w:val="22"/>
        </w:rPr>
        <w:t>Lewis</w:t>
      </w:r>
      <w:r w:rsidRPr="00DD7BD1">
        <w:rPr>
          <w:rFonts w:cs="Calibri"/>
          <w:color w:val="auto"/>
          <w:spacing w:val="-7"/>
          <w:w w:val="110"/>
          <w:szCs w:val="22"/>
        </w:rPr>
        <w:t xml:space="preserve"> </w:t>
      </w:r>
      <w:r w:rsidRPr="00DD7BD1">
        <w:rPr>
          <w:rFonts w:cs="Calibri"/>
          <w:color w:val="auto"/>
          <w:w w:val="110"/>
          <w:szCs w:val="22"/>
        </w:rPr>
        <w:t>Firm</w:t>
      </w:r>
      <w:r w:rsidRPr="00DD7BD1">
        <w:rPr>
          <w:rFonts w:cs="Calibri"/>
          <w:color w:val="auto"/>
          <w:spacing w:val="-7"/>
          <w:w w:val="110"/>
          <w:szCs w:val="22"/>
        </w:rPr>
        <w:t xml:space="preserve"> </w:t>
      </w:r>
      <w:r w:rsidRPr="00DD7BD1">
        <w:rPr>
          <w:rFonts w:cs="Calibri"/>
          <w:color w:val="auto"/>
          <w:w w:val="110"/>
          <w:szCs w:val="22"/>
        </w:rPr>
        <w:t>accessible</w:t>
      </w:r>
      <w:r w:rsidRPr="00DD7BD1">
        <w:rPr>
          <w:rFonts w:cs="Calibri"/>
          <w:color w:val="auto"/>
          <w:spacing w:val="-6"/>
          <w:w w:val="110"/>
          <w:szCs w:val="22"/>
        </w:rPr>
        <w:t xml:space="preserve"> </w:t>
      </w:r>
      <w:hyperlink r:id="rId646">
        <w:r w:rsidRPr="00DD7BD1">
          <w:rPr>
            <w:rFonts w:cs="Calibri"/>
            <w:b/>
            <w:color w:val="0000FF"/>
            <w:spacing w:val="-4"/>
            <w:w w:val="110"/>
            <w:szCs w:val="22"/>
            <w:u w:val="single" w:color="0000FF"/>
          </w:rPr>
          <w:t>HERE</w:t>
        </w:r>
      </w:hyperlink>
      <w:r w:rsidR="00C665E8" w:rsidRPr="00DD7BD1">
        <w:rPr>
          <w:rFonts w:cs="Calibri"/>
        </w:rPr>
        <w:t xml:space="preserve"> </w:t>
      </w:r>
      <w:r w:rsidR="00C665E8" w:rsidRPr="00DD7BD1">
        <w:rPr>
          <w:rFonts w:cs="Calibri"/>
          <w:color w:val="auto"/>
          <w:w w:val="110"/>
          <w:szCs w:val="22"/>
        </w:rPr>
        <w:t xml:space="preserve">or the October 27th article published by Benesch Attorneys at Law </w:t>
      </w:r>
      <w:hyperlink r:id="rId647" w:history="1">
        <w:r w:rsidR="00C665E8" w:rsidRPr="00DD7BD1">
          <w:rPr>
            <w:rStyle w:val="Hyperlink"/>
            <w:rFonts w:cs="Calibri"/>
            <w:b/>
            <w:bCs/>
            <w:w w:val="110"/>
            <w:szCs w:val="22"/>
          </w:rPr>
          <w:t>HERE</w:t>
        </w:r>
      </w:hyperlink>
    </w:p>
    <w:p w14:paraId="17EBBBA1" w14:textId="77777777" w:rsidR="00A85628" w:rsidRPr="00DD7BD1" w:rsidRDefault="00A85628" w:rsidP="00A85628">
      <w:pPr>
        <w:pStyle w:val="BodyText"/>
        <w:spacing w:after="0" w:line="240" w:lineRule="auto"/>
        <w:ind w:right="-450"/>
        <w:jc w:val="left"/>
        <w:rPr>
          <w:rFonts w:cs="Calibri"/>
          <w:b/>
          <w:szCs w:val="22"/>
        </w:rPr>
      </w:pPr>
    </w:p>
    <w:p w14:paraId="622A45A8" w14:textId="6CD33AB3" w:rsidR="00A85628" w:rsidRPr="00DD7BD1" w:rsidRDefault="00A85628" w:rsidP="00A85628">
      <w:pPr>
        <w:pStyle w:val="Heading1"/>
        <w:spacing w:before="0" w:beforeAutospacing="0" w:after="0" w:afterAutospacing="0"/>
        <w:ind w:left="720" w:right="-274"/>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State Amends Equal Pay Act to Separate It from Federal EEO-1 Reporting</w:t>
      </w:r>
    </w:p>
    <w:p w14:paraId="0ABF1CBF"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Illinois</w:t>
      </w:r>
      <w:r w:rsidRPr="00DD7BD1">
        <w:rPr>
          <w:rFonts w:cs="Calibri"/>
          <w:color w:val="auto"/>
          <w:spacing w:val="-8"/>
          <w:w w:val="110"/>
          <w:szCs w:val="22"/>
        </w:rPr>
        <w:t xml:space="preserve"> </w:t>
      </w:r>
      <w:r w:rsidRPr="00DD7BD1">
        <w:rPr>
          <w:rFonts w:cs="Calibri"/>
          <w:color w:val="auto"/>
          <w:w w:val="110"/>
          <w:szCs w:val="22"/>
        </w:rPr>
        <w:t>has</w:t>
      </w:r>
      <w:r w:rsidRPr="00DD7BD1">
        <w:rPr>
          <w:rFonts w:cs="Calibri"/>
          <w:color w:val="auto"/>
          <w:spacing w:val="-8"/>
          <w:w w:val="110"/>
          <w:szCs w:val="22"/>
        </w:rPr>
        <w:t xml:space="preserve"> </w:t>
      </w:r>
      <w:r w:rsidRPr="00DD7BD1">
        <w:rPr>
          <w:rFonts w:cs="Calibri"/>
          <w:color w:val="auto"/>
          <w:w w:val="110"/>
          <w:szCs w:val="22"/>
        </w:rPr>
        <w:t>amended</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9"/>
          <w:w w:val="110"/>
          <w:szCs w:val="22"/>
        </w:rPr>
        <w:t xml:space="preserve"> </w:t>
      </w:r>
      <w:r w:rsidRPr="00DD7BD1">
        <w:rPr>
          <w:rFonts w:cs="Calibri"/>
          <w:color w:val="auto"/>
          <w:w w:val="110"/>
          <w:szCs w:val="22"/>
        </w:rPr>
        <w:t>Equal</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remove</w:t>
      </w:r>
      <w:r w:rsidRPr="00DD7BD1">
        <w:rPr>
          <w:rFonts w:cs="Calibri"/>
          <w:color w:val="auto"/>
          <w:spacing w:val="-8"/>
          <w:w w:val="110"/>
          <w:szCs w:val="22"/>
        </w:rPr>
        <w:t xml:space="preserve"> </w:t>
      </w:r>
      <w:r w:rsidRPr="00DD7BD1">
        <w:rPr>
          <w:rFonts w:cs="Calibri"/>
          <w:color w:val="auto"/>
          <w:w w:val="110"/>
          <w:szCs w:val="22"/>
        </w:rPr>
        <w:t>references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EEO-1</w:t>
      </w:r>
      <w:r w:rsidRPr="00DD7BD1">
        <w:rPr>
          <w:rFonts w:cs="Calibri"/>
          <w:color w:val="auto"/>
          <w:spacing w:val="-8"/>
          <w:w w:val="110"/>
          <w:szCs w:val="22"/>
        </w:rPr>
        <w:t xml:space="preserve"> </w:t>
      </w:r>
      <w:r w:rsidRPr="00DD7BD1">
        <w:rPr>
          <w:rFonts w:cs="Calibri"/>
          <w:color w:val="auto"/>
          <w:w w:val="110"/>
          <w:szCs w:val="22"/>
        </w:rPr>
        <w:t>Annual</w:t>
      </w:r>
      <w:r w:rsidRPr="00DD7BD1">
        <w:rPr>
          <w:rFonts w:cs="Calibri"/>
          <w:color w:val="auto"/>
          <w:spacing w:val="-10"/>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 xml:space="preserve">Report. </w:t>
      </w:r>
      <w:r w:rsidRPr="00DD7BD1">
        <w:rPr>
          <w:rFonts w:cs="Calibri"/>
          <w:color w:val="auto"/>
          <w:spacing w:val="-2"/>
          <w:w w:val="110"/>
          <w:szCs w:val="22"/>
        </w:rPr>
        <w:t>References</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3"/>
          <w:w w:val="110"/>
          <w:szCs w:val="22"/>
        </w:rPr>
        <w:t xml:space="preserve"> </w:t>
      </w:r>
      <w:r w:rsidRPr="00DD7BD1">
        <w:rPr>
          <w:rFonts w:cs="Calibri"/>
          <w:color w:val="auto"/>
          <w:spacing w:val="-2"/>
          <w:w w:val="110"/>
          <w:szCs w:val="22"/>
        </w:rPr>
        <w:t>EEO-1</w:t>
      </w:r>
      <w:r w:rsidRPr="00DD7BD1">
        <w:rPr>
          <w:rFonts w:cs="Calibri"/>
          <w:color w:val="auto"/>
          <w:spacing w:val="-12"/>
          <w:w w:val="110"/>
          <w:szCs w:val="22"/>
        </w:rPr>
        <w:t xml:space="preserve"> </w:t>
      </w:r>
      <w:r w:rsidRPr="00DD7BD1">
        <w:rPr>
          <w:rFonts w:cs="Calibri"/>
          <w:color w:val="auto"/>
          <w:spacing w:val="-2"/>
          <w:w w:val="110"/>
          <w:szCs w:val="22"/>
        </w:rPr>
        <w:t>report</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10"/>
          <w:w w:val="110"/>
          <w:szCs w:val="22"/>
        </w:rPr>
        <w:t xml:space="preserve"> </w:t>
      </w:r>
      <w:r w:rsidRPr="00DD7BD1">
        <w:rPr>
          <w:rFonts w:cs="Calibri"/>
          <w:color w:val="auto"/>
          <w:spacing w:val="-2"/>
          <w:w w:val="110"/>
          <w:szCs w:val="22"/>
        </w:rPr>
        <w:t>EEOC</w:t>
      </w:r>
      <w:r w:rsidRPr="00DD7BD1">
        <w:rPr>
          <w:rFonts w:cs="Calibri"/>
          <w:color w:val="auto"/>
          <w:spacing w:val="-10"/>
          <w:w w:val="110"/>
          <w:szCs w:val="22"/>
        </w:rPr>
        <w:t xml:space="preserve"> </w:t>
      </w:r>
      <w:r w:rsidRPr="00DD7BD1">
        <w:rPr>
          <w:rFonts w:cs="Calibri"/>
          <w:color w:val="auto"/>
          <w:spacing w:val="-2"/>
          <w:w w:val="110"/>
          <w:szCs w:val="22"/>
        </w:rPr>
        <w:t>itself</w:t>
      </w:r>
      <w:r w:rsidRPr="00DD7BD1">
        <w:rPr>
          <w:rFonts w:cs="Calibri"/>
          <w:color w:val="auto"/>
          <w:spacing w:val="-11"/>
          <w:w w:val="110"/>
          <w:szCs w:val="22"/>
        </w:rPr>
        <w:t xml:space="preserve"> </w:t>
      </w:r>
      <w:r w:rsidRPr="00DD7BD1">
        <w:rPr>
          <w:rFonts w:cs="Calibri"/>
          <w:color w:val="auto"/>
          <w:spacing w:val="-2"/>
          <w:w w:val="110"/>
          <w:szCs w:val="22"/>
        </w:rPr>
        <w:t>have</w:t>
      </w:r>
      <w:r w:rsidRPr="00DD7BD1">
        <w:rPr>
          <w:rFonts w:cs="Calibri"/>
          <w:color w:val="auto"/>
          <w:spacing w:val="-12"/>
          <w:w w:val="110"/>
          <w:szCs w:val="22"/>
        </w:rPr>
        <w:t xml:space="preserve"> </w:t>
      </w:r>
      <w:r w:rsidRPr="00DD7BD1">
        <w:rPr>
          <w:rFonts w:cs="Calibri"/>
          <w:color w:val="auto"/>
          <w:spacing w:val="-2"/>
          <w:w w:val="110"/>
          <w:szCs w:val="22"/>
        </w:rPr>
        <w:t>been</w:t>
      </w:r>
      <w:r w:rsidRPr="00DD7BD1">
        <w:rPr>
          <w:rFonts w:cs="Calibri"/>
          <w:color w:val="auto"/>
          <w:spacing w:val="-10"/>
          <w:w w:val="110"/>
          <w:szCs w:val="22"/>
        </w:rPr>
        <w:t xml:space="preserve"> </w:t>
      </w:r>
      <w:r w:rsidRPr="00DD7BD1">
        <w:rPr>
          <w:rFonts w:cs="Calibri"/>
          <w:color w:val="auto"/>
          <w:spacing w:val="-2"/>
          <w:w w:val="110"/>
          <w:szCs w:val="22"/>
        </w:rPr>
        <w:t>removed</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1"/>
          <w:w w:val="110"/>
          <w:szCs w:val="22"/>
        </w:rPr>
        <w:t xml:space="preserve"> </w:t>
      </w:r>
      <w:r w:rsidRPr="00DD7BD1">
        <w:rPr>
          <w:rFonts w:cs="Calibri"/>
          <w:color w:val="auto"/>
          <w:spacing w:val="-2"/>
          <w:w w:val="110"/>
          <w:szCs w:val="22"/>
        </w:rPr>
        <w:t>4</w:t>
      </w:r>
      <w:r w:rsidRPr="00DD7BD1">
        <w:rPr>
          <w:rFonts w:cs="Calibri"/>
          <w:color w:val="auto"/>
          <w:spacing w:val="-12"/>
          <w:w w:val="110"/>
          <w:szCs w:val="22"/>
        </w:rPr>
        <w:t xml:space="preserve"> </w:t>
      </w:r>
      <w:r w:rsidRPr="00DD7BD1">
        <w:rPr>
          <w:rFonts w:cs="Calibri"/>
          <w:color w:val="auto"/>
          <w:spacing w:val="-2"/>
          <w:w w:val="110"/>
          <w:szCs w:val="22"/>
        </w:rPr>
        <w:t>places.</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2"/>
          <w:w w:val="110"/>
          <w:szCs w:val="22"/>
        </w:rPr>
        <w:t xml:space="preserve"> </w:t>
      </w:r>
      <w:r w:rsidRPr="00DD7BD1">
        <w:rPr>
          <w:rFonts w:cs="Calibri"/>
          <w:color w:val="auto"/>
          <w:spacing w:val="-2"/>
          <w:w w:val="110"/>
          <w:szCs w:val="22"/>
        </w:rPr>
        <w:t>“business”</w:t>
      </w:r>
      <w:r w:rsidRPr="00DD7BD1">
        <w:rPr>
          <w:rFonts w:cs="Calibri"/>
          <w:color w:val="auto"/>
          <w:spacing w:val="-10"/>
          <w:w w:val="110"/>
          <w:szCs w:val="22"/>
        </w:rPr>
        <w:t xml:space="preserve"> </w:t>
      </w:r>
      <w:r w:rsidRPr="00DD7BD1">
        <w:rPr>
          <w:rFonts w:cs="Calibri"/>
          <w:color w:val="auto"/>
          <w:spacing w:val="-2"/>
          <w:w w:val="110"/>
          <w:szCs w:val="22"/>
        </w:rPr>
        <w:t>now</w:t>
      </w:r>
      <w:r w:rsidRPr="00DD7BD1">
        <w:rPr>
          <w:rFonts w:cs="Calibri"/>
          <w:color w:val="auto"/>
          <w:spacing w:val="-11"/>
          <w:w w:val="110"/>
          <w:szCs w:val="22"/>
        </w:rPr>
        <w:t xml:space="preserve"> </w:t>
      </w:r>
      <w:r w:rsidRPr="00DD7BD1">
        <w:rPr>
          <w:rFonts w:cs="Calibri"/>
          <w:color w:val="auto"/>
          <w:spacing w:val="-2"/>
          <w:w w:val="110"/>
          <w:szCs w:val="22"/>
        </w:rPr>
        <w:t>only</w:t>
      </w:r>
      <w:r w:rsidRPr="00DD7BD1">
        <w:rPr>
          <w:rFonts w:cs="Calibri"/>
          <w:color w:val="auto"/>
          <w:spacing w:val="-12"/>
          <w:w w:val="110"/>
          <w:szCs w:val="22"/>
        </w:rPr>
        <w:t xml:space="preserve"> </w:t>
      </w:r>
      <w:r w:rsidRPr="00DD7BD1">
        <w:rPr>
          <w:rFonts w:cs="Calibri"/>
          <w:color w:val="auto"/>
          <w:spacing w:val="-2"/>
          <w:w w:val="110"/>
          <w:szCs w:val="22"/>
        </w:rPr>
        <w:t>needs</w:t>
      </w:r>
      <w:r w:rsidRPr="00DD7BD1">
        <w:rPr>
          <w:rFonts w:cs="Calibri"/>
          <w:color w:val="auto"/>
          <w:spacing w:val="-12"/>
          <w:w w:val="110"/>
          <w:szCs w:val="22"/>
        </w:rPr>
        <w:t xml:space="preserve"> </w:t>
      </w:r>
      <w:r w:rsidRPr="00DD7BD1">
        <w:rPr>
          <w:rFonts w:cs="Calibri"/>
          <w:color w:val="auto"/>
          <w:spacing w:val="-2"/>
          <w:w w:val="110"/>
          <w:szCs w:val="22"/>
        </w:rPr>
        <w:t xml:space="preserve">to </w:t>
      </w:r>
      <w:r w:rsidRPr="00DD7BD1">
        <w:rPr>
          <w:rFonts w:cs="Calibri"/>
          <w:color w:val="auto"/>
          <w:w w:val="110"/>
          <w:szCs w:val="22"/>
        </w:rPr>
        <w:t>be a private employer who has 100 or more employees in the State of Illinois. Reference to the business being 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have</w:t>
      </w:r>
      <w:r w:rsidRPr="00DD7BD1">
        <w:rPr>
          <w:rFonts w:cs="Calibri"/>
          <w:color w:val="auto"/>
          <w:spacing w:val="-14"/>
          <w:w w:val="110"/>
          <w:szCs w:val="22"/>
        </w:rPr>
        <w:t xml:space="preserve"> </w:t>
      </w:r>
      <w:r w:rsidRPr="00DD7BD1">
        <w:rPr>
          <w:rFonts w:cs="Calibri"/>
          <w:color w:val="auto"/>
          <w:w w:val="110"/>
          <w:szCs w:val="22"/>
        </w:rPr>
        <w:t>filed</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5"/>
          <w:w w:val="110"/>
          <w:szCs w:val="22"/>
        </w:rPr>
        <w:t xml:space="preserve"> </w:t>
      </w:r>
      <w:r w:rsidRPr="00DD7BD1">
        <w:rPr>
          <w:rFonts w:cs="Calibri"/>
          <w:color w:val="auto"/>
          <w:w w:val="110"/>
          <w:szCs w:val="22"/>
        </w:rPr>
        <w:t>EEO-1</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Equal</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Opportunity Commission have been removed.</w:t>
      </w:r>
    </w:p>
    <w:p w14:paraId="60BE6F47" w14:textId="77777777" w:rsidR="00A85628" w:rsidRPr="00DD7BD1" w:rsidRDefault="00A85628" w:rsidP="00A85628">
      <w:pPr>
        <w:pStyle w:val="BodyText"/>
        <w:spacing w:after="0" w:line="240" w:lineRule="auto"/>
        <w:ind w:right="-274"/>
        <w:jc w:val="left"/>
        <w:rPr>
          <w:rFonts w:cs="Calibri"/>
          <w:color w:val="auto"/>
          <w:sz w:val="16"/>
          <w:szCs w:val="16"/>
        </w:rPr>
      </w:pPr>
    </w:p>
    <w:p w14:paraId="04BFD0DC" w14:textId="77777777" w:rsidR="00A85628" w:rsidRPr="00DD7BD1" w:rsidRDefault="00A85628" w:rsidP="00A85628">
      <w:pPr>
        <w:pStyle w:val="BodyText"/>
        <w:spacing w:after="0" w:line="240" w:lineRule="auto"/>
        <w:ind w:right="-274"/>
        <w:jc w:val="left"/>
        <w:rPr>
          <w:rFonts w:cs="Calibri"/>
          <w:w w:val="110"/>
          <w:szCs w:val="22"/>
        </w:rPr>
      </w:pPr>
      <w:r w:rsidRPr="00DD7BD1">
        <w:rPr>
          <w:rFonts w:cs="Calibri"/>
          <w:color w:val="auto"/>
          <w:w w:val="110"/>
          <w:szCs w:val="22"/>
        </w:rPr>
        <w:t>Although</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categories</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3"/>
          <w:w w:val="110"/>
          <w:szCs w:val="22"/>
        </w:rPr>
        <w:t xml:space="preserve"> </w:t>
      </w:r>
      <w:r w:rsidRPr="00DD7BD1">
        <w:rPr>
          <w:rFonts w:cs="Calibri"/>
          <w:color w:val="auto"/>
          <w:w w:val="110"/>
          <w:szCs w:val="22"/>
        </w:rPr>
        <w:t>remained</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now</w:t>
      </w:r>
      <w:r w:rsidRPr="00DD7BD1">
        <w:rPr>
          <w:rFonts w:cs="Calibri"/>
          <w:color w:val="auto"/>
          <w:spacing w:val="-14"/>
          <w:w w:val="110"/>
          <w:szCs w:val="22"/>
        </w:rPr>
        <w:t xml:space="preserve"> </w:t>
      </w:r>
      <w:r w:rsidRPr="00DD7BD1">
        <w:rPr>
          <w:rFonts w:cs="Calibri"/>
          <w:color w:val="auto"/>
          <w:w w:val="110"/>
          <w:szCs w:val="22"/>
        </w:rPr>
        <w:t>given</w:t>
      </w:r>
      <w:r w:rsidRPr="00DD7BD1">
        <w:rPr>
          <w:rFonts w:cs="Calibri"/>
          <w:color w:val="auto"/>
          <w:spacing w:val="-13"/>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specific</w:t>
      </w:r>
      <w:r w:rsidRPr="00DD7BD1">
        <w:rPr>
          <w:rFonts w:cs="Calibri"/>
          <w:color w:val="auto"/>
          <w:spacing w:val="-12"/>
          <w:w w:val="110"/>
          <w:szCs w:val="22"/>
        </w:rPr>
        <w:t xml:space="preserve"> </w:t>
      </w:r>
      <w:r w:rsidRPr="00DD7BD1">
        <w:rPr>
          <w:rFonts w:cs="Calibri"/>
          <w:color w:val="auto"/>
          <w:w w:val="110"/>
          <w:szCs w:val="22"/>
        </w:rPr>
        <w:t>definition</w:t>
      </w:r>
      <w:r w:rsidRPr="00DD7BD1">
        <w:rPr>
          <w:rFonts w:cs="Calibri"/>
          <w:color w:val="auto"/>
          <w:spacing w:val="-13"/>
          <w:w w:val="110"/>
          <w:szCs w:val="22"/>
        </w:rPr>
        <w:t xml:space="preserve"> </w:t>
      </w:r>
      <w:r w:rsidRPr="00DD7BD1">
        <w:rPr>
          <w:rFonts w:cs="Calibri"/>
          <w:color w:val="auto"/>
          <w:w w:val="110"/>
          <w:szCs w:val="22"/>
        </w:rPr>
        <w:t>within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are no</w:t>
      </w:r>
      <w:r w:rsidRPr="00DD7BD1">
        <w:rPr>
          <w:rFonts w:cs="Calibri"/>
          <w:color w:val="auto"/>
          <w:spacing w:val="-15"/>
          <w:w w:val="110"/>
          <w:szCs w:val="22"/>
        </w:rPr>
        <w:t xml:space="preserve"> </w:t>
      </w:r>
      <w:r w:rsidRPr="00DD7BD1">
        <w:rPr>
          <w:rFonts w:cs="Calibri"/>
          <w:color w:val="auto"/>
          <w:w w:val="110"/>
          <w:szCs w:val="22"/>
        </w:rPr>
        <w:t>longer</w:t>
      </w:r>
      <w:r w:rsidRPr="00DD7BD1">
        <w:rPr>
          <w:rFonts w:cs="Calibri"/>
          <w:color w:val="auto"/>
          <w:spacing w:val="-17"/>
          <w:w w:val="110"/>
          <w:szCs w:val="22"/>
        </w:rPr>
        <w:t xml:space="preserve"> </w:t>
      </w:r>
      <w:r w:rsidRPr="00DD7BD1">
        <w:rPr>
          <w:rFonts w:cs="Calibri"/>
          <w:color w:val="auto"/>
          <w:w w:val="110"/>
          <w:szCs w:val="22"/>
        </w:rPr>
        <w:t>formally</w:t>
      </w:r>
      <w:r w:rsidRPr="00DD7BD1">
        <w:rPr>
          <w:rFonts w:cs="Calibri"/>
          <w:color w:val="auto"/>
          <w:spacing w:val="-16"/>
          <w:w w:val="110"/>
          <w:szCs w:val="22"/>
        </w:rPr>
        <w:t xml:space="preserve">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upon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major</w:t>
      </w:r>
      <w:r w:rsidRPr="00DD7BD1">
        <w:rPr>
          <w:rFonts w:cs="Calibri"/>
          <w:color w:val="auto"/>
          <w:spacing w:val="-15"/>
          <w:w w:val="110"/>
          <w:szCs w:val="22"/>
        </w:rPr>
        <w:t xml:space="preserve"> </w:t>
      </w:r>
      <w:r w:rsidRPr="00DD7BD1">
        <w:rPr>
          <w:rFonts w:cs="Calibri"/>
          <w:color w:val="auto"/>
          <w:w w:val="110"/>
          <w:szCs w:val="22"/>
        </w:rPr>
        <w:t>job</w:t>
      </w:r>
      <w:r w:rsidRPr="00DD7BD1">
        <w:rPr>
          <w:rFonts w:cs="Calibri"/>
          <w:color w:val="auto"/>
          <w:spacing w:val="-14"/>
          <w:w w:val="110"/>
          <w:szCs w:val="22"/>
        </w:rPr>
        <w:t xml:space="preserve"> </w:t>
      </w:r>
      <w:r w:rsidRPr="00DD7BD1">
        <w:rPr>
          <w:rFonts w:cs="Calibri"/>
          <w:color w:val="auto"/>
          <w:w w:val="110"/>
          <w:szCs w:val="22"/>
        </w:rPr>
        <w:t>categories</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EEO-1’.</w:t>
      </w:r>
      <w:r w:rsidRPr="00DD7BD1">
        <w:rPr>
          <w:rFonts w:cs="Calibri"/>
          <w:color w:val="auto"/>
          <w:spacing w:val="-15"/>
          <w:w w:val="110"/>
          <w:szCs w:val="22"/>
        </w:rPr>
        <w:t xml:space="preserve"> </w:t>
      </w:r>
      <w:r w:rsidRPr="00DD7BD1">
        <w:rPr>
          <w:rFonts w:cs="Calibri"/>
          <w:color w:val="auto"/>
          <w:w w:val="110"/>
          <w:szCs w:val="22"/>
        </w:rPr>
        <w:t>References</w:t>
      </w:r>
      <w:r w:rsidRPr="00DD7BD1">
        <w:rPr>
          <w:rFonts w:cs="Calibri"/>
          <w:color w:val="auto"/>
          <w:spacing w:val="-13"/>
          <w:w w:val="110"/>
          <w:szCs w:val="22"/>
        </w:rPr>
        <w:t xml:space="preserve"> </w:t>
      </w:r>
      <w:r w:rsidRPr="00DD7BD1">
        <w:rPr>
          <w:rFonts w:cs="Calibri"/>
          <w:color w:val="auto"/>
          <w:w w:val="110"/>
          <w:szCs w:val="22"/>
        </w:rPr>
        <w:t>to ‘skilled’,</w:t>
      </w:r>
      <w:r w:rsidRPr="00DD7BD1">
        <w:rPr>
          <w:rFonts w:cs="Calibri"/>
          <w:color w:val="auto"/>
          <w:spacing w:val="-14"/>
          <w:w w:val="110"/>
          <w:szCs w:val="22"/>
        </w:rPr>
        <w:t xml:space="preserve"> </w:t>
      </w:r>
      <w:r w:rsidRPr="00DD7BD1">
        <w:rPr>
          <w:rFonts w:cs="Calibri"/>
          <w:color w:val="auto"/>
          <w:w w:val="110"/>
          <w:szCs w:val="22"/>
        </w:rPr>
        <w:t>‘semi-skilled’</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'unskilled’</w:t>
      </w:r>
      <w:r w:rsidRPr="00DD7BD1">
        <w:rPr>
          <w:rFonts w:cs="Calibri"/>
          <w:color w:val="auto"/>
          <w:spacing w:val="-15"/>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also</w:t>
      </w:r>
      <w:r w:rsidRPr="00DD7BD1">
        <w:rPr>
          <w:rFonts w:cs="Calibri"/>
          <w:color w:val="auto"/>
          <w:spacing w:val="-15"/>
          <w:w w:val="110"/>
          <w:szCs w:val="22"/>
        </w:rPr>
        <w:t xml:space="preserve"> </w:t>
      </w:r>
      <w:r w:rsidRPr="00DD7BD1">
        <w:rPr>
          <w:rFonts w:cs="Calibri"/>
          <w:color w:val="auto"/>
          <w:w w:val="110"/>
          <w:szCs w:val="22"/>
        </w:rPr>
        <w:t>been</w:t>
      </w:r>
      <w:r w:rsidRPr="00DD7BD1">
        <w:rPr>
          <w:rFonts w:cs="Calibri"/>
          <w:color w:val="auto"/>
          <w:spacing w:val="-16"/>
          <w:w w:val="110"/>
          <w:szCs w:val="22"/>
        </w:rPr>
        <w:t xml:space="preserve"> </w:t>
      </w:r>
      <w:r w:rsidRPr="00DD7BD1">
        <w:rPr>
          <w:rFonts w:cs="Calibri"/>
          <w:color w:val="auto"/>
          <w:w w:val="110"/>
          <w:szCs w:val="22"/>
        </w:rPr>
        <w:t>removed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category</w:t>
      </w:r>
      <w:r w:rsidRPr="00DD7BD1">
        <w:rPr>
          <w:rFonts w:cs="Calibri"/>
          <w:color w:val="auto"/>
          <w:spacing w:val="-13"/>
          <w:w w:val="110"/>
          <w:szCs w:val="22"/>
        </w:rPr>
        <w:t xml:space="preserve"> </w:t>
      </w:r>
      <w:r w:rsidRPr="00DD7BD1">
        <w:rPr>
          <w:rFonts w:cs="Calibri"/>
          <w:color w:val="auto"/>
          <w:w w:val="110"/>
          <w:szCs w:val="22"/>
        </w:rPr>
        <w:t>titles,</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5"/>
          <w:w w:val="110"/>
          <w:szCs w:val="22"/>
        </w:rPr>
        <w:t xml:space="preserve"> </w:t>
      </w:r>
      <w:r w:rsidRPr="00DD7BD1">
        <w:rPr>
          <w:rFonts w:cs="Calibri"/>
          <w:color w:val="auto"/>
          <w:w w:val="110"/>
          <w:szCs w:val="22"/>
        </w:rPr>
        <w:t>seen</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EPRC (equal pay registration certificate</w:t>
      </w:r>
      <w:r w:rsidRPr="00DD7BD1">
        <w:rPr>
          <w:rFonts w:cs="Calibri"/>
          <w:w w:val="110"/>
          <w:szCs w:val="22"/>
        </w:rPr>
        <w:t xml:space="preserve">) </w:t>
      </w:r>
      <w:hyperlink r:id="rId648">
        <w:r w:rsidRPr="00DD7BD1">
          <w:rPr>
            <w:rFonts w:cs="Calibri"/>
            <w:color w:val="0000FF"/>
            <w:w w:val="110"/>
            <w:szCs w:val="22"/>
            <w:u w:val="single" w:color="0000FF"/>
          </w:rPr>
          <w:t>employee import template</w:t>
        </w:r>
      </w:hyperlink>
      <w:r w:rsidRPr="00DD7BD1">
        <w:rPr>
          <w:rFonts w:cs="Calibri"/>
          <w:w w:val="110"/>
          <w:szCs w:val="22"/>
        </w:rPr>
        <w:t>.</w:t>
      </w:r>
    </w:p>
    <w:p w14:paraId="4DBC4823" w14:textId="77777777" w:rsidR="00A85628" w:rsidRPr="00DD7BD1" w:rsidRDefault="00A85628" w:rsidP="00A85628">
      <w:pPr>
        <w:pStyle w:val="BodyText"/>
        <w:spacing w:after="0" w:line="240" w:lineRule="auto"/>
        <w:ind w:right="-274"/>
        <w:jc w:val="left"/>
        <w:rPr>
          <w:rFonts w:cs="Calibri"/>
          <w:w w:val="110"/>
          <w:sz w:val="16"/>
          <w:szCs w:val="16"/>
        </w:rPr>
      </w:pPr>
    </w:p>
    <w:p w14:paraId="4B2833BE"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These changes will not lead to a difference in how the EPRC employee template is completed. Companies must submit their data and attest to the</w:t>
      </w:r>
      <w:r w:rsidRPr="00DD7BD1">
        <w:rPr>
          <w:rFonts w:cs="Calibri"/>
          <w:color w:val="auto"/>
          <w:spacing w:val="-2"/>
          <w:w w:val="110"/>
        </w:rPr>
        <w:t xml:space="preserve"> </w:t>
      </w:r>
      <w:r w:rsidRPr="00DD7BD1">
        <w:rPr>
          <w:rFonts w:cs="Calibri"/>
          <w:color w:val="auto"/>
          <w:w w:val="110"/>
        </w:rPr>
        <w:t>compliance requirements</w:t>
      </w:r>
      <w:r w:rsidRPr="00DD7BD1">
        <w:rPr>
          <w:rFonts w:cs="Calibri"/>
          <w:color w:val="auto"/>
          <w:spacing w:val="-2"/>
          <w:w w:val="110"/>
        </w:rPr>
        <w:t xml:space="preserve"> </w:t>
      </w:r>
      <w:r w:rsidRPr="00DD7BD1">
        <w:rPr>
          <w:rFonts w:cs="Calibri"/>
          <w:color w:val="auto"/>
          <w:w w:val="110"/>
        </w:rPr>
        <w:t>every two</w:t>
      </w:r>
      <w:r w:rsidRPr="00DD7BD1">
        <w:rPr>
          <w:rFonts w:cs="Calibri"/>
          <w:color w:val="auto"/>
          <w:spacing w:val="-2"/>
          <w:w w:val="110"/>
        </w:rPr>
        <w:t xml:space="preserve"> </w:t>
      </w:r>
      <w:r w:rsidRPr="00DD7BD1">
        <w:rPr>
          <w:rFonts w:cs="Calibri"/>
          <w:color w:val="auto"/>
          <w:w w:val="110"/>
        </w:rPr>
        <w:t>years.</w:t>
      </w:r>
    </w:p>
    <w:p w14:paraId="6055CF5F" w14:textId="77777777" w:rsidR="00A85628" w:rsidRPr="00DD7BD1" w:rsidRDefault="00A85628" w:rsidP="00A85628">
      <w:pPr>
        <w:pStyle w:val="BodyText"/>
        <w:spacing w:after="0" w:line="240" w:lineRule="auto"/>
        <w:ind w:right="-274"/>
        <w:jc w:val="left"/>
        <w:rPr>
          <w:rFonts w:cs="Calibri"/>
          <w:b/>
          <w:bCs/>
          <w:color w:val="auto"/>
          <w:sz w:val="16"/>
          <w:szCs w:val="16"/>
        </w:rPr>
      </w:pPr>
    </w:p>
    <w:p w14:paraId="57015710" w14:textId="77777777" w:rsidR="00A85628" w:rsidRPr="00DD7BD1" w:rsidRDefault="00A85628" w:rsidP="00A85628">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New EPRC Filers</w:t>
      </w:r>
    </w:p>
    <w:p w14:paraId="6975DBB3"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5"/>
        </w:rPr>
        <w:t xml:space="preserve">Employers with Illinois employees that have not previously obtained an EPRC certificate can look to the </w:t>
      </w:r>
      <w:r w:rsidRPr="00DD7BD1">
        <w:rPr>
          <w:rFonts w:cs="Calibri"/>
          <w:color w:val="auto"/>
          <w:spacing w:val="-2"/>
          <w:w w:val="110"/>
        </w:rPr>
        <w:t>IDOL’s</w:t>
      </w:r>
      <w:r w:rsidRPr="00DD7BD1">
        <w:rPr>
          <w:rFonts w:cs="Calibri"/>
          <w:color w:val="auto"/>
          <w:spacing w:val="-8"/>
          <w:w w:val="110"/>
        </w:rPr>
        <w:t xml:space="preserve"> </w:t>
      </w:r>
      <w:hyperlink r:id="rId649">
        <w:r w:rsidRPr="00DD7BD1">
          <w:rPr>
            <w:rFonts w:cs="Calibri"/>
            <w:color w:val="0000FF"/>
            <w:spacing w:val="-2"/>
            <w:w w:val="110"/>
            <w:u w:val="single" w:color="0000FF"/>
          </w:rPr>
          <w:t>frequently</w:t>
        </w:r>
        <w:r w:rsidRPr="00DD7BD1">
          <w:rPr>
            <w:rFonts w:cs="Calibri"/>
            <w:color w:val="0000FF"/>
            <w:spacing w:val="-11"/>
            <w:w w:val="110"/>
            <w:u w:val="single" w:color="0000FF"/>
          </w:rPr>
          <w:t xml:space="preserve"> </w:t>
        </w:r>
        <w:r w:rsidRPr="00DD7BD1">
          <w:rPr>
            <w:rFonts w:cs="Calibri"/>
            <w:color w:val="0000FF"/>
            <w:spacing w:val="-2"/>
            <w:w w:val="110"/>
            <w:u w:val="single" w:color="0000FF"/>
          </w:rPr>
          <w:t>asked</w:t>
        </w:r>
        <w:r w:rsidRPr="00DD7BD1">
          <w:rPr>
            <w:rFonts w:cs="Calibri"/>
            <w:color w:val="0000FF"/>
            <w:spacing w:val="-12"/>
            <w:w w:val="110"/>
            <w:u w:val="single" w:color="0000FF"/>
          </w:rPr>
          <w:t xml:space="preserve"> </w:t>
        </w:r>
        <w:r w:rsidRPr="00DD7BD1">
          <w:rPr>
            <w:rFonts w:cs="Calibri"/>
            <w:color w:val="0000FF"/>
            <w:spacing w:val="-2"/>
            <w:w w:val="110"/>
            <w:u w:val="single" w:color="0000FF"/>
          </w:rPr>
          <w:t>questions</w:t>
        </w:r>
        <w:r w:rsidRPr="00DD7BD1">
          <w:rPr>
            <w:rFonts w:cs="Calibri"/>
            <w:color w:val="0000FF"/>
            <w:spacing w:val="-11"/>
            <w:w w:val="110"/>
            <w:u w:val="single" w:color="0000FF"/>
          </w:rPr>
          <w:t xml:space="preserve"> </w:t>
        </w:r>
        <w:r w:rsidRPr="00DD7BD1">
          <w:rPr>
            <w:rFonts w:cs="Calibri"/>
            <w:color w:val="0000FF"/>
            <w:spacing w:val="-2"/>
            <w:w w:val="110"/>
            <w:u w:val="single" w:color="0000FF"/>
          </w:rPr>
          <w:t>(FAQs</w:t>
        </w:r>
      </w:hyperlink>
      <w:r w:rsidRPr="00DD7BD1">
        <w:rPr>
          <w:rFonts w:cs="Calibri"/>
          <w:spacing w:val="-2"/>
          <w:w w:val="110"/>
        </w:rPr>
        <w:t>)</w:t>
      </w:r>
      <w:r w:rsidRPr="00DD7BD1">
        <w:rPr>
          <w:rFonts w:cs="Calibri"/>
          <w:color w:val="auto"/>
          <w:spacing w:val="-12"/>
          <w:w w:val="110"/>
        </w:rPr>
        <w:t xml:space="preserve"> </w:t>
      </w:r>
      <w:r w:rsidRPr="00DD7BD1">
        <w:rPr>
          <w:rFonts w:cs="Calibri"/>
          <w:color w:val="auto"/>
          <w:spacing w:val="-2"/>
          <w:w w:val="110"/>
        </w:rPr>
        <w:t>guidance</w:t>
      </w:r>
      <w:r w:rsidRPr="00DD7BD1">
        <w:rPr>
          <w:rFonts w:cs="Calibri"/>
          <w:color w:val="auto"/>
          <w:spacing w:val="-12"/>
          <w:w w:val="110"/>
        </w:rPr>
        <w:t xml:space="preserve"> </w:t>
      </w:r>
      <w:r w:rsidRPr="00DD7BD1">
        <w:rPr>
          <w:rFonts w:cs="Calibri"/>
          <w:color w:val="auto"/>
          <w:spacing w:val="-2"/>
          <w:w w:val="110"/>
        </w:rPr>
        <w:t>on</w:t>
      </w:r>
      <w:r w:rsidRPr="00DD7BD1">
        <w:rPr>
          <w:rFonts w:cs="Calibri"/>
          <w:color w:val="auto"/>
          <w:spacing w:val="-12"/>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EPRC</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determine</w:t>
      </w:r>
      <w:r w:rsidRPr="00DD7BD1">
        <w:rPr>
          <w:rFonts w:cs="Calibri"/>
          <w:color w:val="auto"/>
          <w:spacing w:val="-11"/>
          <w:w w:val="110"/>
        </w:rPr>
        <w:t xml:space="preserve"> </w:t>
      </w:r>
      <w:r w:rsidRPr="00DD7BD1">
        <w:rPr>
          <w:rFonts w:cs="Calibri"/>
          <w:color w:val="auto"/>
          <w:spacing w:val="-2"/>
          <w:w w:val="110"/>
        </w:rPr>
        <w:t>if</w:t>
      </w:r>
      <w:r w:rsidRPr="00DD7BD1">
        <w:rPr>
          <w:rFonts w:cs="Calibri"/>
          <w:color w:val="auto"/>
          <w:spacing w:val="-10"/>
          <w:w w:val="110"/>
        </w:rPr>
        <w:t xml:space="preserve"> </w:t>
      </w:r>
      <w:r w:rsidRPr="00DD7BD1">
        <w:rPr>
          <w:rFonts w:cs="Calibri"/>
          <w:color w:val="auto"/>
          <w:spacing w:val="-2"/>
          <w:w w:val="110"/>
        </w:rPr>
        <w:t>they</w:t>
      </w:r>
      <w:r w:rsidRPr="00DD7BD1">
        <w:rPr>
          <w:rFonts w:cs="Calibri"/>
          <w:color w:val="auto"/>
          <w:spacing w:val="-11"/>
          <w:w w:val="110"/>
        </w:rPr>
        <w:t xml:space="preserve"> </w:t>
      </w:r>
      <w:r w:rsidRPr="00DD7BD1">
        <w:rPr>
          <w:rFonts w:cs="Calibri"/>
          <w:color w:val="auto"/>
          <w:spacing w:val="-2"/>
          <w:w w:val="110"/>
        </w:rPr>
        <w:t>are</w:t>
      </w:r>
      <w:r w:rsidRPr="00DD7BD1">
        <w:rPr>
          <w:rFonts w:cs="Calibri"/>
          <w:color w:val="auto"/>
          <w:spacing w:val="-12"/>
          <w:w w:val="110"/>
        </w:rPr>
        <w:t xml:space="preserve"> </w:t>
      </w:r>
      <w:r w:rsidRPr="00DD7BD1">
        <w:rPr>
          <w:rFonts w:cs="Calibri"/>
          <w:color w:val="auto"/>
          <w:spacing w:val="-2"/>
          <w:w w:val="110"/>
        </w:rPr>
        <w:t>required</w:t>
      </w:r>
      <w:r w:rsidRPr="00DD7BD1">
        <w:rPr>
          <w:rFonts w:cs="Calibri"/>
          <w:color w:val="auto"/>
          <w:spacing w:val="-11"/>
          <w:w w:val="110"/>
        </w:rPr>
        <w:t xml:space="preserve"> </w:t>
      </w:r>
      <w:r w:rsidRPr="00DD7BD1">
        <w:rPr>
          <w:rFonts w:cs="Calibri"/>
          <w:color w:val="auto"/>
          <w:spacing w:val="-2"/>
          <w:w w:val="110"/>
        </w:rPr>
        <w:t>to</w:t>
      </w:r>
      <w:r w:rsidRPr="00DD7BD1">
        <w:rPr>
          <w:rFonts w:cs="Calibri"/>
          <w:color w:val="auto"/>
          <w:spacing w:val="-9"/>
          <w:w w:val="110"/>
        </w:rPr>
        <w:t xml:space="preserve"> </w:t>
      </w:r>
      <w:r w:rsidRPr="00DD7BD1">
        <w:rPr>
          <w:rFonts w:cs="Calibri"/>
          <w:color w:val="auto"/>
          <w:spacing w:val="-2"/>
          <w:w w:val="110"/>
        </w:rPr>
        <w:t>file</w:t>
      </w:r>
      <w:r w:rsidRPr="00DD7BD1">
        <w:rPr>
          <w:rFonts w:cs="Calibri"/>
          <w:color w:val="auto"/>
          <w:spacing w:val="-12"/>
          <w:w w:val="110"/>
        </w:rPr>
        <w:t xml:space="preserve"> </w:t>
      </w:r>
      <w:r w:rsidRPr="00DD7BD1">
        <w:rPr>
          <w:rFonts w:cs="Calibri"/>
          <w:color w:val="auto"/>
          <w:spacing w:val="-2"/>
          <w:w w:val="110"/>
        </w:rPr>
        <w:t>a</w:t>
      </w:r>
      <w:r w:rsidRPr="00DD7BD1">
        <w:rPr>
          <w:rFonts w:cs="Calibri"/>
          <w:color w:val="auto"/>
          <w:spacing w:val="-9"/>
          <w:w w:val="110"/>
        </w:rPr>
        <w:t xml:space="preserve"> </w:t>
      </w:r>
      <w:r w:rsidRPr="00DD7BD1">
        <w:rPr>
          <w:rFonts w:cs="Calibri"/>
          <w:color w:val="auto"/>
          <w:spacing w:val="-2"/>
          <w:w w:val="110"/>
        </w:rPr>
        <w:t xml:space="preserve">first-time </w:t>
      </w:r>
      <w:r w:rsidRPr="00DD7BD1">
        <w:rPr>
          <w:rFonts w:cs="Calibri"/>
          <w:color w:val="auto"/>
          <w:w w:val="115"/>
        </w:rPr>
        <w:t>EPRC application in 2025.</w:t>
      </w:r>
    </w:p>
    <w:p w14:paraId="697A4887"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To</w:t>
      </w:r>
      <w:r w:rsidRPr="00DD7BD1">
        <w:rPr>
          <w:rFonts w:cs="Calibri"/>
          <w:color w:val="auto"/>
          <w:spacing w:val="19"/>
          <w:w w:val="110"/>
        </w:rPr>
        <w:t xml:space="preserve"> </w:t>
      </w:r>
      <w:r w:rsidRPr="00DD7BD1">
        <w:rPr>
          <w:rFonts w:cs="Calibri"/>
          <w:color w:val="auto"/>
          <w:w w:val="110"/>
        </w:rPr>
        <w:t>read</w:t>
      </w:r>
      <w:r w:rsidRPr="00DD7BD1">
        <w:rPr>
          <w:rFonts w:cs="Calibri"/>
          <w:color w:val="auto"/>
          <w:spacing w:val="19"/>
          <w:w w:val="110"/>
        </w:rPr>
        <w:t xml:space="preserve"> </w:t>
      </w:r>
      <w:r w:rsidRPr="00DD7BD1">
        <w:rPr>
          <w:rFonts w:cs="Calibri"/>
          <w:color w:val="auto"/>
          <w:w w:val="110"/>
        </w:rPr>
        <w:t>more,</w:t>
      </w:r>
      <w:r w:rsidRPr="00DD7BD1">
        <w:rPr>
          <w:rFonts w:cs="Calibri"/>
          <w:color w:val="auto"/>
          <w:spacing w:val="18"/>
          <w:w w:val="110"/>
        </w:rPr>
        <w:t xml:space="preserve"> </w:t>
      </w:r>
      <w:r w:rsidRPr="00DD7BD1">
        <w:rPr>
          <w:rFonts w:cs="Calibri"/>
          <w:color w:val="auto"/>
          <w:w w:val="110"/>
        </w:rPr>
        <w:t>access</w:t>
      </w:r>
      <w:r w:rsidRPr="00DD7BD1">
        <w:rPr>
          <w:rFonts w:cs="Calibri"/>
          <w:color w:val="auto"/>
          <w:spacing w:val="20"/>
          <w:w w:val="110"/>
        </w:rPr>
        <w:t xml:space="preserve"> </w:t>
      </w:r>
      <w:r w:rsidRPr="00DD7BD1">
        <w:rPr>
          <w:rFonts w:cs="Calibri"/>
          <w:color w:val="auto"/>
          <w:w w:val="110"/>
        </w:rPr>
        <w:t>the</w:t>
      </w:r>
      <w:r w:rsidRPr="00DD7BD1">
        <w:rPr>
          <w:rFonts w:cs="Calibri"/>
          <w:color w:val="auto"/>
          <w:spacing w:val="16"/>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w w:val="110"/>
        </w:rPr>
        <w:t>updated</w:t>
      </w:r>
      <w:r w:rsidRPr="00DD7BD1">
        <w:rPr>
          <w:rFonts w:cs="Calibri"/>
          <w:color w:val="auto"/>
          <w:spacing w:val="19"/>
          <w:w w:val="110"/>
        </w:rPr>
        <w:t xml:space="preserve"> </w:t>
      </w:r>
      <w:r w:rsidRPr="00DD7BD1">
        <w:rPr>
          <w:rFonts w:cs="Calibri"/>
          <w:color w:val="auto"/>
          <w:w w:val="110"/>
        </w:rPr>
        <w:t>Equal</w:t>
      </w:r>
      <w:r w:rsidRPr="00DD7BD1">
        <w:rPr>
          <w:rFonts w:cs="Calibri"/>
          <w:color w:val="auto"/>
          <w:spacing w:val="18"/>
          <w:w w:val="110"/>
        </w:rPr>
        <w:t xml:space="preserve"> </w:t>
      </w:r>
      <w:r w:rsidRPr="00DD7BD1">
        <w:rPr>
          <w:rFonts w:cs="Calibri"/>
          <w:color w:val="auto"/>
          <w:w w:val="110"/>
        </w:rPr>
        <w:t>Pay</w:t>
      </w:r>
      <w:r w:rsidRPr="00DD7BD1">
        <w:rPr>
          <w:rFonts w:cs="Calibri"/>
          <w:color w:val="auto"/>
          <w:spacing w:val="19"/>
          <w:w w:val="110"/>
        </w:rPr>
        <w:t xml:space="preserve"> </w:t>
      </w:r>
      <w:r w:rsidRPr="00DD7BD1">
        <w:rPr>
          <w:rFonts w:cs="Calibri"/>
          <w:color w:val="auto"/>
          <w:w w:val="110"/>
        </w:rPr>
        <w:t>Registration</w:t>
      </w:r>
      <w:r w:rsidRPr="00DD7BD1">
        <w:rPr>
          <w:rFonts w:cs="Calibri"/>
          <w:color w:val="auto"/>
          <w:spacing w:val="16"/>
          <w:w w:val="110"/>
        </w:rPr>
        <w:t xml:space="preserve"> </w:t>
      </w:r>
      <w:r w:rsidRPr="00DD7BD1">
        <w:rPr>
          <w:rFonts w:cs="Calibri"/>
          <w:color w:val="auto"/>
          <w:w w:val="110"/>
        </w:rPr>
        <w:t>FAQs</w:t>
      </w:r>
      <w:r w:rsidRPr="00DD7BD1">
        <w:rPr>
          <w:rFonts w:cs="Calibri"/>
          <w:color w:val="auto"/>
          <w:spacing w:val="16"/>
          <w:w w:val="110"/>
        </w:rPr>
        <w:t xml:space="preserve"> </w:t>
      </w:r>
      <w:r w:rsidRPr="00DD7BD1">
        <w:rPr>
          <w:rFonts w:cs="Calibri"/>
          <w:color w:val="auto"/>
          <w:w w:val="110"/>
        </w:rPr>
        <w:t>website</w:t>
      </w:r>
      <w:r w:rsidRPr="00DD7BD1">
        <w:rPr>
          <w:rFonts w:cs="Calibri"/>
          <w:color w:val="auto"/>
          <w:spacing w:val="27"/>
          <w:w w:val="110"/>
        </w:rPr>
        <w:t xml:space="preserve"> </w:t>
      </w:r>
      <w:hyperlink r:id="rId650">
        <w:r w:rsidRPr="00DD7BD1">
          <w:rPr>
            <w:rFonts w:cs="Calibri"/>
            <w:color w:val="0000FF"/>
            <w:w w:val="110"/>
            <w:u w:val="single" w:color="0000FF"/>
          </w:rPr>
          <w:t>HERE</w:t>
        </w:r>
      </w:hyperlink>
      <w:r w:rsidRPr="00DD7BD1">
        <w:rPr>
          <w:rFonts w:cs="Calibri"/>
          <w:color w:val="0000FF"/>
          <w:spacing w:val="18"/>
          <w:w w:val="110"/>
        </w:rPr>
        <w:t xml:space="preserve"> </w:t>
      </w:r>
      <w:r w:rsidRPr="00DD7BD1">
        <w:rPr>
          <w:rFonts w:cs="Calibri"/>
          <w:color w:val="auto"/>
          <w:w w:val="110"/>
        </w:rPr>
        <w:t>and</w:t>
      </w:r>
      <w:r w:rsidRPr="00DD7BD1">
        <w:rPr>
          <w:rFonts w:cs="Calibri"/>
          <w:color w:val="auto"/>
          <w:spacing w:val="19"/>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spacing w:val="-2"/>
          <w:w w:val="110"/>
        </w:rPr>
        <w:t>provided</w:t>
      </w:r>
    </w:p>
    <w:p w14:paraId="133D4F78" w14:textId="77777777" w:rsidR="00A85628" w:rsidRPr="00DD7BD1" w:rsidRDefault="00A85628" w:rsidP="00A85628">
      <w:pPr>
        <w:pStyle w:val="BodyText"/>
        <w:spacing w:after="0" w:line="240" w:lineRule="auto"/>
        <w:ind w:right="-274"/>
        <w:jc w:val="left"/>
        <w:rPr>
          <w:rFonts w:cs="Calibri"/>
        </w:rPr>
      </w:pPr>
      <w:r w:rsidRPr="00DD7BD1">
        <w:rPr>
          <w:rFonts w:cs="Calibri"/>
          <w:color w:val="auto"/>
          <w:w w:val="110"/>
        </w:rPr>
        <w:t>Training</w:t>
      </w:r>
      <w:r w:rsidRPr="00DD7BD1">
        <w:rPr>
          <w:rFonts w:cs="Calibri"/>
          <w:color w:val="auto"/>
          <w:spacing w:val="4"/>
          <w:w w:val="110"/>
        </w:rPr>
        <w:t xml:space="preserve"> </w:t>
      </w:r>
      <w:r w:rsidRPr="00DD7BD1">
        <w:rPr>
          <w:rFonts w:cs="Calibri"/>
          <w:color w:val="auto"/>
          <w:w w:val="110"/>
        </w:rPr>
        <w:t>Slides</w:t>
      </w:r>
      <w:r w:rsidRPr="00DD7BD1">
        <w:rPr>
          <w:rFonts w:cs="Calibri"/>
          <w:color w:val="auto"/>
          <w:spacing w:val="6"/>
          <w:w w:val="110"/>
        </w:rPr>
        <w:t xml:space="preserve"> </w:t>
      </w:r>
      <w:hyperlink r:id="rId651">
        <w:r w:rsidRPr="00DD7BD1">
          <w:rPr>
            <w:rFonts w:cs="Calibri"/>
            <w:color w:val="0000FF"/>
            <w:spacing w:val="-4"/>
            <w:w w:val="110"/>
            <w:u w:val="single" w:color="0000FF"/>
          </w:rPr>
          <w:t>HERE</w:t>
        </w:r>
      </w:hyperlink>
    </w:p>
    <w:p w14:paraId="1E777F90" w14:textId="77777777" w:rsidR="00A85628" w:rsidRPr="00DD7BD1" w:rsidRDefault="00A85628" w:rsidP="00A85628">
      <w:pPr>
        <w:spacing w:after="0" w:line="240" w:lineRule="auto"/>
        <w:rPr>
          <w:rFonts w:ascii="Calibri" w:hAnsi="Calibri" w:cs="Calibri"/>
          <w:b/>
          <w:bCs/>
          <w:sz w:val="28"/>
          <w:szCs w:val="28"/>
          <w:shd w:val="clear" w:color="auto" w:fill="FFFFFF"/>
        </w:rPr>
      </w:pPr>
    </w:p>
    <w:p w14:paraId="3466E58B" w14:textId="5464149C" w:rsidR="00526F6C" w:rsidRPr="00DD7BD1" w:rsidRDefault="00526F6C" w:rsidP="00526F6C">
      <w:pPr>
        <w:spacing w:after="0" w:line="240" w:lineRule="auto"/>
        <w:jc w:val="center"/>
        <w:rPr>
          <w:rFonts w:ascii="Calibri" w:hAnsi="Calibri" w:cs="Calibri"/>
          <w:sz w:val="23"/>
          <w:szCs w:val="23"/>
          <w:shd w:val="clear" w:color="auto" w:fill="FFFFFF"/>
        </w:rPr>
      </w:pPr>
      <w:r w:rsidRPr="00DD7BD1">
        <w:rPr>
          <w:rFonts w:ascii="Calibri" w:hAnsi="Calibri" w:cs="Calibri"/>
          <w:b/>
          <w:bCs/>
          <w:sz w:val="28"/>
          <w:szCs w:val="28"/>
          <w:shd w:val="clear" w:color="auto" w:fill="FFFFFF"/>
        </w:rPr>
        <w:t>State Expands Equal Pay Registration Certificate Requirements</w:t>
      </w:r>
      <w:bookmarkEnd w:id="88"/>
    </w:p>
    <w:p w14:paraId="6A80E374"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state recently expanded its Equal Pay Registration Certification requirements to apply </w:t>
      </w:r>
      <w:r w:rsidRPr="00DD7BD1">
        <w:rPr>
          <w:rFonts w:ascii="Calibri" w:hAnsi="Calibri" w:cs="Calibri"/>
          <w:b/>
          <w:bCs/>
          <w:u w:val="single"/>
          <w:shd w:val="clear" w:color="auto" w:fill="FFFFFF"/>
        </w:rPr>
        <w:t>to </w:t>
      </w:r>
      <w:r w:rsidRPr="00DD7BD1">
        <w:rPr>
          <w:rFonts w:ascii="Calibri" w:hAnsi="Calibri" w:cs="Calibri"/>
          <w:b/>
          <w:bCs/>
          <w:i/>
          <w:iCs/>
          <w:u w:val="single"/>
          <w:shd w:val="clear" w:color="auto" w:fill="FFFFFF"/>
        </w:rPr>
        <w:t>all</w:t>
      </w:r>
      <w:r w:rsidRPr="00DD7BD1">
        <w:rPr>
          <w:rFonts w:ascii="Calibri" w:hAnsi="Calibri" w:cs="Calibri"/>
          <w:b/>
          <w:bCs/>
          <w:u w:val="single"/>
          <w:shd w:val="clear" w:color="auto" w:fill="FFFFFF"/>
        </w:rPr>
        <w:t> private employers that have 100 or more employees in the state</w:t>
      </w:r>
      <w:r w:rsidRPr="00DD7BD1">
        <w:rPr>
          <w:rFonts w:ascii="Calibri" w:hAnsi="Calibri" w:cs="Calibri"/>
          <w:shd w:val="clear" w:color="auto" w:fill="FFFFFF"/>
        </w:rPr>
        <w:t>. Previously, employers only had to file if they had 100 or more employees in the state and </w:t>
      </w:r>
      <w:r w:rsidRPr="00DD7BD1">
        <w:rPr>
          <w:rFonts w:ascii="Calibri" w:hAnsi="Calibri" w:cs="Calibri"/>
          <w:i/>
          <w:iCs/>
          <w:shd w:val="clear" w:color="auto" w:fill="FFFFFF"/>
        </w:rPr>
        <w:t>also had to file a federal EEO-1 report</w:t>
      </w:r>
      <w:r w:rsidRPr="00DD7BD1">
        <w:rPr>
          <w:rFonts w:ascii="Calibri" w:hAnsi="Calibri" w:cs="Calibri"/>
          <w:shd w:val="clear" w:color="auto" w:fill="FFFFFF"/>
        </w:rPr>
        <w:t>.</w:t>
      </w:r>
    </w:p>
    <w:p w14:paraId="6DA2D0CC" w14:textId="77777777" w:rsidR="00526F6C" w:rsidRPr="00DD7BD1" w:rsidRDefault="00526F6C" w:rsidP="00526F6C">
      <w:pPr>
        <w:spacing w:after="0" w:line="240" w:lineRule="auto"/>
        <w:jc w:val="both"/>
        <w:rPr>
          <w:rFonts w:ascii="Calibri" w:hAnsi="Calibri" w:cs="Calibri"/>
          <w:shd w:val="clear" w:color="auto" w:fill="FFFFFF"/>
        </w:rPr>
      </w:pPr>
    </w:p>
    <w:p w14:paraId="1A31256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For more information on Equal Pay Registration Certification requirements, see the Illinois Department of Labor’s </w:t>
      </w:r>
      <w:bookmarkStart w:id="91" w:name="_Hlk205190263"/>
      <w:r w:rsidRPr="00DD7BD1">
        <w:rPr>
          <w:rFonts w:ascii="Calibri" w:hAnsi="Calibri" w:cs="Calibri"/>
        </w:rPr>
        <w:fldChar w:fldCharType="begin"/>
      </w:r>
      <w:r w:rsidRPr="00DD7BD1">
        <w:rPr>
          <w:rFonts w:ascii="Calibri" w:hAnsi="Calibri" w:cs="Calibri"/>
        </w:rP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updated FAQs</w:t>
      </w:r>
      <w:r w:rsidRPr="00DD7BD1">
        <w:rPr>
          <w:rFonts w:ascii="Calibri" w:hAnsi="Calibri" w:cs="Calibri"/>
        </w:rPr>
        <w:fldChar w:fldCharType="end"/>
      </w:r>
      <w:bookmarkEnd w:id="91"/>
      <w:r w:rsidRPr="00DD7BD1">
        <w:rPr>
          <w:rFonts w:ascii="Calibri" w:hAnsi="Calibri" w:cs="Calibri"/>
          <w:shd w:val="clear" w:color="auto" w:fill="FFFFFF"/>
        </w:rPr>
        <w:t>.</w:t>
      </w:r>
    </w:p>
    <w:p w14:paraId="6A74036E" w14:textId="77777777" w:rsidR="00526F6C" w:rsidRPr="00DD7BD1" w:rsidRDefault="00526F6C" w:rsidP="00526F6C">
      <w:pPr>
        <w:spacing w:after="0" w:line="240" w:lineRule="auto"/>
        <w:jc w:val="both"/>
        <w:rPr>
          <w:rFonts w:ascii="Calibri" w:hAnsi="Calibri" w:cs="Calibri"/>
          <w:shd w:val="clear" w:color="auto" w:fill="FFFFFF"/>
        </w:rPr>
      </w:pPr>
    </w:p>
    <w:p w14:paraId="7FB48333" w14:textId="77777777" w:rsidR="00526F6C" w:rsidRPr="00DD7BD1" w:rsidRDefault="00526F6C" w:rsidP="00526F6C">
      <w:pPr>
        <w:spacing w:after="0" w:line="240" w:lineRule="auto"/>
        <w:jc w:val="center"/>
        <w:rPr>
          <w:rFonts w:ascii="Calibri" w:hAnsi="Calibri" w:cs="Calibri"/>
          <w:b/>
          <w:bCs/>
          <w:sz w:val="28"/>
          <w:szCs w:val="28"/>
          <w:shd w:val="clear" w:color="auto" w:fill="FFFFFF"/>
        </w:rPr>
      </w:pPr>
      <w:bookmarkStart w:id="92" w:name="_Hlk205277886"/>
      <w:r w:rsidRPr="00DD7BD1">
        <w:rPr>
          <w:rFonts w:ascii="Calibri" w:hAnsi="Calibri" w:cs="Calibri"/>
          <w:b/>
          <w:bCs/>
          <w:sz w:val="28"/>
          <w:szCs w:val="28"/>
          <w:shd w:val="clear" w:color="auto" w:fill="FFFFFF"/>
        </w:rPr>
        <w:t xml:space="preserve">Changes in State Insurance Law Extends Coverage to Certain Parents of Insured Individuals – </w:t>
      </w:r>
      <w:r w:rsidRPr="00DD7BD1">
        <w:rPr>
          <w:rFonts w:ascii="Calibri" w:hAnsi="Calibri" w:cs="Calibri"/>
          <w:b/>
          <w:bCs/>
          <w:color w:val="C00000"/>
          <w:sz w:val="28"/>
          <w:szCs w:val="28"/>
          <w:shd w:val="clear" w:color="auto" w:fill="FFFFFF"/>
        </w:rPr>
        <w:t>Eff Jan 1, 2026</w:t>
      </w:r>
      <w:bookmarkEnd w:id="92"/>
    </w:p>
    <w:p w14:paraId="4B1A3F7A"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Although ETC does not regularly monitor insurance benefit enactments, a recent change in in Illinois insurance law has drawn the attention of employers and many others due to the implications for employers and health insurance plans. </w:t>
      </w:r>
    </w:p>
    <w:p w14:paraId="49020037" w14:textId="77777777" w:rsidR="00526F6C" w:rsidRPr="00DD7BD1" w:rsidRDefault="00526F6C" w:rsidP="00526F6C">
      <w:pPr>
        <w:spacing w:after="0" w:line="240" w:lineRule="auto"/>
        <w:jc w:val="both"/>
        <w:rPr>
          <w:rFonts w:ascii="Calibri" w:hAnsi="Calibri" w:cs="Calibri"/>
          <w:shd w:val="clear" w:color="auto" w:fill="FFFFFF"/>
        </w:rPr>
      </w:pPr>
    </w:p>
    <w:p w14:paraId="6CCF1019" w14:textId="77777777" w:rsidR="00526F6C" w:rsidRPr="00DD7BD1" w:rsidRDefault="00526F6C" w:rsidP="00526F6C">
      <w:pPr>
        <w:spacing w:after="0" w:line="240" w:lineRule="auto"/>
        <w:jc w:val="both"/>
        <w:rPr>
          <w:rFonts w:ascii="Calibri" w:hAnsi="Calibri" w:cs="Calibri"/>
          <w:shd w:val="clear" w:color="auto" w:fill="FFFFFF"/>
        </w:rPr>
      </w:pPr>
      <w:hyperlink r:id="rId652" w:tgtFrame="_blank" w:history="1">
        <w:r w:rsidRPr="00DD7BD1">
          <w:rPr>
            <w:rStyle w:val="Hyperlink"/>
            <w:rFonts w:ascii="Calibri" w:hAnsi="Calibri" w:cs="Calibri"/>
            <w:b/>
            <w:bCs/>
            <w:shd w:val="clear" w:color="auto" w:fill="FFFFFF"/>
          </w:rPr>
          <w:t>Illinois House Bill 5258</w:t>
        </w:r>
      </w:hyperlink>
      <w:r w:rsidRPr="00DD7BD1">
        <w:rPr>
          <w:rFonts w:ascii="Calibri" w:hAnsi="Calibri" w:cs="Calibri"/>
          <w:shd w:val="clear" w:color="auto" w:fill="FFFFFF"/>
        </w:rPr>
        <w:t> amends the Illinois Insurance Code, the Health Maintenance Organization Act, and the Limited Health Service Organization Act requiring that insurers extend coverage to certain parents and stepparents of an insured individual when a plan provides dependent coverage.  Insurance policies are, however, only required to extend coverage to parents and stepparents of an insured if the parent or stepparent resides within the plan’s service area </w:t>
      </w:r>
      <w:r w:rsidRPr="00DD7BD1">
        <w:rPr>
          <w:rFonts w:ascii="Calibri" w:hAnsi="Calibri" w:cs="Calibri"/>
          <w:i/>
          <w:iCs/>
          <w:shd w:val="clear" w:color="auto" w:fill="FFFFFF"/>
        </w:rPr>
        <w:t>and</w:t>
      </w:r>
      <w:r w:rsidRPr="00DD7BD1">
        <w:rPr>
          <w:rFonts w:ascii="Calibri" w:hAnsi="Calibri" w:cs="Calibri"/>
          <w:shd w:val="clear" w:color="auto" w:fill="FFFFFF"/>
        </w:rPr>
        <w:t> meets the IRS definition of a “</w:t>
      </w:r>
      <w:hyperlink r:id="rId653" w:tgtFrame="_blank" w:history="1">
        <w:r w:rsidRPr="00DD7BD1">
          <w:rPr>
            <w:rStyle w:val="Hyperlink"/>
            <w:rFonts w:ascii="Calibri" w:hAnsi="Calibri" w:cs="Calibri"/>
            <w:b/>
            <w:bCs/>
            <w:shd w:val="clear" w:color="auto" w:fill="FFFFFF"/>
          </w:rPr>
          <w:t>qualifying relative</w:t>
        </w:r>
      </w:hyperlink>
      <w:r w:rsidRPr="00DD7BD1">
        <w:rPr>
          <w:rFonts w:ascii="Calibri" w:hAnsi="Calibri" w:cs="Calibri"/>
          <w:shd w:val="clear" w:color="auto" w:fill="FFFFFF"/>
        </w:rPr>
        <w:t>.”  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Pr="00DD7BD1" w:rsidRDefault="00526F6C" w:rsidP="00526F6C">
      <w:pPr>
        <w:spacing w:after="0" w:line="240" w:lineRule="auto"/>
        <w:jc w:val="both"/>
        <w:rPr>
          <w:rFonts w:ascii="Calibri" w:hAnsi="Calibri" w:cs="Calibri"/>
          <w:shd w:val="clear" w:color="auto" w:fill="FFFFFF"/>
        </w:rPr>
      </w:pPr>
    </w:p>
    <w:p w14:paraId="2A5DB018" w14:textId="77777777" w:rsidR="00526F6C" w:rsidRPr="00DD7BD1" w:rsidRDefault="00526F6C" w:rsidP="00526F6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Exempted Plans</w:t>
      </w:r>
    </w:p>
    <w:p w14:paraId="67395DAF"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Pr="00DD7BD1" w:rsidRDefault="00526F6C" w:rsidP="00526F6C">
      <w:pPr>
        <w:spacing w:after="0" w:line="240" w:lineRule="auto"/>
        <w:jc w:val="both"/>
        <w:rPr>
          <w:rFonts w:ascii="Calibri" w:hAnsi="Calibri" w:cs="Calibri"/>
          <w:shd w:val="clear" w:color="auto" w:fill="FFFFFF"/>
        </w:rPr>
      </w:pPr>
    </w:p>
    <w:p w14:paraId="13769F4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requirement applies to health insurance policies issued, amended, delivered, or renewed in Illinois on or after January 1, 2026.</w:t>
      </w:r>
    </w:p>
    <w:p w14:paraId="48C88337" w14:textId="77777777" w:rsidR="00526F6C" w:rsidRPr="00DD7BD1" w:rsidRDefault="00526F6C" w:rsidP="00526F6C">
      <w:pPr>
        <w:spacing w:after="0" w:line="240" w:lineRule="auto"/>
        <w:jc w:val="both"/>
        <w:rPr>
          <w:rFonts w:ascii="Calibri" w:hAnsi="Calibri" w:cs="Calibri"/>
          <w:shd w:val="clear" w:color="auto" w:fill="FFFFFF"/>
        </w:rPr>
      </w:pPr>
    </w:p>
    <w:p w14:paraId="2B59F05D" w14:textId="7C183A78"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are advised to engage their benefits broker should there be questions or concerns related to this new state enactment.</w:t>
      </w:r>
    </w:p>
    <w:p w14:paraId="2F754CFE" w14:textId="0CF197D1"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Chicago Regulations - </w:t>
      </w:r>
      <w:r w:rsidRPr="00DD7BD1">
        <w:rPr>
          <w:rFonts w:ascii="Calibri" w:hAnsi="Calibri" w:cs="Calibri"/>
          <w:b/>
          <w:bCs/>
          <w:color w:val="C00000"/>
          <w:sz w:val="28"/>
          <w:szCs w:val="28"/>
          <w:shd w:val="clear" w:color="auto" w:fill="FFFFFF"/>
          <w:lang w:val="en"/>
        </w:rPr>
        <w:t>Eff July 1,2025</w:t>
      </w:r>
    </w:p>
    <w:p w14:paraId="1A47864E" w14:textId="57AFA3DD" w:rsidR="00784E6F" w:rsidRPr="00DD7BD1" w:rsidRDefault="00784E6F" w:rsidP="00784E6F">
      <w:pPr>
        <w:rPr>
          <w:rFonts w:ascii="Calibri" w:hAnsi="Calibri" w:cs="Calibri"/>
          <w:shd w:val="clear" w:color="auto" w:fill="FFFFFF"/>
        </w:rPr>
      </w:pPr>
      <w:r w:rsidRPr="00DD7BD1">
        <w:rPr>
          <w:rFonts w:ascii="Calibri" w:hAnsi="Calibri" w:cs="Calibri"/>
          <w:b/>
          <w:bCs/>
          <w:shd w:val="clear" w:color="auto" w:fill="FFFFFF"/>
        </w:rPr>
        <w:t>Minimum Wage</w:t>
      </w:r>
      <w:r w:rsidRPr="00DD7BD1">
        <w:rPr>
          <w:rFonts w:ascii="Calibri" w:hAnsi="Calibri" w:cs="Calibri"/>
          <w:b/>
          <w:bCs/>
          <w:shd w:val="clear" w:color="auto" w:fill="FFFFFF"/>
        </w:rPr>
        <w:br/>
      </w:r>
      <w:r w:rsidRPr="00DD7BD1">
        <w:rPr>
          <w:rFonts w:ascii="Calibri" w:hAnsi="Calibri" w:cs="Calibri"/>
          <w:shd w:val="clear" w:color="auto" w:fill="FFFFFF"/>
        </w:rPr>
        <w:t>For employers with four or more employees, the minimum hourly wage will increase to $16.60. The minimum hourly base wage for tipped employees will increase to $12.62.</w:t>
      </w:r>
    </w:p>
    <w:p w14:paraId="0DA5DF54" w14:textId="6CBD703A" w:rsidR="00784E6F" w:rsidRPr="00DD7BD1" w:rsidRDefault="00784E6F" w:rsidP="0036492C">
      <w:pPr>
        <w:rPr>
          <w:rFonts w:ascii="Calibri" w:hAnsi="Calibri" w:cs="Calibri"/>
          <w:b/>
          <w:bCs/>
          <w:shd w:val="clear" w:color="auto" w:fill="FFFFFF"/>
        </w:rPr>
      </w:pPr>
      <w:r w:rsidRPr="00DD7BD1">
        <w:rPr>
          <w:rFonts w:ascii="Calibri" w:hAnsi="Calibri" w:cs="Calibri"/>
          <w:b/>
          <w:bCs/>
          <w:shd w:val="clear" w:color="auto" w:fill="FFFFFF"/>
        </w:rPr>
        <w:t>Fair Workweek Threshold Increase</w:t>
      </w:r>
      <w:r w:rsidRPr="00DD7BD1">
        <w:rPr>
          <w:rFonts w:ascii="Calibri" w:hAnsi="Calibri" w:cs="Calibri"/>
          <w:b/>
          <w:bCs/>
          <w:shd w:val="clear" w:color="auto" w:fill="FFFFFF"/>
        </w:rPr>
        <w:br/>
      </w:r>
      <w:r w:rsidRPr="00DD7BD1">
        <w:rPr>
          <w:rFonts w:ascii="Calibri" w:hAnsi="Calibri" w:cs="Calibri"/>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654"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62AF9949" w14:textId="7EB1FF8E"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City of Chicago Updated Paid Sick Leave Payouts – </w:t>
      </w:r>
      <w:r w:rsidRPr="00DD7BD1">
        <w:rPr>
          <w:rFonts w:ascii="Calibri" w:hAnsi="Calibri" w:cs="Calibri"/>
          <w:b/>
          <w:bCs/>
          <w:color w:val="C00000"/>
          <w:sz w:val="28"/>
          <w:szCs w:val="28"/>
          <w:shd w:val="clear" w:color="auto" w:fill="FFFFFF"/>
          <w:lang w:val="en"/>
        </w:rPr>
        <w:t>July 1, 2025</w:t>
      </w:r>
    </w:p>
    <w:p w14:paraId="05986788" w14:textId="77777777" w:rsidR="00402F96" w:rsidRPr="00DD7BD1" w:rsidRDefault="00402F96" w:rsidP="00402F96">
      <w:pPr>
        <w:spacing w:line="278" w:lineRule="auto"/>
        <w:rPr>
          <w:rFonts w:ascii="Calibri" w:hAnsi="Calibri" w:cs="Calibri"/>
        </w:rPr>
      </w:pPr>
      <w:r w:rsidRPr="00DD7BD1">
        <w:rPr>
          <w:rFonts w:ascii="Calibri" w:hAnsi="Calibri" w:cs="Calibri"/>
        </w:rPr>
        <w:t>Pursuant to </w:t>
      </w:r>
      <w:hyperlink r:id="rId655" w:tgtFrame="_blank" w:history="1">
        <w:r w:rsidRPr="00DD7BD1">
          <w:rPr>
            <w:rStyle w:val="Hyperlink"/>
            <w:rFonts w:ascii="Calibri" w:hAnsi="Calibri" w:cs="Calibri"/>
          </w:rPr>
          <w:t>Chicago Municipal Code §§ 6-130-005 </w:t>
        </w:r>
        <w:r w:rsidRPr="00DD7BD1">
          <w:rPr>
            <w:rStyle w:val="Hyperlink"/>
            <w:rFonts w:ascii="Calibri" w:hAnsi="Calibri" w:cs="Calibri"/>
            <w:i/>
            <w:iCs/>
          </w:rPr>
          <w:t>et seq</w:t>
        </w:r>
      </w:hyperlink>
      <w:r w:rsidRPr="00DD7BD1">
        <w:rPr>
          <w:rFonts w:ascii="Calibri" w:hAnsi="Calibri" w:cs="Calibri"/>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 but </w:t>
      </w:r>
      <w:r w:rsidRPr="00DD7BD1">
        <w:rPr>
          <w:rFonts w:ascii="Calibri" w:hAnsi="Calibri" w:cs="Calibri"/>
          <w:u w:val="single"/>
        </w:rPr>
        <w:t xml:space="preserve">beginning </w:t>
      </w:r>
      <w:r w:rsidRPr="00DD7BD1">
        <w:rPr>
          <w:rFonts w:ascii="Calibri" w:hAnsi="Calibri" w:cs="Calibri"/>
          <w:color w:val="C00000"/>
          <w:u w:val="single"/>
        </w:rPr>
        <w:t>July 1, 2025</w:t>
      </w:r>
      <w:r w:rsidRPr="00DD7BD1">
        <w:rPr>
          <w:rFonts w:ascii="Calibri" w:hAnsi="Calibri" w:cs="Calibri"/>
          <w:u w:val="single"/>
        </w:rPr>
        <w:t>, employers with</w:t>
      </w:r>
      <w:r w:rsidRPr="00DD7BD1">
        <w:rPr>
          <w:rFonts w:ascii="Calibri" w:hAnsi="Calibri" w:cs="Calibri"/>
        </w:rPr>
        <w:t xml:space="preserve"> </w:t>
      </w:r>
      <w:r w:rsidRPr="00DD7BD1">
        <w:rPr>
          <w:rFonts w:ascii="Calibri" w:hAnsi="Calibri" w:cs="Calibri"/>
          <w:u w:val="single"/>
        </w:rPr>
        <w:t>51 or more employees must pay out all unused, accrued paid leave upon termination</w:t>
      </w:r>
      <w:r w:rsidRPr="00DD7BD1">
        <w:rPr>
          <w:rFonts w:ascii="Calibri" w:hAnsi="Calibri" w:cs="Calibri"/>
        </w:rPr>
        <w:t>. (Employers with 101+ employees are already subject to this requirement.)</w:t>
      </w:r>
    </w:p>
    <w:p w14:paraId="76831D96" w14:textId="77777777"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Cook County Revises Mandatory Paid Leave Rules</w:t>
      </w:r>
    </w:p>
    <w:p w14:paraId="38702AC1" w14:textId="58512E1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On April 10, 2025, the Cook County Board of Commissioners approved </w:t>
      </w:r>
      <w:hyperlink r:id="rId656" w:tgtFrame="_blank" w:history="1">
        <w:r w:rsidRPr="00DD7BD1">
          <w:rPr>
            <w:rStyle w:val="Hyperlink"/>
            <w:rFonts w:ascii="Calibri" w:hAnsi="Calibri" w:cs="Calibri"/>
            <w:shd w:val="clear" w:color="auto" w:fill="FFFFFF"/>
          </w:rPr>
          <w:t>further revisions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to the Commission on Human Rights’ regulations implementing the county’s paid leave ordinance. Many private employers will welcome these clarifications.</w:t>
      </w:r>
    </w:p>
    <w:p w14:paraId="1E7032B1" w14:textId="3D62E933"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No Accrual of Paid Leave When Using Paid Leave</w:t>
      </w:r>
      <w:r w:rsidRPr="00DD7BD1">
        <w:rPr>
          <w:rFonts w:ascii="Calibri" w:hAnsi="Calibri" w:cs="Calibri"/>
          <w:shd w:val="clear" w:color="auto" w:fill="FFFFFF"/>
        </w:rPr>
        <w:t xml:space="preserve">: The paid leave ordinance requires statutory paid leave to accrue based on “hours worked.” Originally, </w:t>
      </w:r>
      <w:r w:rsidRPr="00DD7BD1">
        <w:rPr>
          <w:rFonts w:ascii="Calibri" w:hAnsi="Calibri" w:cs="Calibri"/>
          <w:u w:val="single"/>
          <w:shd w:val="clear" w:color="auto" w:fill="FFFFFF"/>
        </w:rPr>
        <w:t>the rules</w:t>
      </w:r>
      <w:r w:rsidRPr="00DD7BD1">
        <w:rPr>
          <w:rFonts w:ascii="Calibri" w:hAnsi="Calibri" w:cs="Calibri"/>
          <w:shd w:val="clear" w:color="auto" w:fill="FFFFFF"/>
        </w:rPr>
        <w:t xml:space="preserve"> had stated that employers were required to allow employees to accrue statutory paid leave when using statutory paid leave. </w:t>
      </w:r>
      <w:r w:rsidRPr="00DD7BD1">
        <w:rPr>
          <w:rFonts w:ascii="Calibri" w:hAnsi="Calibri" w:cs="Calibri"/>
          <w:u w:val="single"/>
          <w:shd w:val="clear" w:color="auto" w:fill="FFFFFF"/>
        </w:rPr>
        <w:t>The revised rules revert to the ordinance’s “hours worked” standard.</w:t>
      </w:r>
    </w:p>
    <w:p w14:paraId="541278C4" w14:textId="16991B21"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Pay Date When Paid Leave Used</w:t>
      </w:r>
      <w:r w:rsidRPr="00DD7BD1">
        <w:rPr>
          <w:rFonts w:ascii="Calibri" w:hAnsi="Calibri" w:cs="Calibri"/>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DD7BD1">
        <w:rPr>
          <w:rFonts w:ascii="Calibri" w:hAnsi="Calibri" w:cs="Calibri"/>
          <w:u w:val="single"/>
          <w:shd w:val="clear" w:color="auto" w:fill="FFFFFF"/>
        </w:rPr>
        <w:t>Now, however, payment need not be made until the payday for the pay period after the pay period during which the employee used leave.</w:t>
      </w:r>
    </w:p>
    <w:p w14:paraId="6BE1F9EE" w14:textId="0AB26D0D"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Additional Benefits When Using Paid Leave</w:t>
      </w:r>
      <w:r w:rsidRPr="00DD7BD1">
        <w:rPr>
          <w:rFonts w:ascii="Calibri" w:hAnsi="Calibri" w:cs="Calibri"/>
          <w:shd w:val="clear" w:color="auto" w:fill="FFFFFF"/>
        </w:rPr>
        <w:t>: Previously, the rules required that, if an employer would compensate an employee for regular work with additional benefits (</w:t>
      </w:r>
      <w:r w:rsidRPr="00DD7BD1">
        <w:rPr>
          <w:rFonts w:ascii="Calibri" w:hAnsi="Calibri" w:cs="Calibri"/>
          <w:i/>
          <w:iCs/>
          <w:shd w:val="clear" w:color="auto" w:fill="FFFFFF"/>
        </w:rPr>
        <w:t>e.g</w:t>
      </w:r>
      <w:r w:rsidRPr="00DD7BD1">
        <w:rPr>
          <w:rFonts w:ascii="Calibri" w:hAnsi="Calibri" w:cs="Calibri"/>
          <w:shd w:val="clear" w:color="auto" w:fill="FFFFFF"/>
        </w:rPr>
        <w:t>., paid leave accrual, seniority or health benefits), the employer also had to offer those additional benefits to employees when they use statutory paid leave</w:t>
      </w:r>
      <w:r w:rsidRPr="00DD7BD1">
        <w:rPr>
          <w:rFonts w:ascii="Calibri" w:hAnsi="Calibri" w:cs="Calibri"/>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DD7BD1">
        <w:rPr>
          <w:rFonts w:ascii="Calibri" w:hAnsi="Calibri" w:cs="Calibri"/>
          <w:shd w:val="clear" w:color="auto" w:fill="FFFFFF"/>
        </w:rPr>
        <w:t>rk.</w:t>
      </w:r>
    </w:p>
    <w:p w14:paraId="05BBE9A6" w14:textId="7A0E37B4"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Use if Employee Suspended or Placed on Disciplinary Leave</w:t>
      </w:r>
      <w:r w:rsidRPr="00DD7BD1">
        <w:rPr>
          <w:rFonts w:ascii="Calibri" w:hAnsi="Calibri" w:cs="Calibri"/>
          <w:shd w:val="clear" w:color="auto" w:fill="FFFFFF"/>
        </w:rPr>
        <w:t xml:space="preserve">: At first, the rules said employers could not allow employees to use statutory paid leave when they were suspended or placed on leave for disciplinary reasons. As amended, </w:t>
      </w:r>
      <w:r w:rsidRPr="00DD7BD1">
        <w:rPr>
          <w:rFonts w:ascii="Calibri" w:hAnsi="Calibri" w:cs="Calibri"/>
          <w:u w:val="single"/>
          <w:shd w:val="clear" w:color="auto" w:fill="FFFFFF"/>
        </w:rPr>
        <w:t>employers cannot require employees to use statutory paid leave, but they can choose to allow employees to use it under these circumstances.</w:t>
      </w:r>
    </w:p>
    <w:p w14:paraId="14FF394F" w14:textId="77777777"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Next Steps</w:t>
      </w:r>
      <w:r w:rsidRPr="00DD7BD1">
        <w:rPr>
          <w:rFonts w:ascii="Calibri" w:hAnsi="Calibri" w:cs="Calibri"/>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DD7BD1">
        <w:rPr>
          <w:rFonts w:ascii="Calibri" w:hAnsi="Calibri" w:cs="Calibri"/>
          <w:u w:val="single"/>
          <w:shd w:val="clear" w:color="auto" w:fill="FFFFFF"/>
        </w:rPr>
        <w:t>regulations also require that employers notify employees of changes to their policy in writing within five days of making the changes.</w:t>
      </w:r>
    </w:p>
    <w:p w14:paraId="0D1A3491" w14:textId="6BC3C8CC"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One Day in Seven Act to Prohibit Retaliation</w:t>
      </w:r>
    </w:p>
    <w:p w14:paraId="415F44E4"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Governor JB Pritzker signed SB 3180 into law prohibiting retaliation under the </w:t>
      </w:r>
      <w:r w:rsidRPr="00DD7BD1">
        <w:rPr>
          <w:rFonts w:ascii="Calibri" w:hAnsi="Calibri" w:cs="Calibri"/>
          <w:b/>
          <w:bCs/>
          <w:shd w:val="clear" w:color="auto" w:fill="FFFFFF"/>
        </w:rPr>
        <w:t>One Day Rest in Seven Act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Exercised a right guaranteed under the Act;</w:t>
      </w:r>
    </w:p>
    <w:p w14:paraId="58BCA1D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Complained to the employer;</w:t>
      </w:r>
    </w:p>
    <w:p w14:paraId="5799DA7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Filed or plans to file a proceeding under or related to the Act; or</w:t>
      </w:r>
    </w:p>
    <w:p w14:paraId="445F293A"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Testified or is about to testify in an investigation or proceeding under the Act.</w:t>
      </w:r>
    </w:p>
    <w:p w14:paraId="11BD64AC"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amendments are codified at chapter 820, sections 140/5.5 and 140/7 of the Illinois Compiled Statutes.</w:t>
      </w:r>
    </w:p>
    <w:p w14:paraId="3B653992" w14:textId="3FF1057D" w:rsidR="00402F96" w:rsidRPr="00DD7BD1" w:rsidRDefault="00402F96" w:rsidP="00402F96">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shd w:val="clear" w:color="auto" w:fill="FFFFFF"/>
          <w:lang w:val="en"/>
        </w:rPr>
        <w:t xml:space="preserve"> </w:t>
      </w:r>
      <w:r w:rsidRPr="00DD7BD1">
        <w:rPr>
          <w:rFonts w:ascii="Calibri" w:hAnsi="Calibri" w:cs="Calibri"/>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Recent Court Decision – Nondiscretionary Performance Bonuses &amp; Overtime Pay Calculations</w:t>
      </w:r>
    </w:p>
    <w:p w14:paraId="0424AED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Court Decision</w:t>
      </w:r>
    </w:p>
    <w:p w14:paraId="0E53F00F"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657" w:tgtFrame="_blank" w:history="1">
        <w:r w:rsidRPr="00DD7BD1">
          <w:rPr>
            <w:rStyle w:val="Hyperlink"/>
            <w:rFonts w:ascii="Calibri" w:hAnsi="Calibri" w:cs="Calibri"/>
            <w:i/>
            <w:iCs/>
            <w:shd w:val="clear" w:color="auto" w:fill="FFFFFF"/>
          </w:rPr>
          <w:t>Mercado v. S&amp;C Elec. Co.</w:t>
        </w:r>
      </w:hyperlink>
      <w:r w:rsidRPr="00DD7BD1">
        <w:rPr>
          <w:rFonts w:ascii="Calibri" w:hAnsi="Calibri" w:cs="Calibri"/>
          <w:i/>
          <w:iCs/>
          <w:shd w:val="clear" w:color="auto" w:fill="FFFFFF"/>
        </w:rPr>
        <w:t>,</w:t>
      </w:r>
      <w:r w:rsidRPr="00DD7BD1">
        <w:rPr>
          <w:rFonts w:ascii="Calibri" w:hAnsi="Calibri" w:cs="Calibri"/>
          <w:shd w:val="clear" w:color="auto" w:fill="FFFFFF"/>
        </w:rPr>
        <w:t> 2025 IL 129526 (2025).</w:t>
      </w:r>
    </w:p>
    <w:p w14:paraId="452D1849"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Takeaways</w:t>
      </w:r>
    </w:p>
    <w:p w14:paraId="222696BD"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Illinois high court ruled in </w:t>
      </w:r>
      <w:r w:rsidRPr="00DD7BD1">
        <w:rPr>
          <w:rFonts w:ascii="Calibri" w:hAnsi="Calibri" w:cs="Calibri"/>
          <w:i/>
          <w:iCs/>
          <w:shd w:val="clear" w:color="auto" w:fill="FFFFFF"/>
        </w:rPr>
        <w:t>Mercado </w:t>
      </w:r>
      <w:r w:rsidRPr="00DD7BD1">
        <w:rPr>
          <w:rFonts w:ascii="Calibri" w:hAnsi="Calibri" w:cs="Calibri"/>
          <w:shd w:val="clear" w:color="auto" w:fill="FFFFFF"/>
        </w:rPr>
        <w:t>that state law requires that o</w:t>
      </w:r>
      <w:r w:rsidRPr="00DD7BD1">
        <w:rPr>
          <w:rFonts w:ascii="Calibri" w:hAnsi="Calibri" w:cs="Calibri"/>
          <w:u w:val="single"/>
          <w:shd w:val="clear" w:color="auto" w:fill="FFFFFF"/>
        </w:rPr>
        <w:t>vertime calculations include performance bonuse</w:t>
      </w:r>
      <w:r w:rsidRPr="00DD7BD1">
        <w:rPr>
          <w:rFonts w:ascii="Calibri" w:hAnsi="Calibri" w:cs="Calibri"/>
          <w:shd w:val="clear" w:color="auto" w:fill="FFFFFF"/>
        </w:rPr>
        <w:t>s even when the nondiscretionary bonuses, as in this case, were not dependent on hours worked.</w:t>
      </w:r>
    </w:p>
    <w:p w14:paraId="3D718376"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Court noted the Illinois Minimum Wage Law is in line with the Fair Labor Standards Act on this issue and federal regulations support its holding.</w:t>
      </w:r>
    </w:p>
    <w:p w14:paraId="47266A57" w14:textId="35CAC9FB"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Implications</w:t>
      </w:r>
    </w:p>
    <w:p w14:paraId="38EFCD9C" w14:textId="69B47F0E" w:rsidR="00402F96" w:rsidRPr="00DD7BD1" w:rsidRDefault="00402F96" w:rsidP="00402F96">
      <w:pPr>
        <w:rPr>
          <w:rFonts w:ascii="Calibri" w:hAnsi="Calibri" w:cs="Calibri"/>
          <w:b/>
          <w:bCs/>
          <w:shd w:val="clear" w:color="auto" w:fill="FFFFFF"/>
        </w:rPr>
      </w:pPr>
      <w:r w:rsidRPr="00DD7BD1">
        <w:rPr>
          <w:rFonts w:ascii="Calibri" w:hAnsi="Calibri" w:cs="Calibri"/>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DD7BD1" w:rsidRDefault="00BB4530" w:rsidP="00BB4530">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Makes Equal Pay Registration Certificate Updates for 2025 – </w:t>
      </w:r>
      <w:r w:rsidRPr="00DD7BD1">
        <w:rPr>
          <w:rFonts w:ascii="Calibri" w:hAnsi="Calibri" w:cs="Calibri"/>
          <w:b/>
          <w:bCs/>
          <w:color w:val="C00000"/>
          <w:sz w:val="28"/>
          <w:szCs w:val="28"/>
          <w:shd w:val="clear" w:color="auto" w:fill="FFFFFF"/>
        </w:rPr>
        <w:t>March 31</w:t>
      </w:r>
    </w:p>
    <w:p w14:paraId="02FB6C9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(IDOL) is informing employers with </w:t>
      </w:r>
      <w:hyperlink r:id="rId658" w:tgtFrame="_blank" w:history="1">
        <w:r w:rsidRPr="00DD7BD1">
          <w:rPr>
            <w:rStyle w:val="Hyperlink"/>
            <w:rFonts w:ascii="Calibri" w:hAnsi="Calibri" w:cs="Calibri"/>
            <w:shd w:val="clear" w:color="auto" w:fill="FFFFFF"/>
          </w:rPr>
          <w:t>Equal Pay Registration Certificates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(EPRC) about changes that will impact upcoming filings.</w:t>
      </w:r>
    </w:p>
    <w:p w14:paraId="02810D96" w14:textId="77777777" w:rsidR="00BB4530" w:rsidRPr="00DD7BD1" w:rsidRDefault="00BB4530" w:rsidP="00BB4530">
      <w:pPr>
        <w:spacing w:after="0" w:line="240" w:lineRule="auto"/>
        <w:rPr>
          <w:rFonts w:ascii="Calibri" w:hAnsi="Calibri" w:cs="Calibri"/>
          <w:shd w:val="clear" w:color="auto" w:fill="FFFFFF"/>
        </w:rPr>
      </w:pPr>
    </w:p>
    <w:p w14:paraId="2BF2E03A"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updates include:</w:t>
      </w:r>
    </w:p>
    <w:p w14:paraId="1F90EC68" w14:textId="77777777" w:rsidR="00BB4530" w:rsidRPr="00DD7BD1" w:rsidRDefault="00BB4530">
      <w:pPr>
        <w:numPr>
          <w:ilvl w:val="0"/>
          <w:numId w:val="153"/>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 new, standardized </w:t>
      </w:r>
      <w:hyperlink r:id="rId659" w:tgtFrame="_blank" w:history="1">
        <w:r w:rsidRPr="00DD7BD1">
          <w:rPr>
            <w:rStyle w:val="Hyperlink"/>
            <w:rFonts w:ascii="Calibri" w:hAnsi="Calibri" w:cs="Calibri"/>
            <w:shd w:val="clear" w:color="auto" w:fill="FFFFFF"/>
          </w:rPr>
          <w:t>data template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with additional required fields:</w:t>
      </w:r>
    </w:p>
    <w:p w14:paraId="15CA0DB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each position is subject to a collective bargaining agreement; and</w:t>
      </w:r>
    </w:p>
    <w:p w14:paraId="037D580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the position is paid hourly or salaried (and if hourly, the pay rate).</w:t>
      </w:r>
    </w:p>
    <w:p w14:paraId="7AA72556" w14:textId="77777777" w:rsidR="00BB4530" w:rsidRPr="00DD7BD1" w:rsidRDefault="00BB4530">
      <w:pPr>
        <w:numPr>
          <w:ilvl w:val="0"/>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A streamlined process for submitting Compliance Statements and other forms via a web-based submission, eliminating the need to download, complete, scan, and upload forms.</w:t>
      </w:r>
    </w:p>
    <w:p w14:paraId="79504CCC" w14:textId="77777777" w:rsidR="00BB4530" w:rsidRPr="00DD7BD1" w:rsidRDefault="00BB4530" w:rsidP="00BB4530">
      <w:pPr>
        <w:spacing w:after="0" w:line="240" w:lineRule="auto"/>
        <w:rPr>
          <w:rFonts w:ascii="Calibri" w:hAnsi="Calibri" w:cs="Calibri"/>
          <w:shd w:val="clear" w:color="auto" w:fill="FFFFFF"/>
        </w:rPr>
      </w:pPr>
    </w:p>
    <w:p w14:paraId="189F385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DD7BD1" w:rsidRDefault="00BB4530" w:rsidP="00BB4530">
      <w:pPr>
        <w:spacing w:after="0" w:line="240" w:lineRule="auto"/>
        <w:rPr>
          <w:rFonts w:ascii="Calibri" w:hAnsi="Calibri" w:cs="Calibri"/>
          <w:shd w:val="clear" w:color="auto" w:fill="FFFFFF"/>
        </w:rPr>
      </w:pPr>
    </w:p>
    <w:p w14:paraId="068F46E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with EPRC </w:t>
      </w:r>
      <w:r w:rsidRPr="00DD7BD1">
        <w:rPr>
          <w:rFonts w:ascii="Calibri" w:hAnsi="Calibri" w:cs="Calibri"/>
          <w:b/>
          <w:bCs/>
          <w:shd w:val="clear" w:color="auto" w:fill="FFFFFF"/>
        </w:rPr>
        <w:t>recertification deadlines between January 1, 2025, and March 30, 2025</w:t>
      </w:r>
      <w:r w:rsidRPr="00DD7BD1">
        <w:rPr>
          <w:rFonts w:ascii="Calibri" w:hAnsi="Calibri" w:cs="Calibri"/>
          <w:shd w:val="clear" w:color="auto" w:fill="FFFFFF"/>
        </w:rPr>
        <w:t xml:space="preserve">, now have an extended deadline of </w:t>
      </w:r>
      <w:r w:rsidRPr="00DD7BD1">
        <w:rPr>
          <w:rFonts w:ascii="Calibri" w:hAnsi="Calibri" w:cs="Calibri"/>
          <w:color w:val="C00000"/>
          <w:shd w:val="clear" w:color="auto" w:fill="FFFFFF"/>
        </w:rPr>
        <w:t xml:space="preserve">March 31, 2025, </w:t>
      </w:r>
      <w:r w:rsidRPr="00DD7BD1">
        <w:rPr>
          <w:rFonts w:ascii="Calibri" w:hAnsi="Calibri" w:cs="Calibri"/>
          <w:shd w:val="clear" w:color="auto" w:fill="FFFFFF"/>
        </w:rPr>
        <w:t>with further extensions available upon request.</w:t>
      </w:r>
    </w:p>
    <w:p w14:paraId="41A00839" w14:textId="77777777" w:rsidR="00BB4530" w:rsidRPr="00DD7BD1" w:rsidRDefault="00BB4530" w:rsidP="00BB4530">
      <w:pPr>
        <w:spacing w:after="0" w:line="240" w:lineRule="auto"/>
        <w:rPr>
          <w:rFonts w:ascii="Calibri" w:hAnsi="Calibri" w:cs="Calibri"/>
          <w:shd w:val="clear" w:color="auto" w:fill="FFFFFF"/>
        </w:rPr>
      </w:pPr>
    </w:p>
    <w:p w14:paraId="336859A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Access the State’s Equal Pay Website </w:t>
      </w:r>
      <w:hyperlink r:id="rId660"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and access additional State Resources.</w:t>
      </w:r>
    </w:p>
    <w:p w14:paraId="65C6E8AA" w14:textId="77777777" w:rsidR="00BB4530" w:rsidRPr="00DD7BD1" w:rsidRDefault="00BB4530" w:rsidP="00503F70">
      <w:pPr>
        <w:spacing w:after="0" w:line="240" w:lineRule="auto"/>
        <w:jc w:val="center"/>
        <w:rPr>
          <w:rFonts w:ascii="Calibri" w:hAnsi="Calibri" w:cs="Calibri"/>
          <w:b/>
          <w:bCs/>
          <w:sz w:val="18"/>
          <w:szCs w:val="18"/>
          <w:shd w:val="clear" w:color="auto" w:fill="FFFFFF"/>
        </w:rPr>
      </w:pPr>
    </w:p>
    <w:p w14:paraId="4BACB4B9" w14:textId="554C28D2" w:rsidR="00503F70" w:rsidRPr="00DD7BD1" w:rsidRDefault="00503F70" w:rsidP="00503F70">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Navigating New E-Verify and I-9 Compliance Requirements</w:t>
      </w:r>
    </w:p>
    <w:p w14:paraId="3B9DF672"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DD7BD1" w:rsidRDefault="00503F70" w:rsidP="00503F70">
      <w:pPr>
        <w:spacing w:after="0" w:line="240" w:lineRule="auto"/>
        <w:rPr>
          <w:rFonts w:ascii="Calibri" w:hAnsi="Calibri" w:cs="Calibri"/>
          <w:sz w:val="12"/>
          <w:szCs w:val="12"/>
          <w:shd w:val="clear" w:color="auto" w:fill="FFFFFF"/>
        </w:rPr>
      </w:pPr>
    </w:p>
    <w:p w14:paraId="6000122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NOTE: This law applies to companies located in Illinois and any employer with employees working in Illinois, regardless of where the company is headquartered. It does </w:t>
      </w:r>
      <w:r w:rsidRPr="00DD7BD1">
        <w:rPr>
          <w:rFonts w:ascii="Calibri" w:hAnsi="Calibri" w:cs="Calibri"/>
          <w:b/>
          <w:bCs/>
          <w:shd w:val="clear" w:color="auto" w:fill="FFFFFF"/>
        </w:rPr>
        <w:t>not</w:t>
      </w:r>
      <w:r w:rsidRPr="00DD7BD1">
        <w:rPr>
          <w:rFonts w:ascii="Calibri" w:hAnsi="Calibri" w:cs="Calibri"/>
          <w:shd w:val="clear" w:color="auto" w:fill="FFFFFF"/>
        </w:rPr>
        <w:t xml:space="preserve"> extend to employees working outside of Illinois for an Illinois-based company. </w:t>
      </w:r>
    </w:p>
    <w:p w14:paraId="7DC5ED35" w14:textId="77777777" w:rsidR="00503F70" w:rsidRPr="00DD7BD1" w:rsidRDefault="00503F70" w:rsidP="00503F70">
      <w:pPr>
        <w:spacing w:after="0" w:line="240" w:lineRule="auto"/>
        <w:rPr>
          <w:rFonts w:ascii="Calibri" w:hAnsi="Calibri" w:cs="Calibri"/>
          <w:sz w:val="12"/>
          <w:szCs w:val="12"/>
          <w:shd w:val="clear" w:color="auto" w:fill="FFFFFF"/>
        </w:rPr>
      </w:pPr>
    </w:p>
    <w:p w14:paraId="2D2A188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DD7BD1" w:rsidRDefault="00503F70" w:rsidP="00503F70">
      <w:pPr>
        <w:spacing w:after="0" w:line="240" w:lineRule="auto"/>
        <w:rPr>
          <w:rFonts w:ascii="Calibri" w:hAnsi="Calibri" w:cs="Calibri"/>
          <w:sz w:val="12"/>
          <w:szCs w:val="12"/>
          <w:shd w:val="clear" w:color="auto" w:fill="FFFFFF"/>
        </w:rPr>
      </w:pPr>
    </w:p>
    <w:p w14:paraId="6792C70D"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Compliance Updates:</w:t>
      </w:r>
    </w:p>
    <w:p w14:paraId="04EB27E6"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Expanded Employee Protections:</w:t>
      </w:r>
    </w:p>
    <w:p w14:paraId="4C6664CA"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notify employees when their work eligibility or documentation is questioned.</w:t>
      </w:r>
    </w:p>
    <w:p w14:paraId="0F35891B"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are required to inform the entire workforce in case of a federal I-9 audit.</w:t>
      </w:r>
    </w:p>
    <w:p w14:paraId="13D97D9E" w14:textId="77777777" w:rsidR="00503F70" w:rsidRPr="00DD7BD1" w:rsidRDefault="00503F70" w:rsidP="00503F70">
      <w:pPr>
        <w:spacing w:after="0" w:line="240" w:lineRule="auto"/>
        <w:rPr>
          <w:rFonts w:ascii="Calibri" w:hAnsi="Calibri" w:cs="Calibri"/>
          <w:sz w:val="12"/>
          <w:szCs w:val="12"/>
          <w:shd w:val="clear" w:color="auto" w:fill="FFFFFF"/>
        </w:rPr>
      </w:pPr>
    </w:p>
    <w:p w14:paraId="19B4E1B4"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Prohibited Practices:</w:t>
      </w:r>
    </w:p>
    <w:p w14:paraId="4B437EEC"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E-Verify cannot be used to prescreen applicants.</w:t>
      </w:r>
    </w:p>
    <w:p w14:paraId="7768F6FA"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cannot act on tentative non-confirmations without following federal procedures.</w:t>
      </w:r>
    </w:p>
    <w:p w14:paraId="10D7CD75"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DD7BD1" w:rsidRDefault="00503F70" w:rsidP="00503F70">
      <w:pPr>
        <w:spacing w:after="0" w:line="240" w:lineRule="auto"/>
        <w:rPr>
          <w:rFonts w:ascii="Calibri" w:hAnsi="Calibri" w:cs="Calibri"/>
          <w:sz w:val="12"/>
          <w:szCs w:val="12"/>
          <w:shd w:val="clear" w:color="auto" w:fill="FFFFFF"/>
        </w:rPr>
      </w:pPr>
    </w:p>
    <w:p w14:paraId="7348355E"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State Penalties for Non-Compliance:</w:t>
      </w:r>
    </w:p>
    <w:p w14:paraId="34344405" w14:textId="77777777" w:rsidR="00503F70" w:rsidRPr="00DD7BD1" w:rsidRDefault="00503F70">
      <w:pPr>
        <w:numPr>
          <w:ilvl w:val="0"/>
          <w:numId w:val="137"/>
        </w:numPr>
        <w:spacing w:after="0" w:line="240" w:lineRule="auto"/>
        <w:rPr>
          <w:rFonts w:ascii="Calibri" w:hAnsi="Calibri" w:cs="Calibri"/>
          <w:shd w:val="clear" w:color="auto" w:fill="FFFFFF"/>
        </w:rPr>
      </w:pPr>
      <w:r w:rsidRPr="00DD7BD1">
        <w:rPr>
          <w:rFonts w:ascii="Calibri" w:hAnsi="Calibri" w:cs="Calibri"/>
          <w:shd w:val="clear" w:color="auto" w:fill="FFFFFF"/>
        </w:rPr>
        <w:t>Violations of the law may lead to penalties, emphasizing the importance of strict adherence.</w:t>
      </w:r>
    </w:p>
    <w:p w14:paraId="54224ACF" w14:textId="77777777" w:rsidR="00503F70" w:rsidRPr="00DD7BD1" w:rsidRDefault="00503F70" w:rsidP="00503F70">
      <w:pPr>
        <w:spacing w:after="0" w:line="240" w:lineRule="auto"/>
        <w:rPr>
          <w:rFonts w:ascii="Calibri" w:hAnsi="Calibri" w:cs="Calibri"/>
          <w:sz w:val="12"/>
          <w:szCs w:val="12"/>
          <w:shd w:val="clear" w:color="auto" w:fill="FFFFFF"/>
        </w:rPr>
      </w:pPr>
    </w:p>
    <w:p w14:paraId="6BF5B1A3" w14:textId="60DAC8D5"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DD7BD1" w:rsidRDefault="00503F70" w:rsidP="00503F70">
      <w:pPr>
        <w:spacing w:after="0" w:line="240" w:lineRule="auto"/>
        <w:rPr>
          <w:rFonts w:ascii="Calibri" w:hAnsi="Calibri" w:cs="Calibri"/>
          <w:shd w:val="clear" w:color="auto" w:fill="FFFFFF"/>
        </w:rPr>
      </w:pPr>
    </w:p>
    <w:p w14:paraId="1DEA3096" w14:textId="1BB78F0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Law Banning Caregiver Employment Discrimination – </w:t>
      </w:r>
      <w:r w:rsidRPr="00DD7BD1">
        <w:rPr>
          <w:rFonts w:ascii="Calibri" w:hAnsi="Calibri" w:cs="Calibri"/>
          <w:b/>
          <w:bCs/>
          <w:color w:val="C00000"/>
          <w:sz w:val="28"/>
          <w:szCs w:val="28"/>
          <w:shd w:val="clear" w:color="auto" w:fill="FFFFFF"/>
          <w:lang w:val="en"/>
        </w:rPr>
        <w:t>Jan 1, 2025</w:t>
      </w:r>
    </w:p>
    <w:p w14:paraId="3C569C65"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Illinois law (HB 2161 amending the </w:t>
      </w:r>
      <w:bookmarkStart w:id="93" w:name="_Hlk190083363"/>
      <w:r w:rsidRPr="00DD7BD1">
        <w:rPr>
          <w:rFonts w:ascii="Calibri" w:hAnsi="Calibri" w:cs="Calibri"/>
          <w:shd w:val="clear" w:color="auto" w:fill="FFFFFF"/>
        </w:rPr>
        <w:t xml:space="preserve">Illinois Human Rights Act </w:t>
      </w:r>
      <w:bookmarkEnd w:id="93"/>
      <w:r w:rsidRPr="00DD7BD1">
        <w:rPr>
          <w:rFonts w:ascii="Calibri" w:hAnsi="Calibri" w:cs="Calibri"/>
          <w:shd w:val="clear" w:color="auto" w:fill="FFFFFF"/>
        </w:rPr>
        <w:t xml:space="preserve">issued on 12.27.24) now protects workers from employment discrimination based on their family responsibilities. </w:t>
      </w:r>
    </w:p>
    <w:p w14:paraId="61BAA77B"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which took effect Jan. 1, employers in the state can’t make decisions about recruitment, hiring, promotion, and more based on a worker or candidate’s real or perceived </w:t>
      </w:r>
      <w:bookmarkStart w:id="94" w:name="_Hlk188280737"/>
      <w:r w:rsidRPr="00DD7BD1">
        <w:rPr>
          <w:rFonts w:ascii="Calibri" w:hAnsi="Calibri" w:cs="Calibri"/>
          <w:shd w:val="clear" w:color="auto" w:fill="FFFFFF"/>
        </w:rPr>
        <w:t xml:space="preserve">personal care of a qualifying family member </w:t>
      </w:r>
      <w:bookmarkEnd w:id="94"/>
      <w:r w:rsidRPr="00DD7BD1">
        <w:rPr>
          <w:rFonts w:ascii="Calibri" w:hAnsi="Calibri" w:cs="Calibri"/>
          <w:shd w:val="clear" w:color="auto" w:fill="FFFFFF"/>
        </w:rPr>
        <w:t>according to the State’s </w:t>
      </w:r>
      <w:hyperlink r:id="rId661" w:history="1">
        <w:r w:rsidRPr="00DD7BD1">
          <w:rPr>
            <w:rStyle w:val="Hyperlink"/>
            <w:rFonts w:ascii="Calibri" w:hAnsi="Calibri" w:cs="Calibri"/>
            <w:color w:val="auto"/>
            <w:shd w:val="clear" w:color="auto" w:fill="FFFFFF"/>
          </w:rPr>
          <w:t xml:space="preserve"> news release</w:t>
        </w:r>
      </w:hyperlink>
    </w:p>
    <w:p w14:paraId="50B7FCE3" w14:textId="77777777" w:rsidR="00BD445F" w:rsidRPr="00DD7BD1" w:rsidRDefault="00BD445F">
      <w:pPr>
        <w:numPr>
          <w:ilvl w:val="0"/>
          <w:numId w:val="124"/>
        </w:numPr>
        <w:spacing w:after="0" w:line="240" w:lineRule="auto"/>
        <w:rPr>
          <w:rFonts w:ascii="Calibri" w:hAnsi="Calibri" w:cs="Calibri"/>
        </w:rPr>
      </w:pPr>
      <w:r w:rsidRPr="00DD7BD1">
        <w:rPr>
          <w:rFonts w:ascii="Calibri" w:hAnsi="Calibri" w:cs="Calibri"/>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Pr="00DD7BD1" w:rsidRDefault="00BD445F" w:rsidP="00503F70">
      <w:pPr>
        <w:tabs>
          <w:tab w:val="left" w:pos="11520"/>
        </w:tabs>
        <w:spacing w:after="0" w:line="240" w:lineRule="auto"/>
        <w:rPr>
          <w:rFonts w:ascii="Calibri" w:hAnsi="Calibri" w:cs="Calibri"/>
        </w:rPr>
      </w:pPr>
      <w:r w:rsidRPr="00DD7BD1">
        <w:rPr>
          <w:rFonts w:ascii="Calibri" w:hAnsi="Calibri" w:cs="Calibri"/>
        </w:rPr>
        <w:t>Applicable changes were incorporated into the January publication of updated State Handbook Addendums.  Employers should review their Handbooks to ensure State Addendums are up-to-date.</w:t>
      </w:r>
    </w:p>
    <w:p w14:paraId="3F1EDBFC" w14:textId="77777777" w:rsidR="00BD445F" w:rsidRPr="00DD7BD1" w:rsidRDefault="00BD445F" w:rsidP="00B939E8">
      <w:pPr>
        <w:spacing w:after="0" w:line="240" w:lineRule="auto"/>
        <w:jc w:val="center"/>
        <w:rPr>
          <w:rFonts w:ascii="Calibri" w:hAnsi="Calibri" w:cs="Calibri"/>
          <w:b/>
          <w:bCs/>
          <w:sz w:val="20"/>
          <w:szCs w:val="20"/>
          <w:shd w:val="clear" w:color="auto" w:fill="FFFFFF"/>
          <w:lang w:val="en"/>
        </w:rPr>
      </w:pPr>
    </w:p>
    <w:p w14:paraId="48FC8DD2" w14:textId="79795781"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Whistle Blower Act </w:t>
      </w:r>
      <w:bookmarkEnd w:id="86"/>
      <w:r w:rsidRPr="00DD7BD1">
        <w:rPr>
          <w:rFonts w:ascii="Calibri" w:hAnsi="Calibri" w:cs="Calibri"/>
          <w:b/>
          <w:bCs/>
          <w:sz w:val="28"/>
          <w:szCs w:val="28"/>
          <w:shd w:val="clear" w:color="auto" w:fill="FFFFFF"/>
          <w:lang w:val="en"/>
        </w:rPr>
        <w:t>–</w:t>
      </w:r>
      <w:r w:rsidRPr="00DD7BD1">
        <w:rPr>
          <w:rFonts w:ascii="Calibri" w:hAnsi="Calibri" w:cs="Calibri"/>
          <w:b/>
          <w:bCs/>
          <w:color w:val="C00000"/>
          <w:sz w:val="28"/>
          <w:szCs w:val="28"/>
          <w:shd w:val="clear" w:color="auto" w:fill="FFFFFF"/>
          <w:lang w:val="en"/>
        </w:rPr>
        <w:t xml:space="preserve"> Jan 1, 2025</w:t>
      </w:r>
    </w:p>
    <w:p w14:paraId="1BD98091" w14:textId="77777777" w:rsidR="00B939E8" w:rsidRPr="00DD7BD1" w:rsidRDefault="00B939E8" w:rsidP="00B939E8">
      <w:pPr>
        <w:pStyle w:val="BodyText"/>
        <w:rPr>
          <w:rFonts w:cs="Calibri"/>
          <w:color w:val="auto"/>
          <w:szCs w:val="22"/>
        </w:rPr>
      </w:pPr>
      <w:r w:rsidRPr="00DD7BD1">
        <w:rPr>
          <w:rFonts w:cs="Calibri"/>
          <w:color w:val="auto"/>
          <w:szCs w:val="22"/>
        </w:rPr>
        <w:t xml:space="preserve">The Illinois Whistleblower Act </w:t>
      </w:r>
      <w:r w:rsidRPr="00DD7BD1">
        <w:rPr>
          <w:rFonts w:cs="Calibri"/>
          <w:szCs w:val="22"/>
        </w:rPr>
        <w:t>(</w:t>
      </w:r>
      <w:hyperlink r:id="rId662" w:history="1">
        <w:r w:rsidRPr="00DD7BD1">
          <w:rPr>
            <w:rStyle w:val="Hyperlink"/>
            <w:rFonts w:cs="Calibri"/>
            <w:szCs w:val="22"/>
          </w:rPr>
          <w:t>HB 5561</w:t>
        </w:r>
      </w:hyperlink>
      <w:r w:rsidRPr="00DD7BD1">
        <w:rPr>
          <w:rFonts w:cs="Calibri"/>
          <w:szCs w:val="22"/>
        </w:rPr>
        <w:t xml:space="preserve">) </w:t>
      </w:r>
      <w:r w:rsidRPr="00DD7BD1">
        <w:rPr>
          <w:rFonts w:cs="Calibri"/>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Pr="00DD7BD1" w:rsidRDefault="00B939E8" w:rsidP="00360D1C">
      <w:pPr>
        <w:pStyle w:val="BodyText"/>
        <w:spacing w:after="0" w:line="240" w:lineRule="auto"/>
        <w:jc w:val="center"/>
        <w:rPr>
          <w:rFonts w:eastAsiaTheme="minorHAnsi" w:cs="Calibri"/>
          <w:b/>
          <w:bCs/>
          <w:color w:val="auto"/>
          <w:sz w:val="28"/>
          <w:szCs w:val="28"/>
          <w:shd w:val="clear" w:color="auto" w:fill="FFFFFF"/>
          <w:lang w:val="en"/>
        </w:rPr>
      </w:pPr>
      <w:r w:rsidRPr="00DD7BD1">
        <w:rPr>
          <w:rFonts w:eastAsiaTheme="minorHAnsi" w:cs="Calibri"/>
          <w:b/>
          <w:bCs/>
          <w:color w:val="auto"/>
          <w:sz w:val="28"/>
          <w:szCs w:val="28"/>
          <w:shd w:val="clear" w:color="auto" w:fill="FFFFFF"/>
          <w:lang w:val="en"/>
        </w:rPr>
        <w:t xml:space="preserve">State Issues FAQs for Upcoming Pay Transparency Law – </w:t>
      </w:r>
      <w:r w:rsidRPr="00DD7BD1">
        <w:rPr>
          <w:rFonts w:eastAsiaTheme="minorHAnsi" w:cs="Calibri"/>
          <w:b/>
          <w:bCs/>
          <w:color w:val="C00000"/>
          <w:sz w:val="28"/>
          <w:szCs w:val="28"/>
          <w:shd w:val="clear" w:color="auto" w:fill="FFFFFF"/>
          <w:lang w:val="en"/>
        </w:rPr>
        <w:t>Jan 1, 2025</w:t>
      </w:r>
    </w:p>
    <w:p w14:paraId="1023D059" w14:textId="24F93059" w:rsidR="00B939E8" w:rsidRPr="00DD7BD1" w:rsidRDefault="00B939E8" w:rsidP="00360D1C">
      <w:pPr>
        <w:pStyle w:val="BodyText"/>
        <w:spacing w:after="0" w:line="240" w:lineRule="auto"/>
        <w:rPr>
          <w:rFonts w:cs="Calibri"/>
          <w:szCs w:val="22"/>
          <w:shd w:val="clear" w:color="auto" w:fill="FFFFFF"/>
        </w:rPr>
      </w:pPr>
      <w:r w:rsidRPr="00DD7BD1">
        <w:rPr>
          <w:rFonts w:cs="Calibri"/>
          <w:color w:val="auto"/>
          <w:szCs w:val="22"/>
          <w:shd w:val="clear" w:color="auto" w:fill="FFFFFF"/>
        </w:rPr>
        <w:t xml:space="preserve">On Nov. 22, 2024, the Illinois Department of Labor (IDOL) published </w:t>
      </w:r>
      <w:hyperlink r:id="rId663" w:anchor="faq-1whatistheillinoisequalpayact-faq" w:history="1">
        <w:r w:rsidRPr="00DD7BD1">
          <w:rPr>
            <w:rStyle w:val="Hyperlink"/>
            <w:rFonts w:cs="Calibri"/>
            <w:szCs w:val="22"/>
            <w:shd w:val="clear" w:color="auto" w:fill="FFFFFF"/>
          </w:rPr>
          <w:t>frequently asked questions (FAQs)</w:t>
        </w:r>
      </w:hyperlink>
      <w:r w:rsidRPr="00DD7BD1">
        <w:rPr>
          <w:rFonts w:cs="Calibri"/>
          <w:szCs w:val="22"/>
          <w:shd w:val="clear" w:color="auto" w:fill="FFFFFF"/>
        </w:rPr>
        <w:t xml:space="preserve"> </w:t>
      </w:r>
      <w:r w:rsidRPr="00DD7BD1">
        <w:rPr>
          <w:rFonts w:cs="Calibri"/>
          <w:color w:val="auto"/>
          <w:szCs w:val="22"/>
          <w:shd w:val="clear" w:color="auto" w:fill="FFFFFF"/>
        </w:rPr>
        <w:t xml:space="preserve">regarding Illinois’ pay transparency </w:t>
      </w:r>
      <w:hyperlink r:id="rId664" w:history="1">
        <w:r w:rsidRPr="00DD7BD1">
          <w:rPr>
            <w:rStyle w:val="Hyperlink"/>
            <w:rFonts w:cs="Calibri"/>
            <w:szCs w:val="22"/>
            <w:shd w:val="clear" w:color="auto" w:fill="FFFFFF"/>
          </w:rPr>
          <w:t>law</w:t>
        </w:r>
      </w:hyperlink>
      <w:r w:rsidRPr="00DD7BD1">
        <w:rPr>
          <w:rFonts w:cs="Calibri"/>
          <w:szCs w:val="22"/>
          <w:shd w:val="clear" w:color="auto" w:fill="FFFFFF"/>
        </w:rPr>
        <w:t xml:space="preserve"> </w:t>
      </w:r>
      <w:r w:rsidRPr="00DD7BD1">
        <w:rPr>
          <w:rFonts w:cs="Calibri"/>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DD7BD1" w:rsidRDefault="00360D1C" w:rsidP="003B7BFE">
      <w:pPr>
        <w:spacing w:after="0" w:line="240" w:lineRule="auto"/>
        <w:jc w:val="center"/>
        <w:rPr>
          <w:rFonts w:ascii="Calibri" w:hAnsi="Calibri" w:cs="Calibri"/>
          <w:b/>
          <w:bCs/>
          <w:shd w:val="clear" w:color="auto" w:fill="FFFFFF"/>
          <w:lang w:val="en"/>
        </w:rPr>
      </w:pPr>
    </w:p>
    <w:p w14:paraId="1432E213" w14:textId="0757EE52" w:rsidR="003B7BFE" w:rsidRPr="00DD7BD1" w:rsidRDefault="00B939E8" w:rsidP="003B7BFE">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t>State</w:t>
      </w:r>
      <w:r w:rsidR="003B7BFE" w:rsidRPr="00DD7BD1">
        <w:rPr>
          <w:rFonts w:ascii="Calibri" w:hAnsi="Calibri" w:cs="Calibri"/>
          <w:b/>
          <w:bCs/>
          <w:sz w:val="28"/>
          <w:szCs w:val="28"/>
          <w:shd w:val="clear" w:color="auto" w:fill="FFFFFF"/>
          <w:lang w:val="en"/>
        </w:rPr>
        <w:t xml:space="preserve"> Amended </w:t>
      </w:r>
      <w:r w:rsidR="003B7BFE" w:rsidRPr="00DD7BD1">
        <w:rPr>
          <w:rFonts w:ascii="Calibri" w:hAnsi="Calibri" w:cs="Calibri"/>
          <w:b/>
          <w:bCs/>
          <w:sz w:val="28"/>
          <w:szCs w:val="28"/>
          <w:shd w:val="clear" w:color="auto" w:fill="FFFFFF"/>
        </w:rPr>
        <w:t xml:space="preserve">Right to Privacy in the Workplace Act – </w:t>
      </w:r>
      <w:r w:rsidR="003B7BFE" w:rsidRPr="00DD7BD1">
        <w:rPr>
          <w:rFonts w:ascii="Calibri" w:hAnsi="Calibri" w:cs="Calibri"/>
          <w:b/>
          <w:bCs/>
          <w:color w:val="C00000"/>
          <w:sz w:val="28"/>
          <w:szCs w:val="28"/>
          <w:shd w:val="clear" w:color="auto" w:fill="FFFFFF"/>
        </w:rPr>
        <w:t>Jan 1, 2025</w:t>
      </w:r>
    </w:p>
    <w:p w14:paraId="7F17A92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D7BD1" w:rsidRDefault="003B7BFE" w:rsidP="003B7BFE">
      <w:pPr>
        <w:spacing w:after="0" w:line="240" w:lineRule="auto"/>
        <w:rPr>
          <w:rFonts w:ascii="Calibri" w:hAnsi="Calibri" w:cs="Calibri"/>
          <w:sz w:val="16"/>
          <w:szCs w:val="16"/>
          <w:shd w:val="clear" w:color="auto" w:fill="FFFFFF"/>
        </w:rPr>
      </w:pPr>
    </w:p>
    <w:p w14:paraId="0CC81A11"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Some of the Act’s amendment provisions are:</w:t>
      </w:r>
    </w:p>
    <w:p w14:paraId="739CBADD"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Preempting the state, its political subdivisions, or any unit of local government from requiring an employer to use E-Verify</w:t>
      </w:r>
    </w:p>
    <w:p w14:paraId="5EB9B56E"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training obligations for employers and their authorized agents when enrolling in E-Verify</w:t>
      </w:r>
    </w:p>
    <w:p w14:paraId="157234A0"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Specific procedures to comply with state law when an inspecting entity (such as U.S. Immigration and Customs Enforcement) conducts an I-9 audit</w:t>
      </w:r>
    </w:p>
    <w:p w14:paraId="5CA96D50" w14:textId="77777777" w:rsidR="003B7BFE" w:rsidRPr="00DD7BD1" w:rsidRDefault="003B7BFE" w:rsidP="003B7BFE">
      <w:pPr>
        <w:spacing w:after="0" w:line="240" w:lineRule="auto"/>
        <w:rPr>
          <w:rFonts w:ascii="Calibri" w:hAnsi="Calibri" w:cs="Calibri"/>
          <w:sz w:val="16"/>
          <w:szCs w:val="16"/>
          <w:shd w:val="clear" w:color="auto" w:fill="FFFFFF"/>
        </w:rPr>
      </w:pPr>
      <w:r w:rsidRPr="00DD7BD1">
        <w:rPr>
          <w:rFonts w:ascii="Calibri" w:hAnsi="Calibri" w:cs="Calibri"/>
          <w:shd w:val="clear" w:color="auto" w:fill="FFFFFF"/>
        </w:rPr>
        <w:t> </w:t>
      </w:r>
    </w:p>
    <w:p w14:paraId="6AD3864E"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Illinois Department of Labor issued a </w:t>
      </w:r>
      <w:hyperlink r:id="rId665" w:tgtFrame="_blank" w:history="1">
        <w:r w:rsidRPr="00DD7BD1">
          <w:rPr>
            <w:rStyle w:val="Hyperlink"/>
            <w:rFonts w:ascii="Calibri" w:hAnsi="Calibri" w:cs="Calibri"/>
            <w:shd w:val="clear" w:color="auto" w:fill="FFFFFF"/>
          </w:rPr>
          <w:t>fact sheet/FAQ</w:t>
        </w:r>
      </w:hyperlink>
      <w:r w:rsidRPr="00DD7BD1">
        <w:rPr>
          <w:rFonts w:ascii="Calibri" w:hAnsi="Calibri" w:cs="Calibri"/>
          <w:color w:val="2E74B5" w:themeColor="accent5" w:themeShade="BF"/>
          <w:shd w:val="clear" w:color="auto" w:fill="FFFFFF"/>
        </w:rPr>
        <w:t> </w:t>
      </w:r>
    </w:p>
    <w:p w14:paraId="314737C2" w14:textId="77777777" w:rsidR="003B7BFE" w:rsidRPr="00DD7BD1" w:rsidRDefault="003B7BFE" w:rsidP="00CD70B8">
      <w:pPr>
        <w:spacing w:after="0" w:line="240" w:lineRule="auto"/>
        <w:jc w:val="center"/>
        <w:rPr>
          <w:rFonts w:ascii="Calibri" w:hAnsi="Calibri" w:cs="Calibri"/>
          <w:b/>
          <w:bCs/>
          <w:shd w:val="clear" w:color="auto" w:fill="FFFFFF"/>
        </w:rPr>
      </w:pPr>
    </w:p>
    <w:p w14:paraId="385211F1" w14:textId="40DE754F"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Cook County Updates Paid Leave Guidance – </w:t>
      </w:r>
      <w:r w:rsidRPr="00DD7BD1">
        <w:rPr>
          <w:rFonts w:ascii="Calibri" w:hAnsi="Calibri" w:cs="Calibri"/>
          <w:b/>
          <w:bCs/>
          <w:color w:val="C00000"/>
          <w:sz w:val="28"/>
          <w:szCs w:val="28"/>
          <w:shd w:val="clear" w:color="auto" w:fill="FFFFFF"/>
        </w:rPr>
        <w:t>Oct 24, 2024</w:t>
      </w:r>
    </w:p>
    <w:p w14:paraId="3F8721FE" w14:textId="77777777" w:rsidR="00CD70B8" w:rsidRPr="00DD7BD1" w:rsidRDefault="00CD70B8" w:rsidP="00CD70B8">
      <w:pPr>
        <w:spacing w:after="0" w:line="240" w:lineRule="auto"/>
        <w:rPr>
          <w:rFonts w:ascii="Calibri" w:hAnsi="Calibri" w:cs="Calibri"/>
          <w:shd w:val="clear" w:color="auto" w:fill="FFFFFF"/>
        </w:rPr>
      </w:pPr>
      <w:bookmarkStart w:id="95" w:name="_Hlk209767245"/>
      <w:r w:rsidRPr="00DD7BD1">
        <w:rPr>
          <w:rFonts w:ascii="Calibri" w:hAnsi="Calibri" w:cs="Calibri"/>
          <w:shd w:val="clear" w:color="auto" w:fill="FFFFFF"/>
        </w:rPr>
        <w:t xml:space="preserve">Cook County has amended its Paid Leave rules. </w:t>
      </w:r>
    </w:p>
    <w:p w14:paraId="3E2FE624"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While many of the amendments were made to further align with the Paid Leave Ordinance, notable substantive changes include, but aren’t limited to, the following: </w:t>
      </w:r>
    </w:p>
    <w:p w14:paraId="4E9CB6E3"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continue to accrue </w:t>
      </w:r>
      <w:r w:rsidRPr="00DD7BD1">
        <w:rPr>
          <w:rFonts w:ascii="Calibri" w:hAnsi="Calibri" w:cs="Calibri"/>
          <w:i/>
          <w:iCs/>
          <w:shd w:val="clear" w:color="auto" w:fill="FFFFFF"/>
        </w:rPr>
        <w:t>during </w:t>
      </w:r>
      <w:r w:rsidRPr="00DD7BD1">
        <w:rPr>
          <w:rFonts w:ascii="Calibri" w:hAnsi="Calibri" w:cs="Calibri"/>
          <w:shd w:val="clear" w:color="auto" w:fill="FFFFFF"/>
        </w:rPr>
        <w:t>an employee’s use of Paid Leave  </w:t>
      </w:r>
    </w:p>
    <w:p w14:paraId="6D210B10"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be paid out within the same pay period in which it was used </w:t>
      </w:r>
    </w:p>
    <w:p w14:paraId="27B25488" w14:textId="77777777" w:rsidR="00CD70B8" w:rsidRPr="00DD7BD1" w:rsidRDefault="00CD70B8">
      <w:pPr>
        <w:numPr>
          <w:ilvl w:val="0"/>
          <w:numId w:val="99"/>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Employers must post the county’s Workplace Posting, which can be found on the Cook County Paid Leave Ordinance </w:t>
      </w:r>
      <w:hyperlink r:id="rId666" w:tgtFrame="_blank"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w:t>
      </w:r>
    </w:p>
    <w:p w14:paraId="7F61B8A6"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also released updated </w:t>
      </w:r>
      <w:hyperlink r:id="rId667"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(FAQs). </w:t>
      </w:r>
    </w:p>
    <w:p w14:paraId="2FBE66C6" w14:textId="3A496705" w:rsidR="00A83553" w:rsidRPr="00DD7BD1" w:rsidRDefault="00CD70B8"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Paid Leave Ordinance Interpretive and Procedural Rules were </w:t>
      </w:r>
      <w:hyperlink r:id="rId668" w:tgtFrame="_blank" w:history="1">
        <w:r w:rsidRPr="00DD7BD1">
          <w:rPr>
            <w:rStyle w:val="Hyperlink"/>
            <w:rFonts w:ascii="Calibri" w:hAnsi="Calibri" w:cs="Calibri"/>
            <w:shd w:val="clear" w:color="auto" w:fill="FFFFFF"/>
          </w:rPr>
          <w:t>approved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by the Cook County Board of Commissioners on October 24, 2024, and became effective immediately. </w:t>
      </w:r>
    </w:p>
    <w:bookmarkEnd w:id="95"/>
    <w:p w14:paraId="42FD813F" w14:textId="77777777" w:rsidR="00503F70" w:rsidRPr="00DD7BD1" w:rsidRDefault="00503F70" w:rsidP="00503F70">
      <w:pPr>
        <w:spacing w:after="0" w:line="240" w:lineRule="auto"/>
        <w:rPr>
          <w:rFonts w:ascii="Calibri" w:hAnsi="Calibri" w:cs="Calibri"/>
          <w:shd w:val="clear" w:color="auto" w:fill="FFFFFF"/>
        </w:rPr>
      </w:pPr>
    </w:p>
    <w:p w14:paraId="59F4793D" w14:textId="470F445C"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12DC0BB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enacted the </w:t>
      </w:r>
      <w:hyperlink r:id="rId669"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33FF21E2" w14:textId="12541406" w:rsidR="00A83553" w:rsidRPr="00DD7BD1" w:rsidRDefault="00CD70B8" w:rsidP="00503F70">
      <w:pPr>
        <w:pStyle w:val="Heading2"/>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  To learn more, read the September HR WIRE</w:t>
      </w:r>
    </w:p>
    <w:p w14:paraId="68075180" w14:textId="77777777" w:rsidR="00503F70" w:rsidRPr="00DD7BD1" w:rsidRDefault="00503F70" w:rsidP="007C5376">
      <w:pPr>
        <w:spacing w:after="0" w:line="240" w:lineRule="auto"/>
        <w:jc w:val="center"/>
        <w:rPr>
          <w:rFonts w:ascii="Calibri" w:hAnsi="Calibri" w:cs="Calibri"/>
        </w:rPr>
      </w:pPr>
    </w:p>
    <w:p w14:paraId="2E3A38FE" w14:textId="03C2ECE9" w:rsidR="007C5376" w:rsidRPr="00DD7BD1" w:rsidRDefault="007C5376" w:rsidP="007C537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&amp; Benefits in Job Postings – </w:t>
      </w:r>
      <w:r w:rsidRPr="00DD7BD1">
        <w:rPr>
          <w:rFonts w:ascii="Calibri" w:hAnsi="Calibri" w:cs="Calibri"/>
          <w:b/>
          <w:bCs/>
          <w:color w:val="C00000"/>
          <w:sz w:val="28"/>
          <w:szCs w:val="28"/>
          <w:shd w:val="clear" w:color="auto" w:fill="FFFFFF"/>
          <w:lang w:val="en"/>
        </w:rPr>
        <w:t>Jan 1, 2025</w:t>
      </w:r>
    </w:p>
    <w:p w14:paraId="4759B80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Promotion Opportunities</w:t>
      </w:r>
      <w:r w:rsidRPr="00DD7BD1">
        <w:rPr>
          <w:rFonts w:ascii="Calibri" w:hAnsi="Calibri" w:cs="Calibri"/>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Action Items</w:t>
      </w:r>
    </w:p>
    <w:p w14:paraId="01E9962B"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Amend job postings to include the required information by January 1, 2025.</w:t>
      </w:r>
    </w:p>
    <w:p w14:paraId="79329F7F"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Announce promotional opportunities to current employees within the 14-day time period.</w:t>
      </w:r>
    </w:p>
    <w:p w14:paraId="318F2E13" w14:textId="77777777" w:rsidR="00CD70B8" w:rsidRPr="00DD7BD1" w:rsidRDefault="00CD70B8" w:rsidP="007C5376">
      <w:pPr>
        <w:spacing w:after="0" w:line="240" w:lineRule="auto"/>
        <w:rPr>
          <w:rFonts w:ascii="Calibri" w:hAnsi="Calibri" w:cs="Calibri"/>
        </w:rPr>
      </w:pPr>
    </w:p>
    <w:p w14:paraId="6DAB5D61" w14:textId="2081E08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622A31FF"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enacted </w:t>
      </w:r>
      <w:hyperlink r:id="rId670"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7CCE2E0" w14:textId="77777777" w:rsidR="00CD70B8" w:rsidRPr="00DD7BD1" w:rsidRDefault="00CD70B8" w:rsidP="00CD70B8">
      <w:pPr>
        <w:spacing w:after="0" w:line="240" w:lineRule="auto"/>
        <w:rPr>
          <w:rFonts w:ascii="Calibri" w:hAnsi="Calibri" w:cs="Calibri"/>
          <w:sz w:val="16"/>
          <w:szCs w:val="16"/>
        </w:rPr>
      </w:pPr>
    </w:p>
    <w:p w14:paraId="5A2859AE" w14:textId="77777777" w:rsidR="00CD70B8" w:rsidRPr="00DD7BD1" w:rsidRDefault="00CD70B8" w:rsidP="00CD70B8">
      <w:pPr>
        <w:pStyle w:val="BodyText"/>
        <w:spacing w:after="0"/>
        <w:rPr>
          <w:rFonts w:cs="Calibri"/>
          <w:b/>
          <w:bCs/>
          <w:color w:val="auto"/>
        </w:rPr>
      </w:pPr>
      <w:r w:rsidRPr="00DD7BD1">
        <w:rPr>
          <w:rFonts w:cs="Calibri"/>
          <w:b/>
          <w:bCs/>
          <w:color w:val="auto"/>
        </w:rPr>
        <w:t>Employment Certificates</w:t>
      </w:r>
    </w:p>
    <w:p w14:paraId="59054BCA" w14:textId="77777777" w:rsidR="00CD70B8" w:rsidRPr="00DD7BD1" w:rsidRDefault="00CD70B8" w:rsidP="00CD70B8">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3B396D95" w14:textId="77777777" w:rsidR="00CD70B8" w:rsidRPr="00DD7BD1" w:rsidRDefault="00CD70B8" w:rsidP="00CD70B8">
      <w:pPr>
        <w:pStyle w:val="BodyText"/>
        <w:spacing w:after="0" w:line="240" w:lineRule="auto"/>
        <w:rPr>
          <w:rFonts w:cs="Calibri"/>
          <w:b/>
          <w:bCs/>
          <w:color w:val="auto"/>
        </w:rPr>
      </w:pPr>
      <w:r w:rsidRPr="00DD7BD1">
        <w:rPr>
          <w:rFonts w:cs="Calibri"/>
          <w:b/>
          <w:bCs/>
          <w:color w:val="auto"/>
        </w:rPr>
        <w:t>Supervision</w:t>
      </w:r>
    </w:p>
    <w:p w14:paraId="252DC7DE" w14:textId="77777777" w:rsidR="00CD70B8" w:rsidRPr="00DD7BD1" w:rsidRDefault="00CD70B8" w:rsidP="00CD70B8">
      <w:pPr>
        <w:pStyle w:val="BodyText"/>
        <w:spacing w:after="0" w:line="240" w:lineRule="auto"/>
        <w:rPr>
          <w:rFonts w:cs="Calibri"/>
          <w:color w:val="auto"/>
        </w:rPr>
      </w:pPr>
      <w:r w:rsidRPr="00DD7BD1">
        <w:rPr>
          <w:rFonts w:cs="Calibri"/>
          <w:color w:val="auto"/>
        </w:rPr>
        <w:t>The Act requires that all minors are supervised at all times by an adult of 21 years of age or older.</w:t>
      </w:r>
    </w:p>
    <w:p w14:paraId="3E1D1604" w14:textId="66AFBAD9" w:rsidR="00CD70B8" w:rsidRPr="00DD7BD1" w:rsidRDefault="00CD70B8" w:rsidP="00CD70B8">
      <w:pPr>
        <w:pStyle w:val="BodyText"/>
        <w:spacing w:after="0" w:line="240" w:lineRule="auto"/>
        <w:rPr>
          <w:rStyle w:val="Hyperlink"/>
          <w:rFonts w:cs="Calibri"/>
        </w:rPr>
      </w:pPr>
      <w:r w:rsidRPr="00DD7BD1">
        <w:rPr>
          <w:rFonts w:cs="Calibri"/>
          <w:color w:val="auto"/>
        </w:rPr>
        <w:t xml:space="preserve">To read/learn more, access the Illinois Child Labor Law webpages </w:t>
      </w:r>
      <w:hyperlink r:id="rId671" w:history="1">
        <w:r w:rsidRPr="00DD7BD1">
          <w:rPr>
            <w:rStyle w:val="Hyperlink"/>
            <w:rFonts w:cs="Calibri"/>
          </w:rPr>
          <w:t>HERE</w:t>
        </w:r>
      </w:hyperlink>
    </w:p>
    <w:p w14:paraId="13FEA582" w14:textId="77777777" w:rsidR="00CD70B8" w:rsidRPr="00DD7BD1" w:rsidRDefault="00CD70B8" w:rsidP="00CD70B8">
      <w:pPr>
        <w:pStyle w:val="BodyText"/>
        <w:spacing w:after="0" w:line="240" w:lineRule="auto"/>
        <w:rPr>
          <w:rStyle w:val="Hyperlink"/>
          <w:rFonts w:cs="Calibri"/>
        </w:rPr>
      </w:pPr>
    </w:p>
    <w:p w14:paraId="3DE92D9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0B9DC05C" w14:textId="29CB4CF6" w:rsidR="00CD70B8" w:rsidRPr="00DD7BD1" w:rsidRDefault="00CD70B8" w:rsidP="00CD70B8">
      <w:pPr>
        <w:spacing w:after="0" w:line="240" w:lineRule="auto"/>
        <w:rPr>
          <w:rStyle w:val="Hyperlink"/>
          <w:rFonts w:ascii="Calibri" w:hAnsi="Calibri" w:cs="Calibri"/>
          <w:color w:val="auto"/>
          <w:u w:val="none"/>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 xml:space="preserve">.  </w:t>
      </w:r>
    </w:p>
    <w:p w14:paraId="5B7E8A06" w14:textId="77777777" w:rsidR="00CD70B8" w:rsidRPr="00DD7BD1" w:rsidRDefault="00CD70B8" w:rsidP="00CD70B8">
      <w:pPr>
        <w:pStyle w:val="BodyText"/>
        <w:spacing w:after="0" w:line="240" w:lineRule="auto"/>
        <w:rPr>
          <w:rFonts w:cs="Calibri"/>
          <w:color w:val="auto"/>
        </w:rPr>
      </w:pPr>
    </w:p>
    <w:p w14:paraId="647938C4"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1983A3A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 xml:space="preserve">prohibit employment discrimination on the </w:t>
      </w:r>
      <w:bookmarkStart w:id="96" w:name="_Hlk188536485"/>
      <w:r w:rsidRPr="00DD7BD1">
        <w:rPr>
          <w:rFonts w:ascii="Calibri" w:hAnsi="Calibri" w:cs="Calibri"/>
        </w:rPr>
        <w:t>basis of an individual’s reproductive health decisions and family responsibilities</w:t>
      </w:r>
      <w:bookmarkEnd w:id="96"/>
      <w:r w:rsidRPr="00DD7BD1">
        <w:rPr>
          <w:rFonts w:ascii="Calibri" w:hAnsi="Calibri" w:cs="Calibri"/>
        </w:rPr>
        <w:t>, extend the Act’s statute of limitations to two years and increase penalties for violations of the Act.</w:t>
      </w:r>
    </w:p>
    <w:p w14:paraId="6A290498" w14:textId="77777777" w:rsidR="00CD70B8" w:rsidRPr="00DD7BD1" w:rsidRDefault="00CD70B8" w:rsidP="00CD70B8">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 To learn more, read the September HR WIRE</w:t>
      </w:r>
    </w:p>
    <w:p w14:paraId="15249AC4" w14:textId="77777777" w:rsidR="00CD70B8" w:rsidRPr="00DD7BD1" w:rsidRDefault="00CD70B8" w:rsidP="004134E7">
      <w:pPr>
        <w:spacing w:after="0" w:line="240" w:lineRule="auto"/>
        <w:jc w:val="center"/>
        <w:rPr>
          <w:rFonts w:ascii="Calibri" w:hAnsi="Calibri" w:cs="Calibri"/>
          <w:b/>
          <w:bCs/>
          <w:shd w:val="clear" w:color="auto" w:fill="FFFFFF"/>
          <w:lang w:val="en"/>
        </w:rPr>
      </w:pPr>
    </w:p>
    <w:p w14:paraId="00A1EC44" w14:textId="368E88D8"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5EF19BE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enacted the </w:t>
      </w:r>
      <w:hyperlink r:id="rId672"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75F6FDC1" w14:textId="77777777" w:rsidR="004134E7" w:rsidRPr="00DD7BD1" w:rsidRDefault="004134E7" w:rsidP="004134E7">
      <w:pPr>
        <w:pStyle w:val="Heading2"/>
        <w:spacing w:before="0" w:line="240" w:lineRule="auto"/>
        <w:rPr>
          <w:rFonts w:ascii="Calibri" w:hAnsi="Calibri" w:cs="Calibri"/>
          <w:sz w:val="16"/>
          <w:szCs w:val="16"/>
        </w:rPr>
      </w:pPr>
    </w:p>
    <w:p w14:paraId="1F71BEB1"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Overview of the New Law</w:t>
      </w:r>
    </w:p>
    <w:p w14:paraId="69AD3D3A" w14:textId="77777777" w:rsidR="004134E7" w:rsidRPr="00DD7BD1" w:rsidRDefault="004134E7" w:rsidP="004134E7">
      <w:pPr>
        <w:spacing w:after="0" w:line="240" w:lineRule="auto"/>
        <w:rPr>
          <w:rFonts w:ascii="Calibri" w:hAnsi="Calibri" w:cs="Calibri"/>
        </w:rPr>
      </w:pPr>
      <w:r w:rsidRPr="00DD7BD1">
        <w:rPr>
          <w:rFonts w:ascii="Calibri" w:hAnsi="Calibri" w:cs="Calibri"/>
        </w:rPr>
        <w:t>Under the new law, employers may not discharge, discipline or otherwise penalize, threaten to discharge, discipline, or otherwise penalize or take any adverse employment action against an employee:</w:t>
      </w:r>
    </w:p>
    <w:p w14:paraId="3612CB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declines to or as a means of requiring an employee to:</w:t>
      </w:r>
    </w:p>
    <w:p w14:paraId="0A107AD7"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Attend or participate in employer-sponsored meetings that communicate the employer’s views on religious or political matters; or</w:t>
      </w:r>
    </w:p>
    <w:p w14:paraId="35454B98"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Receive or participate in employer communications that communicate the employer’s views on religious or political matters; or </w:t>
      </w:r>
    </w:p>
    <w:p w14:paraId="3E71D69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makes a good-faith report of a violation or suspected violation of the law.</w:t>
      </w:r>
    </w:p>
    <w:p w14:paraId="3043416B" w14:textId="77777777" w:rsidR="004134E7" w:rsidRPr="00DD7BD1" w:rsidRDefault="004134E7" w:rsidP="004134E7">
      <w:pPr>
        <w:pStyle w:val="Bullet"/>
        <w:numPr>
          <w:ilvl w:val="0"/>
          <w:numId w:val="0"/>
        </w:numPr>
        <w:spacing w:line="240" w:lineRule="auto"/>
        <w:ind w:left="720" w:hanging="360"/>
        <w:rPr>
          <w:rFonts w:cs="Calibri"/>
          <w:color w:val="auto"/>
          <w:sz w:val="16"/>
          <w:szCs w:val="16"/>
        </w:rPr>
      </w:pPr>
    </w:p>
    <w:p w14:paraId="1F316D6E"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Important Definitions</w:t>
      </w:r>
    </w:p>
    <w:p w14:paraId="463FDA58"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b/>
          <w:bCs/>
        </w:rPr>
        <w:t>“Political matters</w:t>
      </w:r>
      <w:r w:rsidRPr="00DD7BD1">
        <w:rPr>
          <w:rFonts w:ascii="Calibri" w:hAnsi="Calibri" w:cs="Calibri"/>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rPr>
        <w:t>“</w:t>
      </w:r>
      <w:r w:rsidRPr="00DD7BD1">
        <w:rPr>
          <w:rFonts w:ascii="Calibri" w:hAnsi="Calibri" w:cs="Calibri"/>
          <w:b/>
          <w:bCs/>
        </w:rPr>
        <w:t>Religious matters</w:t>
      </w:r>
      <w:r w:rsidRPr="00DD7BD1">
        <w:rPr>
          <w:rFonts w:ascii="Calibri" w:hAnsi="Calibri" w:cs="Calibri"/>
        </w:rPr>
        <w:t>” are matters relating to religious belief, affiliation or practice, or the decision to support or join any religious organization or association.</w:t>
      </w:r>
    </w:p>
    <w:p w14:paraId="443078AE" w14:textId="77777777" w:rsidR="004134E7" w:rsidRPr="00DD7BD1" w:rsidRDefault="004134E7" w:rsidP="004134E7">
      <w:pPr>
        <w:spacing w:after="0" w:line="240" w:lineRule="auto"/>
        <w:rPr>
          <w:rFonts w:ascii="Calibri" w:hAnsi="Calibri" w:cs="Calibri"/>
          <w:b/>
          <w:bCs/>
          <w:sz w:val="16"/>
          <w:szCs w:val="16"/>
          <w:highlight w:val="lightGray"/>
        </w:rPr>
      </w:pPr>
    </w:p>
    <w:p w14:paraId="12928640" w14:textId="77777777" w:rsidR="004134E7" w:rsidRPr="00DD7BD1" w:rsidRDefault="004134E7" w:rsidP="004134E7">
      <w:pPr>
        <w:spacing w:after="0" w:line="240" w:lineRule="auto"/>
        <w:rPr>
          <w:rFonts w:ascii="Calibri" w:hAnsi="Calibri" w:cs="Calibri"/>
          <w:b/>
          <w:bCs/>
        </w:rPr>
      </w:pPr>
      <w:r w:rsidRPr="00DD7BD1">
        <w:rPr>
          <w:rFonts w:ascii="Calibri" w:hAnsi="Calibri" w:cs="Calibri"/>
          <w:b/>
          <w:bCs/>
          <w:highlight w:val="lightGray"/>
        </w:rPr>
        <w:t>Notice Requirement</w:t>
      </w:r>
    </w:p>
    <w:p w14:paraId="1A351354" w14:textId="77777777" w:rsidR="004134E7" w:rsidRPr="00DD7BD1" w:rsidRDefault="004134E7" w:rsidP="004134E7">
      <w:pPr>
        <w:spacing w:after="0" w:line="240" w:lineRule="auto"/>
        <w:rPr>
          <w:rFonts w:ascii="Calibri" w:hAnsi="Calibri" w:cs="Calibri"/>
        </w:rPr>
      </w:pPr>
      <w:r w:rsidRPr="00DD7BD1">
        <w:rPr>
          <w:rFonts w:ascii="Calibri" w:hAnsi="Calibri" w:cs="Calibri"/>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DD7BD1" w:rsidRDefault="004134E7" w:rsidP="004134E7">
      <w:pPr>
        <w:pStyle w:val="Heading2"/>
        <w:spacing w:before="0" w:line="240" w:lineRule="auto"/>
        <w:rPr>
          <w:rFonts w:ascii="Calibri" w:hAnsi="Calibri" w:cs="Calibri"/>
          <w:color w:val="auto"/>
          <w:sz w:val="16"/>
          <w:szCs w:val="16"/>
        </w:rPr>
      </w:pPr>
    </w:p>
    <w:p w14:paraId="2578001A"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Exceptions</w:t>
      </w:r>
    </w:p>
    <w:p w14:paraId="07A89F38" w14:textId="77777777" w:rsidR="004134E7" w:rsidRPr="00DD7BD1" w:rsidRDefault="004134E7" w:rsidP="004134E7">
      <w:pPr>
        <w:spacing w:after="0" w:line="240" w:lineRule="auto"/>
        <w:rPr>
          <w:rFonts w:ascii="Calibri" w:hAnsi="Calibri" w:cs="Calibri"/>
        </w:rPr>
      </w:pPr>
      <w:r w:rsidRPr="00DD7BD1">
        <w:rPr>
          <w:rFonts w:ascii="Calibri" w:hAnsi="Calibri" w:cs="Calibri"/>
        </w:rPr>
        <w:t>The new law includes the following exceptions:</w:t>
      </w:r>
    </w:p>
    <w:p w14:paraId="6AF0E80B"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offer voluntary meetings or other communications regarding religious or political matters;</w:t>
      </w:r>
    </w:p>
    <w:p w14:paraId="3702D52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communicate the information that they are legally required to communicate or that is necessary for the employees to perform their jobs;</w:t>
      </w:r>
    </w:p>
    <w:p w14:paraId="02B7679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require employees to attend trainings intended to foster a civil and collaborative workplace or reduce or prevent workplace harassment or discrimination;</w:t>
      </w:r>
    </w:p>
    <w:p w14:paraId="510D2D4C"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DD7BD1" w:rsidRDefault="004134E7" w:rsidP="004134E7">
      <w:pPr>
        <w:pStyle w:val="Heading2"/>
        <w:spacing w:before="0" w:line="240" w:lineRule="auto"/>
        <w:rPr>
          <w:rFonts w:ascii="Calibri" w:hAnsi="Calibri" w:cs="Calibri"/>
          <w:color w:val="auto"/>
          <w:sz w:val="22"/>
          <w:szCs w:val="22"/>
        </w:rPr>
      </w:pPr>
    </w:p>
    <w:p w14:paraId="6411FC60" w14:textId="77777777" w:rsidR="004134E7" w:rsidRPr="00DD7BD1" w:rsidRDefault="004134E7" w:rsidP="004134E7">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5DCF12C0" w14:textId="3EB143D2"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6C0F4B2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DD7BD1" w:rsidRDefault="004134E7" w:rsidP="004134E7">
      <w:pPr>
        <w:spacing w:after="0" w:line="240" w:lineRule="auto"/>
        <w:rPr>
          <w:rFonts w:ascii="Calibri" w:hAnsi="Calibri" w:cs="Calibri"/>
          <w:sz w:val="16"/>
          <w:szCs w:val="16"/>
        </w:rPr>
      </w:pPr>
    </w:p>
    <w:p w14:paraId="5552FE99"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Expansion of Protected Classes</w:t>
      </w:r>
    </w:p>
    <w:p w14:paraId="6BFE1E21"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Effective Jan. 1, 2025, the list of protected classes will include an individual’s: </w:t>
      </w:r>
    </w:p>
    <w:p w14:paraId="5F2010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Reproductive health decisions</w:t>
      </w:r>
      <w:r w:rsidRPr="00DD7BD1">
        <w:rPr>
          <w:rFonts w:cs="Calibri"/>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Family responsibilities</w:t>
      </w:r>
      <w:r w:rsidRPr="00DD7BD1">
        <w:rPr>
          <w:rFonts w:cs="Calibri"/>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DD7BD1" w:rsidRDefault="004134E7" w:rsidP="004134E7">
      <w:pPr>
        <w:pStyle w:val="Bullet2"/>
        <w:spacing w:after="0" w:line="240" w:lineRule="auto"/>
        <w:ind w:left="0" w:firstLine="0"/>
        <w:rPr>
          <w:rFonts w:cs="Calibri"/>
          <w:color w:val="auto"/>
          <w:szCs w:val="22"/>
        </w:rPr>
      </w:pPr>
      <w:r w:rsidRPr="00DD7BD1">
        <w:rPr>
          <w:rFonts w:cs="Calibri"/>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Pr="00DD7BD1" w:rsidRDefault="004134E7" w:rsidP="004134E7">
      <w:pPr>
        <w:spacing w:after="0" w:line="240" w:lineRule="auto"/>
        <w:rPr>
          <w:rFonts w:ascii="Calibri" w:hAnsi="Calibri" w:cs="Calibri"/>
          <w:b/>
          <w:bCs/>
          <w:highlight w:val="lightGray"/>
        </w:rPr>
      </w:pPr>
    </w:p>
    <w:p w14:paraId="695D3179" w14:textId="77777777" w:rsidR="004134E7" w:rsidRPr="00DD7BD1" w:rsidRDefault="004134E7" w:rsidP="004134E7">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w:t>
      </w:r>
    </w:p>
    <w:p w14:paraId="373FE9EA"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29FD929F" w14:textId="5FEC8D5C"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7FEEA4B7"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enacted </w:t>
      </w:r>
      <w:hyperlink r:id="rId673"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1320136" w14:textId="77777777" w:rsidR="004134E7" w:rsidRPr="00DD7BD1" w:rsidRDefault="004134E7" w:rsidP="004134E7">
      <w:pPr>
        <w:spacing w:after="0" w:line="240" w:lineRule="auto"/>
        <w:rPr>
          <w:rFonts w:ascii="Calibri" w:hAnsi="Calibri" w:cs="Calibri"/>
          <w:sz w:val="16"/>
          <w:szCs w:val="16"/>
        </w:rPr>
      </w:pPr>
    </w:p>
    <w:p w14:paraId="76652A7D" w14:textId="77777777" w:rsidR="004134E7" w:rsidRPr="00DD7BD1" w:rsidRDefault="004134E7" w:rsidP="004134E7">
      <w:pPr>
        <w:pStyle w:val="BodyText"/>
        <w:spacing w:after="0"/>
        <w:rPr>
          <w:rFonts w:cs="Calibri"/>
          <w:b/>
          <w:bCs/>
          <w:color w:val="auto"/>
        </w:rPr>
      </w:pPr>
      <w:r w:rsidRPr="00DD7BD1">
        <w:rPr>
          <w:rFonts w:cs="Calibri"/>
          <w:b/>
          <w:bCs/>
          <w:color w:val="auto"/>
        </w:rPr>
        <w:t>Employment Certificates</w:t>
      </w:r>
    </w:p>
    <w:p w14:paraId="221BEE41" w14:textId="77777777" w:rsidR="004134E7" w:rsidRPr="00DD7BD1" w:rsidRDefault="004134E7" w:rsidP="004134E7">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249007C2" w14:textId="77777777" w:rsidR="004134E7" w:rsidRPr="00DD7BD1" w:rsidRDefault="004134E7" w:rsidP="004134E7">
      <w:pPr>
        <w:pStyle w:val="BodyText"/>
        <w:spacing w:after="0"/>
        <w:rPr>
          <w:rFonts w:cs="Calibri"/>
          <w:b/>
          <w:bCs/>
          <w:color w:val="auto"/>
        </w:rPr>
      </w:pPr>
      <w:r w:rsidRPr="00DD7BD1">
        <w:rPr>
          <w:rFonts w:cs="Calibri"/>
          <w:b/>
          <w:bCs/>
          <w:color w:val="auto"/>
        </w:rPr>
        <w:t>Supervision</w:t>
      </w:r>
    </w:p>
    <w:p w14:paraId="448676A4" w14:textId="77777777" w:rsidR="004134E7" w:rsidRPr="00DD7BD1" w:rsidRDefault="004134E7" w:rsidP="004134E7">
      <w:pPr>
        <w:pStyle w:val="BodyText"/>
        <w:rPr>
          <w:rFonts w:cs="Calibri"/>
          <w:color w:val="auto"/>
        </w:rPr>
      </w:pPr>
      <w:r w:rsidRPr="00DD7BD1">
        <w:rPr>
          <w:rFonts w:cs="Calibri"/>
          <w:color w:val="auto"/>
        </w:rPr>
        <w:t>The Act requires that all minors are supervised at all times by an adult of 21 years of age or older.</w:t>
      </w:r>
    </w:p>
    <w:p w14:paraId="75825142" w14:textId="77777777" w:rsidR="004134E7" w:rsidRPr="00DD7BD1" w:rsidRDefault="004134E7" w:rsidP="004134E7">
      <w:pPr>
        <w:pStyle w:val="BodyText"/>
        <w:spacing w:after="0"/>
        <w:rPr>
          <w:rFonts w:cs="Calibri"/>
          <w:b/>
          <w:bCs/>
          <w:color w:val="auto"/>
        </w:rPr>
      </w:pPr>
      <w:r w:rsidRPr="00DD7BD1">
        <w:rPr>
          <w:rFonts w:cs="Calibri"/>
          <w:b/>
          <w:bCs/>
          <w:color w:val="auto"/>
        </w:rPr>
        <w:t>Recordkeeping</w:t>
      </w:r>
    </w:p>
    <w:p w14:paraId="23744F75" w14:textId="77777777" w:rsidR="004134E7" w:rsidRPr="00DD7BD1" w:rsidRDefault="004134E7" w:rsidP="004134E7">
      <w:pPr>
        <w:pStyle w:val="BodyText"/>
        <w:rPr>
          <w:rFonts w:cs="Calibri"/>
          <w:color w:val="auto"/>
        </w:rPr>
      </w:pPr>
      <w:r w:rsidRPr="00DD7BD1">
        <w:rPr>
          <w:rFonts w:cs="Calibri"/>
          <w:color w:val="auto"/>
        </w:rPr>
        <w:t>Under the Act, employers must keep records that include the following for every minor employed:</w:t>
      </w:r>
    </w:p>
    <w:p w14:paraId="4019065C" w14:textId="77777777" w:rsidR="004134E7" w:rsidRPr="00DD7BD1" w:rsidRDefault="004134E7" w:rsidP="004134E7">
      <w:pPr>
        <w:pStyle w:val="Bullet"/>
        <w:rPr>
          <w:rFonts w:cs="Calibri"/>
          <w:color w:val="auto"/>
        </w:rPr>
      </w:pPr>
      <w:r w:rsidRPr="00DD7BD1">
        <w:rPr>
          <w:rFonts w:cs="Calibri"/>
          <w:color w:val="auto"/>
        </w:rPr>
        <w:t>The minor’s name, date of birth and place of residence;</w:t>
      </w:r>
    </w:p>
    <w:p w14:paraId="1B15BC82" w14:textId="77777777" w:rsidR="004134E7" w:rsidRPr="00DD7BD1" w:rsidRDefault="004134E7" w:rsidP="004134E7">
      <w:pPr>
        <w:pStyle w:val="Bullet"/>
        <w:rPr>
          <w:rFonts w:cs="Calibri"/>
          <w:color w:val="auto"/>
        </w:rPr>
      </w:pPr>
      <w:r w:rsidRPr="00DD7BD1">
        <w:rPr>
          <w:rFonts w:cs="Calibri"/>
          <w:color w:val="auto"/>
        </w:rPr>
        <w:t>Notice of intention to employ the minor; and</w:t>
      </w:r>
    </w:p>
    <w:p w14:paraId="2BED8CD6" w14:textId="77777777" w:rsidR="004134E7" w:rsidRPr="00DD7BD1" w:rsidRDefault="004134E7" w:rsidP="004134E7">
      <w:pPr>
        <w:pStyle w:val="Bullet"/>
        <w:rPr>
          <w:rFonts w:cs="Calibri"/>
          <w:color w:val="auto"/>
        </w:rPr>
      </w:pPr>
      <w:r w:rsidRPr="00DD7BD1">
        <w:rPr>
          <w:rFonts w:cs="Calibri"/>
          <w:color w:val="auto"/>
        </w:rPr>
        <w:t>The minor’s employment certificate.</w:t>
      </w:r>
    </w:p>
    <w:p w14:paraId="5340BDC4" w14:textId="77777777" w:rsidR="004134E7" w:rsidRPr="00DD7BD1" w:rsidRDefault="004134E7" w:rsidP="004134E7">
      <w:pPr>
        <w:pStyle w:val="BodyText"/>
        <w:spacing w:after="0" w:line="240" w:lineRule="auto"/>
        <w:rPr>
          <w:rFonts w:cs="Calibri"/>
          <w:color w:val="auto"/>
          <w:sz w:val="16"/>
          <w:szCs w:val="16"/>
        </w:rPr>
      </w:pPr>
    </w:p>
    <w:p w14:paraId="75BCE1BD" w14:textId="77777777" w:rsidR="004134E7" w:rsidRPr="00DD7BD1" w:rsidRDefault="004134E7" w:rsidP="004134E7">
      <w:pPr>
        <w:pStyle w:val="BodyText"/>
        <w:rPr>
          <w:rFonts w:cs="Calibri"/>
          <w:color w:val="auto"/>
        </w:rPr>
      </w:pPr>
      <w:r w:rsidRPr="00DD7BD1">
        <w:rPr>
          <w:rFonts w:cs="Calibri"/>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DD7BD1" w:rsidRDefault="004134E7" w:rsidP="004134E7">
      <w:pPr>
        <w:pStyle w:val="BodyText"/>
        <w:spacing w:after="0"/>
        <w:rPr>
          <w:rFonts w:cs="Calibri"/>
          <w:b/>
          <w:bCs/>
          <w:color w:val="auto"/>
        </w:rPr>
      </w:pPr>
      <w:r w:rsidRPr="00DD7BD1">
        <w:rPr>
          <w:rFonts w:cs="Calibri"/>
          <w:b/>
          <w:bCs/>
          <w:color w:val="auto"/>
        </w:rPr>
        <w:t>Posting Requirements</w:t>
      </w:r>
    </w:p>
    <w:p w14:paraId="5E1F7F19" w14:textId="77777777" w:rsidR="004134E7" w:rsidRPr="00DD7BD1" w:rsidRDefault="004134E7" w:rsidP="004134E7">
      <w:pPr>
        <w:spacing w:after="0" w:line="240" w:lineRule="auto"/>
        <w:rPr>
          <w:rFonts w:ascii="Calibri" w:hAnsi="Calibri" w:cs="Calibri"/>
        </w:rPr>
      </w:pPr>
      <w:r w:rsidRPr="00DD7BD1">
        <w:rPr>
          <w:rFonts w:ascii="Calibri" w:hAnsi="Calibri" w:cs="Calibri"/>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DD7BD1" w:rsidRDefault="004134E7" w:rsidP="004134E7">
      <w:pPr>
        <w:pStyle w:val="BodyText"/>
        <w:spacing w:after="0"/>
        <w:rPr>
          <w:rFonts w:cs="Calibri"/>
          <w:b/>
          <w:bCs/>
          <w:i/>
          <w:iCs/>
          <w:color w:val="auto"/>
          <w:sz w:val="16"/>
          <w:szCs w:val="16"/>
        </w:rPr>
      </w:pPr>
    </w:p>
    <w:p w14:paraId="4F64BCFC" w14:textId="77777777" w:rsidR="004134E7" w:rsidRPr="00DD7BD1" w:rsidRDefault="004134E7" w:rsidP="004134E7">
      <w:pPr>
        <w:pStyle w:val="BodyText"/>
        <w:spacing w:after="0"/>
        <w:rPr>
          <w:rFonts w:cs="Calibri"/>
          <w:b/>
          <w:bCs/>
          <w:color w:val="auto"/>
        </w:rPr>
      </w:pPr>
      <w:r w:rsidRPr="00DD7BD1">
        <w:rPr>
          <w:rFonts w:cs="Calibri"/>
          <w:b/>
          <w:bCs/>
          <w:color w:val="auto"/>
        </w:rPr>
        <w:t>Enforcement and Penalties</w:t>
      </w:r>
    </w:p>
    <w:p w14:paraId="66B2E20A" w14:textId="77777777" w:rsidR="004134E7" w:rsidRPr="00DD7BD1" w:rsidRDefault="004134E7" w:rsidP="004134E7">
      <w:pPr>
        <w:pStyle w:val="BodyText"/>
        <w:rPr>
          <w:rFonts w:cs="Calibri"/>
          <w:color w:val="auto"/>
        </w:rPr>
      </w:pPr>
      <w:r w:rsidRPr="00DD7BD1">
        <w:rPr>
          <w:rFonts w:cs="Calibri"/>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DD7BD1" w:rsidRDefault="004134E7" w:rsidP="004134E7">
      <w:pPr>
        <w:pStyle w:val="Bullet"/>
        <w:rPr>
          <w:rFonts w:cs="Calibri"/>
          <w:color w:val="auto"/>
        </w:rPr>
      </w:pPr>
      <w:r w:rsidRPr="00DD7BD1">
        <w:rPr>
          <w:rFonts w:cs="Calibri"/>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DD7BD1" w:rsidRDefault="004134E7" w:rsidP="004134E7">
      <w:pPr>
        <w:pStyle w:val="Bullet"/>
        <w:rPr>
          <w:rFonts w:cs="Calibri"/>
          <w:color w:val="auto"/>
        </w:rPr>
      </w:pPr>
      <w:r w:rsidRPr="00DD7BD1">
        <w:rPr>
          <w:rFonts w:cs="Calibri"/>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DD7BD1" w:rsidRDefault="004134E7" w:rsidP="004134E7">
      <w:pPr>
        <w:pStyle w:val="Bullet"/>
        <w:rPr>
          <w:rFonts w:cs="Calibri"/>
          <w:color w:val="auto"/>
        </w:rPr>
      </w:pPr>
      <w:r w:rsidRPr="00DD7BD1">
        <w:rPr>
          <w:rFonts w:cs="Calibri"/>
          <w:color w:val="auto"/>
        </w:rPr>
        <w:t>A penalty not exceeding $15,000 if an employer permits a minor to work in a restricted occupation;</w:t>
      </w:r>
    </w:p>
    <w:p w14:paraId="109C1B3C" w14:textId="77777777" w:rsidR="004134E7" w:rsidRPr="00DD7BD1" w:rsidRDefault="004134E7" w:rsidP="004134E7">
      <w:pPr>
        <w:pStyle w:val="Bullet"/>
        <w:rPr>
          <w:rFonts w:cs="Calibri"/>
          <w:color w:val="auto"/>
        </w:rPr>
      </w:pPr>
      <w:r w:rsidRPr="00DD7BD1">
        <w:rPr>
          <w:rFonts w:cs="Calibri"/>
          <w:color w:val="auto"/>
        </w:rPr>
        <w:t>A penalty not exceeding $500 if an employer fails to post or provide the required notice; and</w:t>
      </w:r>
    </w:p>
    <w:p w14:paraId="4FCD86B7" w14:textId="77777777" w:rsidR="004134E7" w:rsidRPr="00DD7BD1" w:rsidRDefault="004134E7" w:rsidP="004134E7">
      <w:pPr>
        <w:pStyle w:val="Bullet"/>
        <w:rPr>
          <w:rFonts w:cs="Calibri"/>
          <w:color w:val="auto"/>
        </w:rPr>
      </w:pPr>
      <w:r w:rsidRPr="00DD7BD1">
        <w:rPr>
          <w:rFonts w:cs="Calibri"/>
          <w:color w:val="auto"/>
        </w:rPr>
        <w:t>A penalty not exceeding $10,000 if an employer commits any other violation of the Act.</w:t>
      </w:r>
    </w:p>
    <w:p w14:paraId="1AB603FB" w14:textId="77777777" w:rsidR="004134E7" w:rsidRPr="00DD7BD1" w:rsidRDefault="004134E7" w:rsidP="004134E7">
      <w:pPr>
        <w:pStyle w:val="BodyText"/>
        <w:spacing w:after="0" w:line="240" w:lineRule="auto"/>
        <w:rPr>
          <w:rFonts w:cs="Calibri"/>
          <w:color w:val="auto"/>
          <w:sz w:val="16"/>
          <w:szCs w:val="16"/>
        </w:rPr>
      </w:pPr>
    </w:p>
    <w:p w14:paraId="53C3846E" w14:textId="77777777" w:rsidR="004134E7" w:rsidRPr="00DD7BD1" w:rsidRDefault="004134E7" w:rsidP="004134E7">
      <w:pPr>
        <w:pStyle w:val="BodyText"/>
        <w:rPr>
          <w:rFonts w:cs="Calibri"/>
          <w:color w:val="auto"/>
        </w:rPr>
      </w:pPr>
      <w:r w:rsidRPr="00DD7BD1">
        <w:rPr>
          <w:rFonts w:cs="Calibri"/>
          <w:color w:val="auto"/>
        </w:rPr>
        <w:t>All civil penalties are payable to the IDOL.</w:t>
      </w:r>
    </w:p>
    <w:p w14:paraId="0EBC5E69" w14:textId="77777777" w:rsidR="004134E7" w:rsidRPr="00DD7BD1" w:rsidRDefault="004134E7" w:rsidP="004134E7">
      <w:pPr>
        <w:pStyle w:val="BodyText"/>
        <w:rPr>
          <w:rFonts w:cs="Calibri"/>
          <w:color w:val="auto"/>
        </w:rPr>
      </w:pPr>
      <w:r w:rsidRPr="00DD7BD1">
        <w:rPr>
          <w:rFonts w:cs="Calibri"/>
          <w:color w:val="auto"/>
        </w:rPr>
        <w:t xml:space="preserve">To read/learn more, access the Illinois Child Labor Law webpages </w:t>
      </w:r>
      <w:hyperlink r:id="rId674" w:history="1">
        <w:r w:rsidRPr="00DD7BD1">
          <w:rPr>
            <w:rStyle w:val="Hyperlink"/>
            <w:rFonts w:cs="Calibri"/>
          </w:rPr>
          <w:t>HERE</w:t>
        </w:r>
      </w:hyperlink>
    </w:p>
    <w:p w14:paraId="6B7E8B94" w14:textId="3BE1C919"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70BD97C3"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w:t>
      </w:r>
    </w:p>
    <w:p w14:paraId="3473FC5E" w14:textId="77777777" w:rsidR="004134E7" w:rsidRPr="00DD7BD1" w:rsidRDefault="004134E7" w:rsidP="004134E7">
      <w:pPr>
        <w:spacing w:after="0" w:line="240" w:lineRule="auto"/>
        <w:rPr>
          <w:rFonts w:ascii="Calibri" w:hAnsi="Calibri" w:cs="Calibri"/>
          <w:sz w:val="16"/>
          <w:szCs w:val="16"/>
        </w:rPr>
      </w:pPr>
    </w:p>
    <w:p w14:paraId="60A5649C"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Right to Inspect Pay Stubs</w:t>
      </w:r>
    </w:p>
    <w:p w14:paraId="441192EF" w14:textId="77777777" w:rsidR="004134E7" w:rsidRPr="00DD7BD1" w:rsidRDefault="004134E7" w:rsidP="004134E7">
      <w:pPr>
        <w:pStyle w:val="BodyText"/>
        <w:rPr>
          <w:rFonts w:cs="Calibri"/>
          <w:color w:val="auto"/>
        </w:rPr>
      </w:pPr>
      <w:r w:rsidRPr="00DD7BD1">
        <w:rPr>
          <w:rFonts w:cs="Calibri"/>
          <w:color w:val="auto"/>
        </w:rPr>
        <w:t xml:space="preserve">The amendments grant current and </w:t>
      </w:r>
      <w:r w:rsidRPr="00DD7BD1">
        <w:rPr>
          <w:rFonts w:cs="Calibri"/>
          <w:i/>
          <w:iCs/>
          <w:color w:val="auto"/>
          <w:u w:val="single"/>
        </w:rPr>
        <w:t>former employees</w:t>
      </w:r>
      <w:r w:rsidRPr="00DD7BD1">
        <w:rPr>
          <w:rFonts w:cs="Calibri"/>
          <w:color w:val="auto"/>
        </w:rPr>
        <w:t xml:space="preserve"> the right to inspect their pay stubs. Employers must provide current and former employees copies of their pay stubs </w:t>
      </w:r>
      <w:r w:rsidRPr="00DD7BD1">
        <w:rPr>
          <w:rFonts w:cs="Calibri"/>
          <w:color w:val="auto"/>
          <w:u w:val="single"/>
        </w:rPr>
        <w:t>upon request</w:t>
      </w:r>
      <w:r w:rsidRPr="00DD7BD1">
        <w:rPr>
          <w:rFonts w:cs="Calibri"/>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DD7BD1" w:rsidRDefault="004134E7" w:rsidP="004134E7">
      <w:pPr>
        <w:pStyle w:val="BodyText"/>
        <w:rPr>
          <w:rFonts w:cs="Calibri"/>
          <w:color w:val="auto"/>
        </w:rPr>
      </w:pPr>
      <w:r w:rsidRPr="00DD7BD1">
        <w:rPr>
          <w:rFonts w:cs="Calibri"/>
          <w:color w:val="auto"/>
        </w:rPr>
        <w:t xml:space="preserve">Employers must provide former employees with copies of the pay stubs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DD7BD1" w:rsidRDefault="004134E7" w:rsidP="004134E7">
      <w:pPr>
        <w:pStyle w:val="BodyText"/>
        <w:spacing w:after="0" w:line="240" w:lineRule="auto"/>
        <w:rPr>
          <w:rFonts w:cs="Calibri"/>
          <w:color w:val="auto"/>
        </w:rPr>
      </w:pPr>
      <w:r w:rsidRPr="00DD7BD1">
        <w:rPr>
          <w:rFonts w:cs="Calibri"/>
          <w:color w:val="auto"/>
        </w:rPr>
        <w:t>To request copies of their pay stubs, current or former employees must contact a person responsible for maintaining an employer’s payroll, including:</w:t>
      </w:r>
    </w:p>
    <w:p w14:paraId="3E6AD81F" w14:textId="77777777" w:rsidR="004134E7" w:rsidRPr="00DD7BD1" w:rsidRDefault="004134E7" w:rsidP="004134E7">
      <w:pPr>
        <w:pStyle w:val="Bullet"/>
        <w:spacing w:line="240" w:lineRule="auto"/>
        <w:rPr>
          <w:rFonts w:cs="Calibri"/>
          <w:color w:val="auto"/>
        </w:rPr>
      </w:pPr>
      <w:r w:rsidRPr="00DD7BD1">
        <w:rPr>
          <w:rFonts w:cs="Calibri"/>
          <w:color w:val="auto"/>
        </w:rPr>
        <w:t>The HR department;</w:t>
      </w:r>
    </w:p>
    <w:p w14:paraId="23F1FF6B" w14:textId="77777777" w:rsidR="004134E7" w:rsidRPr="00DD7BD1" w:rsidRDefault="004134E7" w:rsidP="004134E7">
      <w:pPr>
        <w:pStyle w:val="Bullet"/>
        <w:spacing w:line="240" w:lineRule="auto"/>
        <w:rPr>
          <w:rFonts w:cs="Calibri"/>
          <w:color w:val="auto"/>
        </w:rPr>
      </w:pPr>
      <w:r w:rsidRPr="00DD7BD1">
        <w:rPr>
          <w:rFonts w:cs="Calibri"/>
          <w:color w:val="auto"/>
        </w:rPr>
        <w:t xml:space="preserve">The payroll department; </w:t>
      </w:r>
    </w:p>
    <w:p w14:paraId="15E083C4" w14:textId="77777777" w:rsidR="004134E7" w:rsidRPr="00DD7BD1" w:rsidRDefault="004134E7" w:rsidP="004134E7">
      <w:pPr>
        <w:pStyle w:val="Bullet"/>
        <w:spacing w:line="240" w:lineRule="auto"/>
        <w:rPr>
          <w:rFonts w:cs="Calibri"/>
          <w:color w:val="auto"/>
        </w:rPr>
      </w:pPr>
      <w:r w:rsidRPr="00DD7BD1">
        <w:rPr>
          <w:rFonts w:cs="Calibri"/>
          <w:color w:val="auto"/>
        </w:rPr>
        <w:t>The employee’s supervisor or department manager; or</w:t>
      </w:r>
    </w:p>
    <w:p w14:paraId="612BAC26" w14:textId="77777777" w:rsidR="004134E7" w:rsidRPr="00DD7BD1" w:rsidRDefault="004134E7" w:rsidP="004134E7">
      <w:pPr>
        <w:pStyle w:val="Bullet"/>
        <w:spacing w:line="240" w:lineRule="auto"/>
        <w:rPr>
          <w:rFonts w:cs="Calibri"/>
          <w:color w:val="auto"/>
        </w:rPr>
      </w:pPr>
      <w:r w:rsidRPr="00DD7BD1">
        <w:rPr>
          <w:rFonts w:cs="Calibri"/>
          <w:color w:val="auto"/>
        </w:rPr>
        <w:t>An individual designated in the employer’s written policy.</w:t>
      </w:r>
    </w:p>
    <w:p w14:paraId="6378259D" w14:textId="77777777" w:rsidR="004134E7" w:rsidRPr="00DD7BD1" w:rsidRDefault="004134E7" w:rsidP="004134E7">
      <w:pPr>
        <w:spacing w:after="0" w:line="240" w:lineRule="auto"/>
        <w:rPr>
          <w:rFonts w:ascii="Calibri" w:hAnsi="Calibri" w:cs="Calibri"/>
          <w:sz w:val="16"/>
          <w:szCs w:val="16"/>
        </w:rPr>
      </w:pPr>
    </w:p>
    <w:p w14:paraId="1347E2E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Pay Stub Requirements</w:t>
      </w:r>
    </w:p>
    <w:p w14:paraId="47D7D2B1" w14:textId="77777777" w:rsidR="004134E7" w:rsidRPr="00DD7BD1" w:rsidRDefault="004134E7" w:rsidP="004134E7">
      <w:pPr>
        <w:pStyle w:val="BodyText"/>
        <w:spacing w:after="0" w:line="240" w:lineRule="auto"/>
        <w:rPr>
          <w:rFonts w:cs="Calibri"/>
          <w:color w:val="auto"/>
        </w:rPr>
      </w:pPr>
      <w:r w:rsidRPr="00DD7BD1">
        <w:rPr>
          <w:rFonts w:cs="Calibri"/>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DD7BD1" w:rsidRDefault="004134E7" w:rsidP="004134E7">
      <w:pPr>
        <w:pStyle w:val="Bullet"/>
        <w:spacing w:line="240" w:lineRule="auto"/>
        <w:rPr>
          <w:rFonts w:cs="Calibri"/>
          <w:color w:val="auto"/>
        </w:rPr>
      </w:pPr>
      <w:r w:rsidRPr="00DD7BD1">
        <w:rPr>
          <w:rFonts w:cs="Calibri"/>
          <w:color w:val="auto"/>
        </w:rPr>
        <w:t>Hours worked;</w:t>
      </w:r>
    </w:p>
    <w:p w14:paraId="3AD67301" w14:textId="77777777" w:rsidR="004134E7" w:rsidRPr="00DD7BD1" w:rsidRDefault="004134E7" w:rsidP="004134E7">
      <w:pPr>
        <w:pStyle w:val="Bullet"/>
        <w:spacing w:line="240" w:lineRule="auto"/>
        <w:rPr>
          <w:rFonts w:cs="Calibri"/>
          <w:color w:val="auto"/>
        </w:rPr>
      </w:pPr>
      <w:r w:rsidRPr="00DD7BD1">
        <w:rPr>
          <w:rFonts w:cs="Calibri"/>
          <w:color w:val="auto"/>
        </w:rPr>
        <w:t>Rate of pay;</w:t>
      </w:r>
    </w:p>
    <w:p w14:paraId="5006BF56" w14:textId="77777777" w:rsidR="004134E7" w:rsidRPr="00DD7BD1" w:rsidRDefault="004134E7" w:rsidP="004134E7">
      <w:pPr>
        <w:pStyle w:val="Bullet"/>
        <w:spacing w:line="240" w:lineRule="auto"/>
        <w:rPr>
          <w:rFonts w:cs="Calibri"/>
          <w:color w:val="auto"/>
        </w:rPr>
      </w:pPr>
      <w:r w:rsidRPr="00DD7BD1">
        <w:rPr>
          <w:rFonts w:cs="Calibri"/>
          <w:color w:val="auto"/>
        </w:rPr>
        <w:t>Overtime pay;</w:t>
      </w:r>
    </w:p>
    <w:p w14:paraId="2DE71525" w14:textId="77777777" w:rsidR="004134E7" w:rsidRPr="00DD7BD1" w:rsidRDefault="004134E7" w:rsidP="004134E7">
      <w:pPr>
        <w:pStyle w:val="Bullet"/>
        <w:spacing w:line="240" w:lineRule="auto"/>
        <w:rPr>
          <w:rFonts w:cs="Calibri"/>
          <w:color w:val="auto"/>
        </w:rPr>
      </w:pPr>
      <w:r w:rsidRPr="00DD7BD1">
        <w:rPr>
          <w:rFonts w:cs="Calibri"/>
          <w:color w:val="auto"/>
        </w:rPr>
        <w:t xml:space="preserve">Overtime hours worked; </w:t>
      </w:r>
    </w:p>
    <w:p w14:paraId="1522EA2F" w14:textId="77777777" w:rsidR="004134E7" w:rsidRPr="00DD7BD1" w:rsidRDefault="004134E7" w:rsidP="004134E7">
      <w:pPr>
        <w:pStyle w:val="Bullet"/>
        <w:spacing w:line="240" w:lineRule="auto"/>
        <w:rPr>
          <w:rFonts w:cs="Calibri"/>
          <w:color w:val="auto"/>
        </w:rPr>
      </w:pPr>
      <w:r w:rsidRPr="00DD7BD1">
        <w:rPr>
          <w:rFonts w:cs="Calibri"/>
          <w:color w:val="auto"/>
        </w:rPr>
        <w:t>Gross wages earned;</w:t>
      </w:r>
    </w:p>
    <w:p w14:paraId="777EDA52" w14:textId="77777777" w:rsidR="004134E7" w:rsidRPr="00DD7BD1" w:rsidRDefault="004134E7" w:rsidP="004134E7">
      <w:pPr>
        <w:pStyle w:val="Bullet"/>
        <w:spacing w:line="240" w:lineRule="auto"/>
        <w:rPr>
          <w:rFonts w:cs="Calibri"/>
          <w:color w:val="auto"/>
        </w:rPr>
      </w:pPr>
      <w:r w:rsidRPr="00DD7BD1">
        <w:rPr>
          <w:rFonts w:cs="Calibri"/>
          <w:color w:val="auto"/>
        </w:rPr>
        <w:t>Deductions from an employee’s wages;</w:t>
      </w:r>
    </w:p>
    <w:p w14:paraId="588A8668" w14:textId="77777777" w:rsidR="004134E7" w:rsidRPr="00DD7BD1" w:rsidRDefault="004134E7" w:rsidP="004134E7">
      <w:pPr>
        <w:pStyle w:val="Bullet"/>
        <w:spacing w:line="240" w:lineRule="auto"/>
        <w:rPr>
          <w:rFonts w:cs="Calibri"/>
          <w:color w:val="auto"/>
        </w:rPr>
      </w:pPr>
      <w:r w:rsidRPr="00DD7BD1">
        <w:rPr>
          <w:rFonts w:cs="Calibri"/>
          <w:color w:val="auto"/>
        </w:rPr>
        <w:t>Total wages year to date; and</w:t>
      </w:r>
    </w:p>
    <w:p w14:paraId="55531F1E" w14:textId="77777777" w:rsidR="004134E7" w:rsidRPr="00DD7BD1" w:rsidRDefault="004134E7" w:rsidP="004134E7">
      <w:pPr>
        <w:pStyle w:val="Bullet"/>
        <w:spacing w:line="240" w:lineRule="auto"/>
        <w:rPr>
          <w:rFonts w:cs="Calibri"/>
          <w:color w:val="auto"/>
        </w:rPr>
      </w:pPr>
      <w:r w:rsidRPr="00DD7BD1">
        <w:rPr>
          <w:rFonts w:cs="Calibri"/>
          <w:color w:val="auto"/>
        </w:rPr>
        <w:t>Total deductions year to date.</w:t>
      </w:r>
    </w:p>
    <w:p w14:paraId="70DDABD8" w14:textId="77777777" w:rsidR="004134E7" w:rsidRPr="00DD7BD1" w:rsidRDefault="004134E7" w:rsidP="004134E7">
      <w:pPr>
        <w:pStyle w:val="BodyText"/>
        <w:spacing w:after="0" w:line="240" w:lineRule="auto"/>
        <w:rPr>
          <w:rFonts w:cs="Calibri"/>
          <w:color w:val="auto"/>
          <w:sz w:val="16"/>
          <w:szCs w:val="16"/>
        </w:rPr>
      </w:pPr>
    </w:p>
    <w:p w14:paraId="03167788"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Recordkeeping</w:t>
      </w:r>
    </w:p>
    <w:p w14:paraId="0FF44BD7" w14:textId="77777777" w:rsidR="004134E7" w:rsidRPr="00DD7BD1" w:rsidRDefault="004134E7" w:rsidP="004134E7">
      <w:pPr>
        <w:pStyle w:val="BodyText"/>
        <w:rPr>
          <w:rFonts w:cs="Calibri"/>
          <w:color w:val="auto"/>
        </w:rPr>
      </w:pPr>
      <w:r w:rsidRPr="00DD7BD1">
        <w:rPr>
          <w:rFonts w:cs="Calibri"/>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Penalties</w:t>
      </w:r>
    </w:p>
    <w:p w14:paraId="4202CDE7" w14:textId="7D0E74E8" w:rsidR="004134E7" w:rsidRPr="00DD7BD1" w:rsidRDefault="004134E7" w:rsidP="004134E7">
      <w:pPr>
        <w:pStyle w:val="BodyText"/>
        <w:rPr>
          <w:rFonts w:cs="Calibri"/>
          <w:color w:val="auto"/>
        </w:rPr>
      </w:pPr>
      <w:r w:rsidRPr="00DD7BD1">
        <w:rPr>
          <w:rFonts w:cs="Calibri"/>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AI Employment Law – </w:t>
      </w:r>
      <w:r w:rsidRPr="00DD7BD1">
        <w:rPr>
          <w:rFonts w:ascii="Calibri" w:hAnsi="Calibri" w:cs="Calibri"/>
          <w:b/>
          <w:bCs/>
          <w:color w:val="C00000"/>
          <w:sz w:val="28"/>
          <w:szCs w:val="28"/>
          <w:shd w:val="clear" w:color="auto" w:fill="FFFFFF"/>
          <w:lang w:val="en"/>
        </w:rPr>
        <w:t>Jan 1, 202</w:t>
      </w:r>
      <w:r w:rsidRPr="00DD7BD1">
        <w:rPr>
          <w:rFonts w:ascii="Calibri" w:hAnsi="Calibri" w:cs="Calibri"/>
          <w:b/>
          <w:bCs/>
          <w:color w:val="C00000"/>
          <w:sz w:val="28"/>
          <w:szCs w:val="28"/>
          <w:u w:val="single"/>
          <w:shd w:val="clear" w:color="auto" w:fill="FFFFFF"/>
          <w:lang w:val="en"/>
        </w:rPr>
        <w:t>6</w:t>
      </w:r>
    </w:p>
    <w:p w14:paraId="3FCD5A3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Aug. 9, 2024, Illinois enacted an </w:t>
      </w:r>
      <w:hyperlink r:id="rId675" w:history="1">
        <w:r w:rsidRPr="00DD7BD1">
          <w:rPr>
            <w:rStyle w:val="Hyperlink"/>
            <w:rFonts w:ascii="Calibri" w:hAnsi="Calibri" w:cs="Calibri"/>
          </w:rPr>
          <w:t>amendment</w:t>
        </w:r>
      </w:hyperlink>
      <w:r w:rsidRPr="00DD7BD1">
        <w:rPr>
          <w:rFonts w:ascii="Calibri" w:hAnsi="Calibri" w:cs="Calibri"/>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DD7BD1">
        <w:rPr>
          <w:rFonts w:ascii="Calibri" w:hAnsi="Calibri" w:cs="Calibri"/>
          <w:b/>
          <w:bCs/>
        </w:rPr>
        <w:t>Jan. 1, 2026</w:t>
      </w:r>
      <w:r w:rsidRPr="00DD7BD1">
        <w:rPr>
          <w:rFonts w:ascii="Calibri" w:hAnsi="Calibri" w:cs="Calibri"/>
        </w:rPr>
        <w:t>.</w:t>
      </w:r>
    </w:p>
    <w:p w14:paraId="440A3F47" w14:textId="77777777" w:rsidR="001A2C87" w:rsidRPr="00DD7BD1" w:rsidRDefault="001A2C87" w:rsidP="001A2C87">
      <w:pPr>
        <w:spacing w:after="0" w:line="240" w:lineRule="auto"/>
        <w:rPr>
          <w:rFonts w:ascii="Calibri" w:hAnsi="Calibri" w:cs="Calibri"/>
          <w:sz w:val="16"/>
          <w:szCs w:val="16"/>
        </w:rPr>
      </w:pPr>
    </w:p>
    <w:p w14:paraId="582A5E15"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The law prohibits employers from using AI that results in the discrimination of employees on the basis of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DD7BD1" w:rsidRDefault="001A2C87" w:rsidP="001A2C87">
      <w:pPr>
        <w:spacing w:after="0" w:line="240" w:lineRule="auto"/>
        <w:rPr>
          <w:rFonts w:ascii="Calibri" w:hAnsi="Calibri" w:cs="Calibri"/>
        </w:rPr>
      </w:pPr>
      <w:r w:rsidRPr="00DD7BD1">
        <w:rPr>
          <w:rFonts w:ascii="Calibri" w:hAnsi="Calibri" w:cs="Calibri"/>
        </w:rPr>
        <w:t>Under the law, “</w:t>
      </w:r>
      <w:r w:rsidRPr="00DD7BD1">
        <w:rPr>
          <w:rFonts w:ascii="Calibri" w:hAnsi="Calibri" w:cs="Calibri"/>
          <w:b/>
          <w:bCs/>
        </w:rPr>
        <w:t>AI</w:t>
      </w:r>
      <w:r w:rsidRPr="00DD7BD1">
        <w:rPr>
          <w:rFonts w:ascii="Calibri" w:hAnsi="Calibri" w:cs="Calibri"/>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DD7BD1" w:rsidRDefault="001A2C87" w:rsidP="001A2C87">
      <w:pPr>
        <w:spacing w:after="0" w:line="240" w:lineRule="auto"/>
        <w:rPr>
          <w:rFonts w:ascii="Calibri" w:hAnsi="Calibri" w:cs="Calibri"/>
          <w:sz w:val="16"/>
          <w:szCs w:val="16"/>
        </w:rPr>
      </w:pPr>
    </w:p>
    <w:p w14:paraId="77E307F1" w14:textId="77777777" w:rsidR="001A2C87" w:rsidRPr="00DD7BD1" w:rsidRDefault="001A2C87" w:rsidP="001A2C87">
      <w:pPr>
        <w:spacing w:after="0" w:line="240" w:lineRule="auto"/>
        <w:rPr>
          <w:rFonts w:ascii="Calibri" w:hAnsi="Calibri" w:cs="Calibri"/>
        </w:rPr>
      </w:pPr>
      <w:r w:rsidRPr="00DD7BD1">
        <w:rPr>
          <w:rFonts w:ascii="Calibri" w:hAnsi="Calibri" w:cs="Calibri"/>
        </w:rPr>
        <w:t>More to come closer to the effective date which is more than a year away.</w:t>
      </w:r>
    </w:p>
    <w:p w14:paraId="0CF92DBB" w14:textId="77777777" w:rsidR="001A2C87" w:rsidRPr="00DD7BD1" w:rsidRDefault="001A2C87" w:rsidP="00ED58D7">
      <w:pPr>
        <w:spacing w:after="0" w:line="240" w:lineRule="auto"/>
        <w:jc w:val="center"/>
        <w:rPr>
          <w:rFonts w:ascii="Calibri" w:hAnsi="Calibri" w:cs="Calibri"/>
          <w:b/>
          <w:bCs/>
          <w:shd w:val="clear" w:color="auto" w:fill="FFFFFF"/>
          <w:lang w:val="en"/>
        </w:rPr>
      </w:pPr>
    </w:p>
    <w:p w14:paraId="6D40F939" w14:textId="4C7A5AC6" w:rsidR="00ED58D7" w:rsidRPr="00DD7BD1" w:rsidRDefault="00ED58D7" w:rsidP="00ED58D7">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Biometric Information Privacy Act –</w:t>
      </w:r>
      <w:r w:rsidRPr="00DD7BD1">
        <w:rPr>
          <w:rFonts w:ascii="Calibri" w:hAnsi="Calibri" w:cs="Calibri"/>
          <w:b/>
          <w:bCs/>
          <w:color w:val="C00000"/>
          <w:sz w:val="28"/>
          <w:szCs w:val="28"/>
          <w:shd w:val="clear" w:color="auto" w:fill="FFFFFF"/>
          <w:lang w:val="en"/>
        </w:rPr>
        <w:t xml:space="preserve"> Aug 2024</w:t>
      </w:r>
    </w:p>
    <w:p w14:paraId="70A5FAF6" w14:textId="77777777" w:rsidR="00ED58D7" w:rsidRPr="00DD7BD1" w:rsidRDefault="00ED58D7" w:rsidP="00ED58D7">
      <w:pPr>
        <w:rPr>
          <w:rFonts w:ascii="Calibri" w:hAnsi="Calibri" w:cs="Calibri"/>
        </w:rPr>
      </w:pPr>
      <w:r w:rsidRPr="00DD7BD1">
        <w:rPr>
          <w:rFonts w:ascii="Calibri" w:hAnsi="Calibri" w:cs="Calibri"/>
        </w:rPr>
        <w:t xml:space="preserve">On Aug. 2, 2024, Illinois enacted </w:t>
      </w:r>
      <w:hyperlink r:id="rId676" w:history="1">
        <w:r w:rsidRPr="00DD7BD1">
          <w:rPr>
            <w:rStyle w:val="Hyperlink"/>
            <w:rFonts w:ascii="Calibri" w:hAnsi="Calibri" w:cs="Calibri"/>
          </w:rPr>
          <w:t>Senate Bill (SB) 2979</w:t>
        </w:r>
      </w:hyperlink>
      <w:r w:rsidRPr="00DD7BD1">
        <w:rPr>
          <w:rFonts w:ascii="Calibri" w:hAnsi="Calibri" w:cs="Calibri"/>
        </w:rPr>
        <w:t xml:space="preserve">, which amends the Illinois Biometric Information Privacy Act (BIPA). SB 2979 </w:t>
      </w:r>
      <w:r w:rsidRPr="00DD7BD1">
        <w:rPr>
          <w:rFonts w:ascii="Calibri" w:hAnsi="Calibri" w:cs="Calibri"/>
          <w:u w:val="single"/>
        </w:rPr>
        <w:t>limits potential statutory damage awards under BIPA and allows private entities to obtain consent from individuals for the collection, use, disclosure and storage of their biometric information through electronic signature</w:t>
      </w:r>
      <w:r w:rsidRPr="00DD7BD1">
        <w:rPr>
          <w:rFonts w:ascii="Calibri" w:hAnsi="Calibri" w:cs="Calibri"/>
        </w:rPr>
        <w:t xml:space="preserve">. The amendments to BIPA went into effect immediately on Aug. 2, 2024. </w:t>
      </w:r>
    </w:p>
    <w:p w14:paraId="2A99A7EE" w14:textId="77777777" w:rsidR="00ED58D7" w:rsidRPr="00DD7BD1" w:rsidRDefault="00ED58D7" w:rsidP="00ED58D7">
      <w:pPr>
        <w:rPr>
          <w:rFonts w:ascii="Calibri" w:hAnsi="Calibri" w:cs="Calibri"/>
        </w:rPr>
      </w:pPr>
      <w:r w:rsidRPr="00DD7BD1">
        <w:rPr>
          <w:rFonts w:ascii="Calibri" w:hAnsi="Calibri" w:cs="Calibri"/>
        </w:rPr>
        <w:t xml:space="preserve">SB 2979 effectively overrules the Illinois Supreme Court’s decision in </w:t>
      </w:r>
      <w:r w:rsidRPr="00DD7BD1">
        <w:rPr>
          <w:rFonts w:ascii="Calibri" w:hAnsi="Calibri" w:cs="Calibri"/>
          <w:i/>
          <w:iCs/>
        </w:rPr>
        <w:t>Cothron v. White Castle System</w:t>
      </w:r>
      <w:r w:rsidRPr="00DD7BD1">
        <w:rPr>
          <w:rFonts w:ascii="Calibri" w:hAnsi="Calibri" w:cs="Calibri"/>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Pr="00DD7BD1" w:rsidRDefault="00ED58D7" w:rsidP="00ED58D7">
      <w:pPr>
        <w:spacing w:after="0" w:line="240" w:lineRule="auto"/>
        <w:rPr>
          <w:rFonts w:ascii="Calibri" w:hAnsi="Calibri" w:cs="Calibri"/>
        </w:rPr>
      </w:pPr>
      <w:r w:rsidRPr="00DD7BD1">
        <w:rPr>
          <w:rFonts w:ascii="Calibri" w:hAnsi="Calibri" w:cs="Calibri"/>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r w:rsidRPr="00DD7BD1">
        <w:rPr>
          <w:rFonts w:ascii="Calibri" w:hAnsi="Calibri" w:cs="Calibri"/>
          <w:b/>
          <w:bCs/>
          <w:color w:val="2E74B5" w:themeColor="accent5" w:themeShade="BF"/>
          <w:sz w:val="28"/>
          <w:szCs w:val="28"/>
          <w:shd w:val="clear" w:color="auto" w:fill="FFFFFF"/>
          <w:lang w:val="en"/>
        </w:rPr>
        <w:tab/>
      </w:r>
    </w:p>
    <w:p w14:paraId="130A697E" w14:textId="08D6ED20" w:rsidR="001C5F42" w:rsidRPr="00DD7BD1" w:rsidRDefault="001C5F42" w:rsidP="001C5F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Freelance Worker Protection Act – </w:t>
      </w:r>
      <w:r w:rsidRPr="00DD7BD1">
        <w:rPr>
          <w:rFonts w:ascii="Calibri" w:hAnsi="Calibri" w:cs="Calibri"/>
          <w:b/>
          <w:bCs/>
          <w:color w:val="C00000"/>
          <w:sz w:val="28"/>
          <w:szCs w:val="28"/>
          <w:shd w:val="clear" w:color="auto" w:fill="FFFFFF"/>
          <w:lang w:val="en"/>
        </w:rPr>
        <w:t>July 1, 2024</w:t>
      </w:r>
    </w:p>
    <w:p w14:paraId="117DC33E"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DD7BD1" w:rsidRDefault="001C5F42" w:rsidP="001C5F42">
      <w:pPr>
        <w:spacing w:after="0" w:line="240" w:lineRule="auto"/>
        <w:rPr>
          <w:rFonts w:ascii="Calibri" w:hAnsi="Calibri" w:cs="Calibri"/>
          <w:shd w:val="clear" w:color="auto" w:fill="FFFFFF"/>
        </w:rPr>
      </w:pPr>
    </w:p>
    <w:p w14:paraId="4ACEAC01"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freelance </w:t>
      </w:r>
      <w:r w:rsidRPr="00DD7BD1">
        <w:rPr>
          <w:rFonts w:ascii="Calibri" w:hAnsi="Calibri" w:cs="Calibri"/>
          <w:b/>
          <w:bCs/>
          <w:shd w:val="clear" w:color="auto" w:fill="FFFFFF"/>
        </w:rPr>
        <w:t>workers are entitled to</w:t>
      </w:r>
      <w:r w:rsidRPr="00DD7BD1">
        <w:rPr>
          <w:rFonts w:ascii="Calibri" w:hAnsi="Calibri" w:cs="Calibri"/>
          <w:shd w:val="clear" w:color="auto" w:fill="FFFFFF"/>
        </w:rPr>
        <w:t xml:space="preserve"> all of the following: </w:t>
      </w:r>
    </w:p>
    <w:p w14:paraId="75A9772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A written contract (see templates below) that includes:  </w:t>
      </w:r>
    </w:p>
    <w:p w14:paraId="014E113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Name and contact information of both the hiring entity and freelance worker </w:t>
      </w:r>
    </w:p>
    <w:p w14:paraId="2AF7BF1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Itemization of products and services </w:t>
      </w:r>
    </w:p>
    <w:p w14:paraId="7D6B2AE6"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Rate and method compensation </w:t>
      </w:r>
    </w:p>
    <w:p w14:paraId="1359B8D3"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 of compensation due </w:t>
      </w:r>
    </w:p>
    <w:p w14:paraId="74142AE0"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Dates of services to be provided </w:t>
      </w:r>
    </w:p>
    <w:p w14:paraId="44BDC45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Protection from retaliation and/or other negative action for exercising rights under the FWPA </w:t>
      </w:r>
    </w:p>
    <w:p w14:paraId="41A9F846" w14:textId="77777777" w:rsidR="001C5F42" w:rsidRPr="00DD7BD1" w:rsidRDefault="001C5F42" w:rsidP="001C5F42">
      <w:pPr>
        <w:spacing w:after="0" w:line="240" w:lineRule="auto"/>
        <w:rPr>
          <w:rFonts w:ascii="Calibri" w:hAnsi="Calibri" w:cs="Calibri"/>
          <w:shd w:val="clear" w:color="auto" w:fill="FFFFFF"/>
        </w:rPr>
      </w:pPr>
    </w:p>
    <w:p w14:paraId="30A66455"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Of note: The law only applies to contracts taking effect </w:t>
      </w:r>
      <w:r w:rsidRPr="00DD7BD1">
        <w:rPr>
          <w:rFonts w:ascii="Calibri" w:hAnsi="Calibri" w:cs="Calibri"/>
          <w:b/>
          <w:bCs/>
          <w:shd w:val="clear" w:color="auto" w:fill="FFFFFF"/>
        </w:rPr>
        <w:t>after July 1, 2024</w:t>
      </w:r>
      <w:r w:rsidRPr="00DD7BD1">
        <w:rPr>
          <w:rFonts w:ascii="Calibri" w:hAnsi="Calibri" w:cs="Calibri"/>
          <w:shd w:val="clear" w:color="auto" w:fill="FFFFFF"/>
        </w:rPr>
        <w:t xml:space="preserve">.  Illinois provides See model contracts on their sate website </w:t>
      </w:r>
      <w:hyperlink r:id="rId677"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access the State’s </w:t>
      </w:r>
      <w:hyperlink r:id="rId678" w:tgtFrame="_blank" w:history="1">
        <w:r w:rsidRPr="00DD7BD1">
          <w:rPr>
            <w:rStyle w:val="Hyperlink"/>
            <w:rFonts w:ascii="Calibri" w:hAnsi="Calibri" w:cs="Calibri"/>
            <w:shd w:val="clear" w:color="auto" w:fill="FFFFFF"/>
          </w:rPr>
          <w:t>Frequently Asked Questions</w:t>
        </w:r>
      </w:hyperlink>
    </w:p>
    <w:p w14:paraId="7BC36BC5" w14:textId="77777777" w:rsidR="001C5F42"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p>
    <w:p w14:paraId="1D5FDF09" w14:textId="5A1FC3D2"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01FC0C7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p>
    <w:p w14:paraId="3D7669C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Chicago</w:t>
      </w:r>
      <w:r w:rsidRPr="00DD7BD1">
        <w:rPr>
          <w:rFonts w:ascii="Calibri" w:hAnsi="Calibri" w:cs="Calibri"/>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Cook County</w:t>
      </w:r>
      <w:r w:rsidRPr="00DD7BD1">
        <w:rPr>
          <w:rFonts w:ascii="Calibri" w:hAnsi="Calibri" w:cs="Calibri"/>
          <w:sz w:val="22"/>
          <w:szCs w:val="22"/>
        </w:rPr>
        <w:br/>
        <w:t>The minimum hourly wage will increase to $14.05. The minimum hourly base wage for tipped employees will remain at $8.40.</w:t>
      </w:r>
    </w:p>
    <w:p w14:paraId="4574982A" w14:textId="77777777" w:rsidR="008C6649" w:rsidRPr="00DD7BD1" w:rsidRDefault="008C6649" w:rsidP="001C5F42">
      <w:pPr>
        <w:spacing w:after="0" w:line="240" w:lineRule="auto"/>
        <w:rPr>
          <w:rStyle w:val="Strong"/>
          <w:rFonts w:ascii="Calibri" w:eastAsia="Times New Roman" w:hAnsi="Calibri" w:cs="Calibri"/>
        </w:rPr>
      </w:pPr>
    </w:p>
    <w:p w14:paraId="4A345664" w14:textId="77777777" w:rsidR="008C6649" w:rsidRPr="00DD7BD1" w:rsidRDefault="008C6649" w:rsidP="008C6649">
      <w:pPr>
        <w:pStyle w:val="NormalWeb"/>
        <w:shd w:val="clear" w:color="auto" w:fill="FFFFFF"/>
        <w:spacing w:before="0" w:beforeAutospacing="0" w:after="0" w:afterAutospacing="0"/>
        <w:jc w:val="center"/>
        <w:rPr>
          <w:rFonts w:ascii="Calibri" w:hAnsi="Calibri" w:cs="Calibri"/>
          <w:color w:val="282828"/>
          <w:sz w:val="22"/>
          <w:szCs w:val="22"/>
        </w:rPr>
      </w:pPr>
      <w:r w:rsidRPr="00DD7BD1">
        <w:rPr>
          <w:rFonts w:ascii="Calibri" w:eastAsiaTheme="minorHAnsi" w:hAnsi="Calibri" w:cs="Calibri"/>
          <w:b/>
          <w:bCs/>
          <w:sz w:val="28"/>
          <w:szCs w:val="28"/>
          <w:shd w:val="clear" w:color="auto" w:fill="FFFFFF"/>
          <w:lang w:val="en"/>
        </w:rPr>
        <w:t xml:space="preserve">Chicago </w:t>
      </w:r>
      <w:r w:rsidRPr="00DD7BD1">
        <w:rPr>
          <w:rStyle w:val="Strong"/>
          <w:rFonts w:ascii="Calibri" w:hAnsi="Calibri" w:cs="Calibri"/>
          <w:sz w:val="28"/>
          <w:szCs w:val="28"/>
          <w:shd w:val="clear" w:color="auto" w:fill="FFFFFF"/>
        </w:rPr>
        <w:t>Fair Workweek Threshold Increase</w:t>
      </w:r>
      <w:r w:rsidRPr="00DD7BD1">
        <w:rPr>
          <w:rStyle w:val="Strong"/>
          <w:rFonts w:ascii="Calibri" w:hAnsi="Calibri" w:cs="Calibri"/>
          <w:sz w:val="22"/>
          <w:szCs w:val="22"/>
          <w:shd w:val="clear" w:color="auto" w:fill="FFFFFF"/>
        </w:rPr>
        <w:t xml:space="preserve"> -</w:t>
      </w:r>
      <w:r w:rsidRPr="00DD7BD1">
        <w:rPr>
          <w:rFonts w:ascii="Calibri" w:eastAsiaTheme="minorHAnsi" w:hAnsi="Calibri" w:cs="Calibri"/>
          <w:b/>
          <w:bCs/>
          <w:sz w:val="28"/>
          <w:szCs w:val="28"/>
          <w:shd w:val="clear" w:color="auto" w:fill="FFFFFF"/>
          <w:lang w:val="en"/>
        </w:rPr>
        <w:t xml:space="preserve"> July 1</w:t>
      </w:r>
    </w:p>
    <w:p w14:paraId="3D784679" w14:textId="43121FA1" w:rsidR="008C6649"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shd w:val="clear" w:color="auto" w:fill="FFFFFF"/>
        </w:rPr>
      </w:pPr>
      <w:r w:rsidRPr="00DD7BD1">
        <w:rPr>
          <w:rStyle w:val="Strong"/>
          <w:rFonts w:ascii="Calibri" w:hAnsi="Calibri" w:cs="Calibri"/>
          <w:sz w:val="22"/>
          <w:szCs w:val="22"/>
          <w:shd w:val="clear" w:color="auto" w:fill="FFFFFF"/>
        </w:rPr>
        <w:t>CHICAGO FAIR WORKWEEK THRESHOLD INCREASE</w:t>
      </w:r>
      <w:r w:rsidRPr="00DD7BD1">
        <w:rPr>
          <w:rFonts w:ascii="Calibri" w:hAnsi="Calibri" w:cs="Calibri"/>
          <w:sz w:val="22"/>
          <w:szCs w:val="22"/>
        </w:rPr>
        <w:br/>
      </w:r>
      <w:r w:rsidRPr="00DD7BD1">
        <w:rPr>
          <w:rFonts w:ascii="Calibri" w:hAnsi="Calibri" w:cs="Calibri"/>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DD7BD1" w:rsidRDefault="008C6649" w:rsidP="00163F72">
      <w:pPr>
        <w:spacing w:after="0" w:line="240" w:lineRule="auto"/>
        <w:jc w:val="center"/>
        <w:rPr>
          <w:rStyle w:val="Strong"/>
          <w:rFonts w:ascii="Calibri" w:eastAsia="Times New Roman" w:hAnsi="Calibri" w:cs="Calibri"/>
          <w:sz w:val="20"/>
          <w:szCs w:val="20"/>
        </w:rPr>
      </w:pPr>
    </w:p>
    <w:p w14:paraId="00776F17" w14:textId="29543F47" w:rsidR="00163F72" w:rsidRPr="00DD7BD1" w:rsidRDefault="00163F72" w:rsidP="00163F72">
      <w:pPr>
        <w:spacing w:after="0" w:line="240" w:lineRule="auto"/>
        <w:jc w:val="center"/>
        <w:rPr>
          <w:rStyle w:val="Strong"/>
          <w:rFonts w:ascii="Calibri" w:eastAsia="Times New Roman" w:hAnsi="Calibri" w:cs="Calibri"/>
          <w:color w:val="282828"/>
          <w:sz w:val="28"/>
          <w:szCs w:val="28"/>
        </w:rPr>
      </w:pPr>
      <w:r w:rsidRPr="00DD7BD1">
        <w:rPr>
          <w:rStyle w:val="Strong"/>
          <w:rFonts w:ascii="Calibri" w:eastAsia="Times New Roman" w:hAnsi="Calibri" w:cs="Calibri"/>
          <w:sz w:val="28"/>
          <w:szCs w:val="28"/>
        </w:rPr>
        <w:t>Chicago Start of New Paid Leave</w:t>
      </w:r>
    </w:p>
    <w:p w14:paraId="786B4E81" w14:textId="7BCE97CD" w:rsidR="00A83553"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December 13, 2023, the Chicago City Council voted to delay the implementation of the city’s new paid leave and paid sick and safe leave ordinance from Jan. 1, 2024, to July 1, 2024. The council also amended the ordinance in other ways, some of which are helpful to employers. The city’s existing paid sick leave </w:t>
      </w:r>
      <w:hyperlink r:id="rId679" w:history="1">
        <w:r w:rsidRPr="00DD7BD1">
          <w:rPr>
            <w:rStyle w:val="Hyperlink"/>
            <w:rFonts w:cs="Calibri"/>
            <w:szCs w:val="22"/>
          </w:rPr>
          <w:t>ordinance</w:t>
        </w:r>
      </w:hyperlink>
      <w:r w:rsidRPr="00DD7BD1">
        <w:rPr>
          <w:rFonts w:cs="Calibri"/>
          <w:szCs w:val="22"/>
        </w:rPr>
        <w:t xml:space="preserve"> </w:t>
      </w:r>
      <w:r w:rsidRPr="00DD7BD1">
        <w:rPr>
          <w:rFonts w:cs="Calibri"/>
          <w:color w:val="auto"/>
          <w:szCs w:val="22"/>
        </w:rPr>
        <w:t>will remain in effect until the new one takes effect in July.</w:t>
      </w:r>
    </w:p>
    <w:p w14:paraId="311636FE" w14:textId="77777777" w:rsidR="00163F72" w:rsidRPr="00DD7BD1" w:rsidRDefault="00163F72" w:rsidP="00163F72">
      <w:pPr>
        <w:pStyle w:val="SubHeader"/>
        <w:spacing w:line="240" w:lineRule="auto"/>
        <w:rPr>
          <w:rFonts w:cs="Calibri"/>
          <w:color w:val="auto"/>
          <w:sz w:val="12"/>
          <w:szCs w:val="12"/>
        </w:rPr>
      </w:pPr>
    </w:p>
    <w:p w14:paraId="3C488440"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Chicago Paid Leave and Paid Sick and Safe Leave Ordinance</w:t>
      </w:r>
    </w:p>
    <w:p w14:paraId="450671D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Nov. 9, 2023, Chicago passed an ordinance that significantly expanded the city’s paid sick leave requirement, mandating up to 40 hours of paid leave </w:t>
      </w:r>
      <w:r w:rsidRPr="00DD7BD1">
        <w:rPr>
          <w:rFonts w:cs="Calibri"/>
          <w:b/>
          <w:bCs/>
          <w:color w:val="auto"/>
          <w:szCs w:val="22"/>
        </w:rPr>
        <w:t>and</w:t>
      </w:r>
      <w:r w:rsidRPr="00DD7BD1">
        <w:rPr>
          <w:rFonts w:cs="Calibri"/>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D7BD1" w:rsidRDefault="00163F72" w:rsidP="00163F72">
      <w:pPr>
        <w:pStyle w:val="SubHeader"/>
        <w:spacing w:line="240" w:lineRule="auto"/>
        <w:rPr>
          <w:rFonts w:cs="Calibri"/>
          <w:color w:val="auto"/>
          <w:sz w:val="12"/>
          <w:szCs w:val="12"/>
        </w:rPr>
      </w:pPr>
    </w:p>
    <w:p w14:paraId="1188FD5C"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Amendments to the Ordinance</w:t>
      </w:r>
    </w:p>
    <w:p w14:paraId="4F6C62A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The amendments delay the start of the ordinance to July 1, 2024, when accrual begins. Furthermore, now leave will apply only to employees who have worked </w:t>
      </w:r>
      <w:r w:rsidRPr="00DD7BD1">
        <w:rPr>
          <w:rFonts w:cs="Calibri"/>
          <w:b/>
          <w:bCs/>
          <w:color w:val="auto"/>
          <w:szCs w:val="22"/>
        </w:rPr>
        <w:t>80 hours</w:t>
      </w:r>
      <w:r w:rsidRPr="00DD7BD1">
        <w:rPr>
          <w:rFonts w:cs="Calibri"/>
          <w:color w:val="auto"/>
          <w:szCs w:val="22"/>
        </w:rPr>
        <w:t xml:space="preserve"> in Chicago in any </w:t>
      </w:r>
      <w:r w:rsidRPr="00DD7BD1">
        <w:rPr>
          <w:rFonts w:cs="Calibri"/>
          <w:b/>
          <w:bCs/>
          <w:color w:val="auto"/>
          <w:szCs w:val="22"/>
        </w:rPr>
        <w:t>120-day period</w:t>
      </w:r>
      <w:r w:rsidRPr="00DD7BD1">
        <w:rPr>
          <w:rFonts w:cs="Calibri"/>
          <w:color w:val="auto"/>
          <w:szCs w:val="22"/>
        </w:rPr>
        <w:t xml:space="preserve">. Other key changes include that: </w:t>
      </w:r>
    </w:p>
    <w:p w14:paraId="0C125FCB"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Employers must provide written paid time off policies to each covered employee in the employee’s primary language;</w:t>
      </w:r>
    </w:p>
    <w:p w14:paraId="37F19329"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Until July 1, 2026, employees must wait 16 days (or a payroll period) before filing a civil action against employers for violating the ordinance; and</w:t>
      </w:r>
    </w:p>
    <w:p w14:paraId="49A77060" w14:textId="77777777" w:rsidR="00163F72" w:rsidRPr="00DD7BD1" w:rsidRDefault="00163F72" w:rsidP="00163F72">
      <w:pPr>
        <w:pStyle w:val="Bullet"/>
        <w:ind w:left="360"/>
        <w:rPr>
          <w:rFonts w:cs="Calibri"/>
          <w:color w:val="auto"/>
          <w:szCs w:val="22"/>
        </w:rPr>
      </w:pPr>
      <w:r w:rsidRPr="00DD7BD1">
        <w:rPr>
          <w:rFonts w:cs="Calibri"/>
          <w:color w:val="auto"/>
          <w:szCs w:val="22"/>
        </w:rPr>
        <w:t>All employers with employees who work in Chicago must comply with the recordkeeping requirements of the ordinance.</w:t>
      </w:r>
    </w:p>
    <w:p w14:paraId="1D97AE24" w14:textId="5F0068ED" w:rsidR="007555BC" w:rsidRPr="00DD7BD1" w:rsidRDefault="00163F72" w:rsidP="00163F72">
      <w:pPr>
        <w:spacing w:after="0" w:line="240" w:lineRule="auto"/>
        <w:jc w:val="both"/>
        <w:rPr>
          <w:rFonts w:ascii="Calibri" w:hAnsi="Calibri" w:cs="Calibri"/>
        </w:rPr>
      </w:pPr>
      <w:r w:rsidRPr="00DD7BD1">
        <w:rPr>
          <w:rFonts w:ascii="Calibri" w:hAnsi="Calibri" w:cs="Calibri"/>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Pr="00DD7BD1" w:rsidRDefault="008C6649" w:rsidP="00163F72">
      <w:pPr>
        <w:spacing w:after="0" w:line="240" w:lineRule="auto"/>
        <w:jc w:val="both"/>
        <w:rPr>
          <w:rFonts w:ascii="Calibri" w:hAnsi="Calibri" w:cs="Calibri"/>
        </w:rPr>
      </w:pPr>
    </w:p>
    <w:p w14:paraId="66B686BC" w14:textId="77777777" w:rsidR="008C6649" w:rsidRPr="00DD7BD1" w:rsidRDefault="008C6649" w:rsidP="008C6649">
      <w:pPr>
        <w:spacing w:after="0" w:line="240" w:lineRule="auto"/>
        <w:jc w:val="both"/>
        <w:rPr>
          <w:rFonts w:ascii="Calibri" w:hAnsi="Calibri" w:cs="Calibri"/>
          <w:b/>
          <w:bCs/>
        </w:rPr>
      </w:pPr>
      <w:r w:rsidRPr="00DD7BD1">
        <w:rPr>
          <w:rFonts w:ascii="Calibri" w:hAnsi="Calibri" w:cs="Calibri"/>
          <w:b/>
          <w:bCs/>
        </w:rPr>
        <w:t>Recap of New Paid Leave &amp; Paid Sick &amp; Safe Leave Regulations:</w:t>
      </w:r>
    </w:p>
    <w:p w14:paraId="035BC33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Accrual</w:t>
      </w:r>
      <w:r w:rsidRPr="00DD7BD1">
        <w:rPr>
          <w:rFonts w:ascii="Calibri" w:hAnsi="Calibri" w:cs="Calibri"/>
          <w:sz w:val="22"/>
          <w:szCs w:val="22"/>
        </w:rPr>
        <w:br/>
        <w:t>Both types of leave begin to accrue on July 1, 2024 (or upon hire, if after that) at a rate of one hour for every 35 hours worked</w:t>
      </w:r>
      <w:r w:rsidRPr="00DD7BD1">
        <w:rPr>
          <w:rFonts w:ascii="Calibri" w:hAnsi="Calibri" w:cs="Calibri"/>
          <w:i/>
          <w:iCs/>
          <w:sz w:val="22"/>
          <w:szCs w:val="22"/>
        </w:rPr>
        <w:t> in Chicago. </w:t>
      </w:r>
      <w:r w:rsidRPr="00DD7BD1">
        <w:rPr>
          <w:rFonts w:ascii="Calibri" w:hAnsi="Calibri" w:cs="Calibri"/>
          <w:sz w:val="22"/>
          <w:szCs w:val="22"/>
        </w:rPr>
        <w:t>An employee who works 35 hours will have earned one hour of PL and one hour of PSL. Employers can cap </w:t>
      </w:r>
      <w:r w:rsidRPr="00DD7BD1">
        <w:rPr>
          <w:rFonts w:ascii="Calibri" w:hAnsi="Calibri" w:cs="Calibri"/>
          <w:i/>
          <w:iCs/>
          <w:sz w:val="22"/>
          <w:szCs w:val="22"/>
        </w:rPr>
        <w:t>annual</w:t>
      </w:r>
      <w:r w:rsidRPr="00DD7BD1">
        <w:rPr>
          <w:rFonts w:ascii="Calibri" w:hAnsi="Calibri" w:cs="Calibri"/>
          <w:sz w:val="22"/>
          <w:szCs w:val="22"/>
        </w:rPr>
        <w:t> accrual at 40 hours for each type of leave.</w:t>
      </w:r>
    </w:p>
    <w:p w14:paraId="5738F76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Carryover</w:t>
      </w:r>
      <w:r w:rsidRPr="00DD7BD1">
        <w:rPr>
          <w:rFonts w:ascii="Calibri" w:hAnsi="Calibri" w:cs="Calibri"/>
          <w:sz w:val="22"/>
          <w:szCs w:val="22"/>
        </w:rPr>
        <w:br/>
        <w:t>Employees can carry over</w:t>
      </w:r>
      <w:r w:rsidRPr="00DD7BD1">
        <w:rPr>
          <w:rStyle w:val="Strong"/>
          <w:rFonts w:ascii="Calibri" w:hAnsi="Calibri" w:cs="Calibri"/>
          <w:sz w:val="22"/>
          <w:szCs w:val="22"/>
        </w:rPr>
        <w:t> </w:t>
      </w:r>
      <w:r w:rsidRPr="00DD7BD1">
        <w:rPr>
          <w:rFonts w:ascii="Calibri" w:hAnsi="Calibri" w:cs="Calibri"/>
          <w:sz w:val="22"/>
          <w:szCs w:val="22"/>
        </w:rPr>
        <w:t>up to 16 hours of PL from one benefit year to the next unless their employer frontloads PL, in which case no PL needs to carry over. Employees can carry over up to 80 hours of PSL from one benefit year to the next, </w:t>
      </w:r>
      <w:r w:rsidRPr="00DD7BD1">
        <w:rPr>
          <w:rFonts w:ascii="Calibri" w:hAnsi="Calibri" w:cs="Calibri"/>
          <w:i/>
          <w:iCs/>
          <w:sz w:val="22"/>
          <w:szCs w:val="22"/>
        </w:rPr>
        <w:t>regardless</w:t>
      </w:r>
      <w:r w:rsidRPr="00DD7BD1">
        <w:rPr>
          <w:rFonts w:ascii="Calibri" w:hAnsi="Calibri" w:cs="Calibri"/>
          <w:sz w:val="22"/>
          <w:szCs w:val="22"/>
        </w:rPr>
        <w:t> of whether the employer frontloads.</w:t>
      </w:r>
    </w:p>
    <w:p w14:paraId="3F77113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Use</w:t>
      </w:r>
      <w:r w:rsidRPr="00DD7BD1">
        <w:rPr>
          <w:rFonts w:ascii="Calibri" w:hAnsi="Calibri" w:cs="Calibri"/>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Payout at Termination</w:t>
      </w:r>
      <w:r w:rsidRPr="00DD7BD1">
        <w:rPr>
          <w:rFonts w:ascii="Calibri" w:hAnsi="Calibri" w:cs="Calibri"/>
          <w:sz w:val="22"/>
          <w:szCs w:val="22"/>
        </w:rPr>
        <w:br/>
        <w:t>Employers don’t have to pay out any unused PSL but may need to pay out </w:t>
      </w:r>
      <w:r w:rsidRPr="00DD7BD1">
        <w:rPr>
          <w:rFonts w:ascii="Calibri" w:hAnsi="Calibri" w:cs="Calibri"/>
          <w:i/>
          <w:iCs/>
          <w:sz w:val="22"/>
          <w:szCs w:val="22"/>
        </w:rPr>
        <w:t>accrued but unused</w:t>
      </w:r>
      <w:r w:rsidRPr="00DD7BD1">
        <w:rPr>
          <w:rFonts w:ascii="Calibri" w:hAnsi="Calibri" w:cs="Calibri"/>
          <w:sz w:val="22"/>
          <w:szCs w:val="22"/>
        </w:rPr>
        <w:t> PL at termination, according to the following rules:</w:t>
      </w:r>
    </w:p>
    <w:p w14:paraId="592CC962"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1–50 employees are exempt from PL payout</w:t>
      </w:r>
    </w:p>
    <w:p w14:paraId="26368F1E"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51–100 employees must pay out up to 16 hours of PL through June 30, 2025, and all unused, accrued PL after that date</w:t>
      </w:r>
    </w:p>
    <w:p w14:paraId="161D3590"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101 or more employees must pay out all unused, accrued PL</w:t>
      </w:r>
    </w:p>
    <w:p w14:paraId="5CFF2F09"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799C899C" w14:textId="3FA2A0CA" w:rsidR="008C6649" w:rsidRPr="00DD7BD1" w:rsidRDefault="008C6649" w:rsidP="008C664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Notice to Employees</w:t>
      </w:r>
      <w:r w:rsidRPr="00DD7BD1">
        <w:rPr>
          <w:rFonts w:ascii="Calibri" w:hAnsi="Calibri" w:cs="Calibri"/>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97" w:name="_Hlk170732982"/>
      <w:r w:rsidRPr="00DD7BD1">
        <w:rPr>
          <w:rStyle w:val="Hyperlink"/>
          <w:rFonts w:ascii="Calibri" w:eastAsiaTheme="minorHAnsi" w:hAnsi="Calibri" w:cs="Calibri"/>
        </w:rPr>
        <w:fldChar w:fldCharType="begin"/>
      </w:r>
      <w:r w:rsidRPr="00DD7BD1">
        <w:rPr>
          <w:rStyle w:val="Hyperlink"/>
          <w:rFonts w:ascii="Calibri" w:eastAsiaTheme="minorHAnsi" w:hAnsi="Calibri" w:cs="Calibr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DD7BD1">
        <w:rPr>
          <w:rStyle w:val="Hyperlink"/>
          <w:rFonts w:ascii="Calibri" w:eastAsiaTheme="minorHAnsi" w:hAnsi="Calibri" w:cs="Calibri"/>
        </w:rPr>
      </w:r>
      <w:r w:rsidRPr="00DD7BD1">
        <w:rPr>
          <w:rStyle w:val="Hyperlink"/>
          <w:rFonts w:ascii="Calibri" w:eastAsiaTheme="minorHAnsi" w:hAnsi="Calibri" w:cs="Calibri"/>
        </w:rPr>
        <w:fldChar w:fldCharType="separate"/>
      </w:r>
      <w:r w:rsidRPr="00DD7BD1">
        <w:rPr>
          <w:rStyle w:val="Hyperlink"/>
          <w:rFonts w:ascii="Calibri" w:eastAsiaTheme="minorHAnsi" w:hAnsi="Calibri" w:cs="Calibri"/>
          <w:sz w:val="22"/>
          <w:szCs w:val="22"/>
        </w:rPr>
        <w:t>here</w:t>
      </w:r>
      <w:r w:rsidRPr="00DD7BD1">
        <w:rPr>
          <w:rStyle w:val="Hyperlink"/>
          <w:rFonts w:ascii="Calibri" w:eastAsiaTheme="minorHAnsi" w:hAnsi="Calibri" w:cs="Calibri"/>
        </w:rPr>
        <w:fldChar w:fldCharType="end"/>
      </w:r>
      <w:r w:rsidRPr="00DD7BD1">
        <w:rPr>
          <w:rStyle w:val="Hyperlink"/>
          <w:rFonts w:ascii="Calibri" w:eastAsiaTheme="minorHAnsi" w:hAnsi="Calibri" w:cs="Calibri"/>
        </w:rPr>
        <w:t>.</w:t>
      </w:r>
      <w:bookmarkEnd w:id="97"/>
    </w:p>
    <w:p w14:paraId="05581DA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2075A25A" w14:textId="44BC5B50"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Documentation for Use of Leave</w:t>
      </w:r>
      <w:r w:rsidRPr="00DD7BD1">
        <w:rPr>
          <w:rFonts w:ascii="Calibri" w:hAnsi="Calibri" w:cs="Calibri"/>
          <w:sz w:val="22"/>
          <w:szCs w:val="22"/>
        </w:rPr>
        <w:br/>
        <w:t>Employers can’t require any documentation for use of PL. Employers can require that employees provide certification of their need for PSL if they’re gone for </w:t>
      </w:r>
      <w:r w:rsidRPr="00DD7BD1">
        <w:rPr>
          <w:rFonts w:ascii="Calibri" w:hAnsi="Calibri" w:cs="Calibri"/>
          <w:i/>
          <w:iCs/>
          <w:sz w:val="22"/>
          <w:szCs w:val="22"/>
        </w:rPr>
        <w:t>more</w:t>
      </w:r>
      <w:r w:rsidRPr="00DD7BD1">
        <w:rPr>
          <w:rFonts w:ascii="Calibri" w:hAnsi="Calibri" w:cs="Calibri"/>
          <w:sz w:val="22"/>
          <w:szCs w:val="22"/>
        </w:rPr>
        <w:t> than three consecutive scheduled workdays. Note that the FAQs are a bit misleading in saying that an employer can ask for a note “after” an employee uses three days in a row—that's only true if the employee also</w:t>
      </w:r>
      <w:r w:rsidRPr="00DD7BD1">
        <w:rPr>
          <w:rFonts w:ascii="Calibri" w:hAnsi="Calibri" w:cs="Calibri"/>
          <w:i/>
          <w:iCs/>
          <w:sz w:val="22"/>
          <w:szCs w:val="22"/>
        </w:rPr>
        <w:t> </w:t>
      </w:r>
      <w:r w:rsidRPr="00DD7BD1">
        <w:rPr>
          <w:rFonts w:ascii="Calibri" w:hAnsi="Calibri" w:cs="Calibri"/>
          <w:sz w:val="22"/>
          <w:szCs w:val="22"/>
        </w:rPr>
        <w:t>uses PSL for all or part of a </w:t>
      </w:r>
      <w:r w:rsidRPr="00DD7BD1">
        <w:rPr>
          <w:rFonts w:ascii="Calibri" w:hAnsi="Calibri" w:cs="Calibri"/>
          <w:i/>
          <w:iCs/>
          <w:sz w:val="22"/>
          <w:szCs w:val="22"/>
        </w:rPr>
        <w:t>fourth</w:t>
      </w:r>
      <w:r w:rsidRPr="00DD7BD1">
        <w:rPr>
          <w:rFonts w:ascii="Calibri" w:hAnsi="Calibri" w:cs="Calibri"/>
          <w:sz w:val="22"/>
          <w:szCs w:val="22"/>
        </w:rPr>
        <w:t> scheduled workday in a row.</w:t>
      </w:r>
    </w:p>
    <w:p w14:paraId="5BE209A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sz w:val="22"/>
          <w:szCs w:val="22"/>
        </w:rPr>
      </w:pPr>
    </w:p>
    <w:p w14:paraId="0998EC9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For More Information</w:t>
      </w:r>
    </w:p>
    <w:p w14:paraId="4AB82030"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80" w:tgtFrame="_blank" w:history="1">
        <w:r w:rsidRPr="00DD7BD1">
          <w:rPr>
            <w:rStyle w:val="Hyperlink"/>
            <w:rFonts w:ascii="Calibri" w:hAnsi="Calibri" w:cs="Calibri"/>
          </w:rPr>
          <w:t>Ordinance</w:t>
        </w:r>
      </w:hyperlink>
    </w:p>
    <w:p w14:paraId="14B79D0B"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81" w:tgtFrame="_blank" w:history="1">
        <w:r w:rsidRPr="00DD7BD1">
          <w:rPr>
            <w:rStyle w:val="Hyperlink"/>
            <w:rFonts w:ascii="Calibri" w:hAnsi="Calibri" w:cs="Calibri"/>
          </w:rPr>
          <w:t>Rules</w:t>
        </w:r>
      </w:hyperlink>
    </w:p>
    <w:p w14:paraId="63106D09"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82" w:tgtFrame="_blank" w:history="1">
        <w:r w:rsidRPr="00DD7BD1">
          <w:rPr>
            <w:rStyle w:val="Hyperlink"/>
            <w:rFonts w:ascii="Calibri" w:hAnsi="Calibri" w:cs="Calibri"/>
          </w:rPr>
          <w:t>FAQs</w:t>
        </w:r>
      </w:hyperlink>
    </w:p>
    <w:p w14:paraId="2CB2E98D" w14:textId="0F13BC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Business Affairs and Consumer Protection </w:t>
      </w:r>
      <w:hyperlink r:id="rId683" w:tgtFrame="_blank" w:history="1">
        <w:r w:rsidRPr="00DD7BD1">
          <w:rPr>
            <w:rStyle w:val="Hyperlink"/>
            <w:rFonts w:ascii="Calibri" w:hAnsi="Calibri" w:cs="Calibri"/>
          </w:rPr>
          <w:t>public notices</w:t>
        </w:r>
      </w:hyperlink>
    </w:p>
    <w:p w14:paraId="149DB00C" w14:textId="77777777" w:rsidR="00163F72" w:rsidRPr="00DD7BD1" w:rsidRDefault="00163F72"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34839A43" w14:textId="2796C8E6" w:rsidR="00AF4ED7" w:rsidRPr="00DD7BD1" w:rsidRDefault="00AF4ED7" w:rsidP="00AF4ED7">
      <w:pPr>
        <w:shd w:val="clear" w:color="auto" w:fill="FFFFFF"/>
        <w:spacing w:after="0" w:line="240" w:lineRule="auto"/>
        <w:jc w:val="center"/>
        <w:outlineLvl w:val="2"/>
        <w:rPr>
          <w:rFonts w:ascii="Calibri" w:eastAsia="Times New Roman" w:hAnsi="Calibri" w:cs="Calibri"/>
          <w:b/>
          <w:bCs/>
          <w:color w:val="31313A"/>
          <w:sz w:val="27"/>
          <w:szCs w:val="27"/>
        </w:rPr>
      </w:pPr>
      <w:r w:rsidRPr="00DD7BD1">
        <w:rPr>
          <w:rStyle w:val="Strong"/>
          <w:rFonts w:ascii="Calibri" w:hAnsi="Calibri" w:cs="Calibri"/>
          <w:sz w:val="28"/>
          <w:szCs w:val="28"/>
        </w:rPr>
        <w:t>Illinois Issues Final Rules for Paid Leave for All Workers Act</w:t>
      </w:r>
    </w:p>
    <w:p w14:paraId="37C1C47F"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DD7BD1" w:rsidRDefault="00AF4ED7"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5E2346C0" w14:textId="1123B21B" w:rsidR="001221BB" w:rsidRPr="00DD7BD1" w:rsidRDefault="001221BB" w:rsidP="001221BB">
      <w:pPr>
        <w:pStyle w:val="Heading1"/>
        <w:shd w:val="clear" w:color="auto" w:fill="FFFFFF"/>
        <w:spacing w:before="0" w:beforeAutospacing="0" w:after="0" w:afterAutospacing="0"/>
        <w:ind w:right="180"/>
        <w:jc w:val="center"/>
        <w:rPr>
          <w:rFonts w:ascii="Calibri" w:hAnsi="Calibri" w:cs="Calibri"/>
          <w:sz w:val="28"/>
          <w:szCs w:val="28"/>
          <w:shd w:val="clear" w:color="auto" w:fill="FFFFFF"/>
        </w:rPr>
      </w:pPr>
      <w:r w:rsidRPr="00DD7BD1">
        <w:rPr>
          <w:rStyle w:val="Strong"/>
          <w:rFonts w:ascii="Calibri" w:hAnsi="Calibri" w:cs="Calibri"/>
          <w:b/>
          <w:bCs/>
          <w:sz w:val="28"/>
          <w:szCs w:val="28"/>
          <w:shd w:val="clear" w:color="auto" w:fill="FFFFFF"/>
        </w:rPr>
        <w:t xml:space="preserve">IL Equal Pay Act Registration Certification Filing Deadline March 23, 2024 </w:t>
      </w:r>
    </w:p>
    <w:p w14:paraId="1488C611" w14:textId="77777777" w:rsidR="001221BB" w:rsidRPr="00DD7BD1" w:rsidRDefault="001221BB"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6D2A8F60" w14:textId="090E0E1E" w:rsidR="00220C9A" w:rsidRPr="00DD7BD1" w:rsidRDefault="00220C9A" w:rsidP="00220C9A">
      <w:pPr>
        <w:pStyle w:val="Heading1"/>
        <w:shd w:val="clear" w:color="auto" w:fill="FFFFFF"/>
        <w:spacing w:before="0" w:beforeAutospacing="0" w:after="0" w:afterAutospacing="0" w:line="264" w:lineRule="atLeast"/>
        <w:jc w:val="center"/>
        <w:rPr>
          <w:rFonts w:ascii="Calibri" w:hAnsi="Calibri" w:cs="Calibri"/>
          <w:color w:val="000000"/>
        </w:rPr>
      </w:pPr>
      <w:r w:rsidRPr="00DD7BD1">
        <w:rPr>
          <w:rStyle w:val="Strong"/>
          <w:rFonts w:ascii="Calibri" w:hAnsi="Calibri" w:cs="Calibri"/>
          <w:b/>
          <w:bCs/>
          <w:sz w:val="28"/>
          <w:szCs w:val="28"/>
        </w:rPr>
        <w:t xml:space="preserve">State’s </w:t>
      </w:r>
      <w:r w:rsidRPr="00DD7BD1">
        <w:rPr>
          <w:rStyle w:val="Strong"/>
          <w:rFonts w:ascii="Calibri" w:hAnsi="Calibri" w:cs="Calibri"/>
          <w:b/>
          <w:bCs/>
          <w:kern w:val="0"/>
          <w:sz w:val="28"/>
          <w:szCs w:val="28"/>
        </w:rPr>
        <w:t>Equal Pay Act Registration Certificate Filing Deadline Is March 23</w:t>
      </w:r>
    </w:p>
    <w:p w14:paraId="14CB3603"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Employer Takeaway</w:t>
      </w:r>
      <w:r w:rsidRPr="00DD7BD1">
        <w:rPr>
          <w:rFonts w:ascii="Calibri" w:hAnsi="Calibri" w:cs="Calibri"/>
          <w:spacing w:val="3"/>
          <w:shd w:val="clear" w:color="auto" w:fill="FFFFFF"/>
        </w:rPr>
        <w:t>: Employers who have not yet filed for an Illinois Equal Pay Act Registration Certificate (EPRC) must do so by March 23, 2024</w:t>
      </w:r>
      <w:r w:rsidRPr="00DD7BD1">
        <w:rPr>
          <w:rFonts w:ascii="Calibri" w:hAnsi="Calibri" w:cs="Calibri"/>
          <w:color w:val="292929"/>
          <w:spacing w:val="3"/>
          <w:shd w:val="clear" w:color="auto" w:fill="FFFFFF"/>
        </w:rPr>
        <w:t xml:space="preserve">. </w:t>
      </w:r>
      <w:r w:rsidRPr="00DD7BD1">
        <w:rPr>
          <w:rFonts w:ascii="Calibri" w:hAnsi="Calibri" w:cs="Calibri"/>
          <w:spacing w:val="3"/>
          <w:shd w:val="clear" w:color="auto" w:fill="FFFFFF"/>
        </w:rPr>
        <w:t>This only applies to employers who have not filed for an EPRC in the past two years. </w:t>
      </w:r>
    </w:p>
    <w:p w14:paraId="52E3C65D" w14:textId="77777777" w:rsidR="00220C9A" w:rsidRPr="00DD7BD1" w:rsidRDefault="00220C9A" w:rsidP="00220C9A">
      <w:pPr>
        <w:spacing w:after="0" w:line="240" w:lineRule="auto"/>
        <w:jc w:val="both"/>
        <w:rPr>
          <w:rFonts w:ascii="Calibri" w:hAnsi="Calibri" w:cs="Calibri"/>
          <w:spacing w:val="3"/>
          <w:sz w:val="16"/>
          <w:szCs w:val="16"/>
          <w:shd w:val="clear" w:color="auto" w:fill="FFFFFF"/>
        </w:rPr>
      </w:pPr>
    </w:p>
    <w:p w14:paraId="073DBD3F"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DD7BD1" w:rsidRDefault="00220C9A" w:rsidP="00220C9A">
      <w:pPr>
        <w:spacing w:after="0" w:line="240" w:lineRule="auto"/>
        <w:jc w:val="both"/>
        <w:rPr>
          <w:rFonts w:ascii="Calibri" w:hAnsi="Calibri" w:cs="Calibri"/>
          <w:spacing w:val="3"/>
          <w:sz w:val="12"/>
          <w:szCs w:val="12"/>
          <w:shd w:val="clear" w:color="auto" w:fill="FFFFFF"/>
        </w:rPr>
      </w:pPr>
    </w:p>
    <w:p w14:paraId="04DBDF4D"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12"/>
          <w:szCs w:val="12"/>
        </w:rPr>
      </w:pPr>
    </w:p>
    <w:p w14:paraId="13B7B10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color w:val="292929"/>
          <w:spacing w:val="3"/>
          <w:sz w:val="22"/>
          <w:szCs w:val="22"/>
          <w:shd w:val="clear" w:color="auto" w:fill="FFFFFF"/>
        </w:rPr>
      </w:pPr>
      <w:r w:rsidRPr="00DD7BD1">
        <w:rPr>
          <w:rFonts w:ascii="Calibri" w:hAnsi="Calibri" w:cs="Calibri"/>
          <w:spacing w:val="3"/>
          <w:sz w:val="22"/>
          <w:szCs w:val="22"/>
        </w:rPr>
        <w:t>Employers with less than 100 employees must file for an exemption by completing an </w:t>
      </w:r>
      <w:hyperlink r:id="rId684" w:history="1">
        <w:r w:rsidRPr="00DD7BD1">
          <w:rPr>
            <w:rStyle w:val="Hyperlink"/>
            <w:rFonts w:ascii="Calibri" w:hAnsi="Calibri" w:cs="Calibri"/>
            <w:sz w:val="22"/>
            <w:szCs w:val="22"/>
          </w:rPr>
          <w:t>Exemption-Business form</w:t>
        </w:r>
      </w:hyperlink>
      <w:r w:rsidRPr="00DD7BD1">
        <w:rPr>
          <w:rFonts w:ascii="Calibri" w:hAnsi="Calibri" w:cs="Calibri"/>
          <w:color w:val="292929"/>
          <w:spacing w:val="3"/>
          <w:sz w:val="22"/>
          <w:szCs w:val="22"/>
        </w:rPr>
        <w:t> </w:t>
      </w:r>
      <w:r w:rsidRPr="00DD7BD1">
        <w:rPr>
          <w:rFonts w:ascii="Calibri" w:hAnsi="Calibri" w:cs="Calibri"/>
          <w:spacing w:val="3"/>
          <w:sz w:val="22"/>
          <w:szCs w:val="22"/>
        </w:rPr>
        <w:t>and e-mail it to</w:t>
      </w:r>
      <w:r w:rsidRPr="00DD7BD1">
        <w:rPr>
          <w:rStyle w:val="Hyperlink"/>
          <w:rFonts w:ascii="Calibri" w:hAnsi="Calibri" w:cs="Calibri"/>
          <w:color w:val="auto"/>
          <w:sz w:val="22"/>
          <w:szCs w:val="22"/>
        </w:rPr>
        <w:t> </w:t>
      </w:r>
      <w:hyperlink r:id="rId685" w:history="1">
        <w:r w:rsidRPr="00DD7BD1">
          <w:rPr>
            <w:rStyle w:val="Hyperlink"/>
            <w:rFonts w:ascii="Calibri" w:hAnsi="Calibri" w:cs="Calibri"/>
            <w:sz w:val="22"/>
            <w:szCs w:val="22"/>
          </w:rPr>
          <w:t>DOL.EPRC@illinois.gov</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In order to determine whether an employer had less than 100 employees, the employer must have had less than 100 current employees on December 31, 2023. </w:t>
      </w:r>
      <w:r w:rsidRPr="00DD7BD1">
        <w:rPr>
          <w:rFonts w:ascii="Calibri" w:hAnsi="Calibri" w:cs="Calibri"/>
          <w:spacing w:val="3"/>
          <w:sz w:val="22"/>
          <w:szCs w:val="22"/>
          <w:shd w:val="clear" w:color="auto" w:fill="FFFFFF"/>
        </w:rPr>
        <w:t>Employers who do not comply with the filing deadline or request an exemption are subject to a $10,000 fine.</w:t>
      </w:r>
    </w:p>
    <w:p w14:paraId="70D9C369" w14:textId="77777777" w:rsidR="00220C9A" w:rsidRPr="00DD7BD1" w:rsidRDefault="00220C9A"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4BD4A2DB" w14:textId="77777777" w:rsidR="00145775" w:rsidRPr="00DD7BD1" w:rsidRDefault="00145775" w:rsidP="0014577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Independent Contractors Included in IL New Hire Reporting Requirements</w:t>
      </w:r>
    </w:p>
    <w:p w14:paraId="377893C9"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employers must include independent contractors in their </w:t>
      </w:r>
      <w:hyperlink r:id="rId686" w:tgtFrame="_blank" w:history="1">
        <w:r w:rsidRPr="00DD7BD1">
          <w:rPr>
            <w:rStyle w:val="Hyperlink"/>
            <w:rFonts w:ascii="Calibri" w:hAnsi="Calibri" w:cs="Calibri"/>
            <w:sz w:val="22"/>
            <w:szCs w:val="22"/>
          </w:rPr>
          <w:t>new hire reporting</w:t>
        </w:r>
      </w:hyperlink>
      <w:r w:rsidRPr="00DD7BD1">
        <w:rPr>
          <w:rFonts w:ascii="Calibri" w:hAnsi="Calibri" w:cs="Calibri"/>
          <w:color w:val="282828"/>
          <w:sz w:val="22"/>
          <w:szCs w:val="22"/>
        </w:rPr>
        <w:t xml:space="preserve">. </w:t>
      </w:r>
    </w:p>
    <w:p w14:paraId="27CA52E6"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 xml:space="preserve">All employers must report new employees to their state’s New Hire Directory within 20 days of their first day on the payroll with directory-specified information. </w:t>
      </w:r>
      <w:r w:rsidRPr="00DD7BD1">
        <w:rPr>
          <w:rFonts w:ascii="Calibri" w:hAnsi="Calibri" w:cs="Calibri"/>
          <w:color w:val="282828"/>
          <w:sz w:val="22"/>
          <w:szCs w:val="22"/>
        </w:rPr>
        <w:t>(</w:t>
      </w:r>
      <w:hyperlink r:id="rId687" w:tgtFrame="_blank" w:history="1">
        <w:r w:rsidRPr="00DD7BD1">
          <w:rPr>
            <w:rStyle w:val="Hyperlink"/>
            <w:rFonts w:ascii="Calibri" w:hAnsi="Calibri" w:cs="Calibri"/>
            <w:sz w:val="22"/>
            <w:szCs w:val="22"/>
          </w:rPr>
          <w:t>2023 IL HB 3301</w:t>
        </w:r>
      </w:hyperlink>
      <w:r w:rsidRPr="00DD7BD1">
        <w:rPr>
          <w:rFonts w:ascii="Calibri" w:hAnsi="Calibri" w:cs="Calibri"/>
          <w:color w:val="282828"/>
          <w:sz w:val="22"/>
          <w:szCs w:val="22"/>
        </w:rPr>
        <w:t>) </w:t>
      </w:r>
    </w:p>
    <w:p w14:paraId="17DB02F8"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12"/>
          <w:szCs w:val="12"/>
        </w:rPr>
      </w:pPr>
    </w:p>
    <w:p w14:paraId="480DAD86" w14:textId="77777777" w:rsidR="00145775" w:rsidRPr="00DD7BD1" w:rsidRDefault="00145775" w:rsidP="00145775">
      <w:pPr>
        <w:pStyle w:val="NormalWeb"/>
        <w:shd w:val="clear" w:color="auto" w:fill="FFFFFF"/>
        <w:spacing w:before="0" w:beforeAutospacing="0" w:after="0" w:afterAutospacing="0"/>
        <w:jc w:val="center"/>
        <w:rPr>
          <w:rStyle w:val="Strong"/>
          <w:rFonts w:ascii="Calibri" w:hAnsi="Calibri" w:cs="Calibri"/>
          <w:sz w:val="23"/>
          <w:szCs w:val="23"/>
        </w:rPr>
      </w:pPr>
      <w:r w:rsidRPr="00DD7BD1">
        <w:rPr>
          <w:rStyle w:val="Strong"/>
          <w:rFonts w:ascii="Calibri" w:hAnsi="Calibri" w:cs="Calibri"/>
          <w:sz w:val="28"/>
          <w:szCs w:val="28"/>
        </w:rPr>
        <w:t>Employers Liable for Gender-Related Violence</w:t>
      </w:r>
    </w:p>
    <w:p w14:paraId="4FC6C7D1"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 xml:space="preserve">employers are liable if their employees or agents commit gender-related violence at work that results in harm. </w:t>
      </w:r>
      <w:r w:rsidRPr="00DD7BD1">
        <w:rPr>
          <w:rFonts w:ascii="Calibri" w:hAnsi="Calibri" w:cs="Calibri"/>
          <w:color w:val="282828"/>
          <w:sz w:val="22"/>
          <w:szCs w:val="22"/>
        </w:rPr>
        <w:t>(</w:t>
      </w:r>
      <w:hyperlink r:id="rId688" w:tgtFrame="_blank" w:history="1">
        <w:r w:rsidRPr="00DD7BD1">
          <w:rPr>
            <w:rStyle w:val="Hyperlink"/>
            <w:rFonts w:ascii="Calibri" w:hAnsi="Calibri" w:cs="Calibri"/>
            <w:sz w:val="22"/>
            <w:szCs w:val="22"/>
          </w:rPr>
          <w:t>2023 IL HB 1363</w:t>
        </w:r>
      </w:hyperlink>
      <w:r w:rsidRPr="00DD7BD1">
        <w:rPr>
          <w:rFonts w:ascii="Calibri" w:hAnsi="Calibri" w:cs="Calibri"/>
          <w:color w:val="282828"/>
          <w:sz w:val="22"/>
          <w:szCs w:val="22"/>
        </w:rPr>
        <w:t>)</w:t>
      </w:r>
    </w:p>
    <w:p w14:paraId="17EC8A79"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However, </w:t>
      </w:r>
      <w:r w:rsidRPr="00DD7BD1">
        <w:rPr>
          <w:rFonts w:ascii="Calibri" w:hAnsi="Calibri" w:cs="Calibri"/>
          <w:sz w:val="22"/>
          <w:szCs w:val="22"/>
          <w:u w:val="single"/>
        </w:rPr>
        <w:t>employers will only be liable if they</w:t>
      </w:r>
      <w:r w:rsidRPr="00DD7BD1">
        <w:rPr>
          <w:rFonts w:ascii="Calibri" w:hAnsi="Calibri" w:cs="Calibri"/>
          <w:sz w:val="22"/>
          <w:szCs w:val="22"/>
        </w:rPr>
        <w:t>:</w:t>
      </w:r>
    </w:p>
    <w:p w14:paraId="68890CDC"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supervise, train, or monitor the employee or agent who caused harm; or</w:t>
      </w:r>
    </w:p>
    <w:p w14:paraId="6CBF4A02"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investigate complaints or reports (to a supervisor, manager, etc.) about the employee or agent who caused harm and didn’t try to fix the problem.</w:t>
      </w:r>
    </w:p>
    <w:p w14:paraId="018712C3"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u w:val="single"/>
        </w:rPr>
        <w:t>Workplaces covered by these protections include</w:t>
      </w:r>
      <w:r w:rsidRPr="00DD7BD1">
        <w:rPr>
          <w:rFonts w:ascii="Calibri" w:hAnsi="Calibri" w:cs="Calibri"/>
          <w:sz w:val="22"/>
          <w:szCs w:val="22"/>
        </w:rPr>
        <w:t>:</w:t>
      </w:r>
    </w:p>
    <w:p w14:paraId="35E762D6"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Employer premises, including any building, property, and parking area under the employer’s control, or any location used by an employee while they’re working; and</w:t>
      </w:r>
    </w:p>
    <w:p w14:paraId="08C774BA"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Off-premises activities at employer-sponsored events when the employee isn’t working. </w:t>
      </w:r>
    </w:p>
    <w:p w14:paraId="66D5BF5C" w14:textId="77777777" w:rsidR="00145775" w:rsidRPr="00DD7BD1" w:rsidRDefault="00145775" w:rsidP="00145775">
      <w:pPr>
        <w:shd w:val="clear" w:color="auto" w:fill="FFFFFF"/>
        <w:spacing w:after="0" w:line="240" w:lineRule="auto"/>
        <w:ind w:left="720"/>
        <w:rPr>
          <w:rStyle w:val="typographytype-sc-ws1d2d-0"/>
          <w:rFonts w:ascii="Calibri" w:hAnsi="Calibri" w:cs="Calibri"/>
          <w:sz w:val="12"/>
          <w:szCs w:val="12"/>
        </w:rPr>
      </w:pPr>
    </w:p>
    <w:p w14:paraId="311B2AAD"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Personnel Record Copies &amp; Employer-Provided Notices' Changes</w:t>
      </w:r>
    </w:p>
    <w:p w14:paraId="7A410B28"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June 1, 2024</w:t>
      </w:r>
      <w:r w:rsidRPr="00DD7BD1">
        <w:rPr>
          <w:rFonts w:ascii="Calibri" w:hAnsi="Calibri" w:cs="Calibri"/>
          <w:color w:val="282828"/>
          <w:sz w:val="22"/>
          <w:szCs w:val="22"/>
        </w:rPr>
        <w:t xml:space="preserve">, </w:t>
      </w:r>
      <w:r w:rsidRPr="00DD7BD1">
        <w:rPr>
          <w:rFonts w:ascii="Calibri" w:hAnsi="Calibri" w:cs="Calibri"/>
          <w:sz w:val="22"/>
          <w:szCs w:val="22"/>
        </w:rPr>
        <w:t>the following Illinois laws will be amended as follows:</w:t>
      </w:r>
    </w:p>
    <w:p w14:paraId="2C55F558"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The Illinois Personnel Record Review Act will allow employers to mail or email a copy of requested records and charge a fee limited to the actual cost of duplicating the requested record.</w:t>
      </w:r>
    </w:p>
    <w:p w14:paraId="78B1F586"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 xml:space="preserve">The Illinois Minimum Wage Law, the Equal Pay Act (EPA), the Illinois Wage Payment and Collection Act, and the Child Labor Law will require employers to provide notices to remote employees via email or by posting on their website. </w:t>
      </w:r>
      <w:r w:rsidRPr="00DD7BD1">
        <w:rPr>
          <w:rFonts w:ascii="Calibri" w:hAnsi="Calibri" w:cs="Calibri"/>
          <w:color w:val="282828"/>
        </w:rPr>
        <w:t>. (</w:t>
      </w:r>
      <w:hyperlink r:id="rId689" w:tgtFrame="_blank" w:history="1">
        <w:r w:rsidRPr="00DD7BD1">
          <w:rPr>
            <w:rStyle w:val="Hyperlink"/>
            <w:rFonts w:ascii="Calibri" w:hAnsi="Calibri" w:cs="Calibri"/>
          </w:rPr>
          <w:t>IL HB 3733</w:t>
        </w:r>
      </w:hyperlink>
      <w:r w:rsidRPr="00DD7BD1">
        <w:rPr>
          <w:rFonts w:ascii="Calibri" w:hAnsi="Calibri" w:cs="Calibri"/>
          <w:color w:val="282828"/>
        </w:rPr>
        <w:t>)</w:t>
      </w:r>
    </w:p>
    <w:p w14:paraId="73CCD9F2" w14:textId="77777777" w:rsidR="00D66B68" w:rsidRPr="00DD7BD1" w:rsidRDefault="00D66B68" w:rsidP="00145775">
      <w:pPr>
        <w:shd w:val="clear" w:color="auto" w:fill="FFFFFF"/>
        <w:spacing w:after="0" w:line="240" w:lineRule="auto"/>
        <w:jc w:val="center"/>
        <w:rPr>
          <w:rStyle w:val="Strong"/>
          <w:rFonts w:ascii="Calibri" w:eastAsia="Times New Roman" w:hAnsi="Calibri" w:cs="Calibri"/>
          <w:sz w:val="12"/>
          <w:szCs w:val="12"/>
        </w:rPr>
      </w:pPr>
    </w:p>
    <w:p w14:paraId="50ED639A"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Updated State EEO Data Filing Obligations</w:t>
      </w:r>
    </w:p>
    <w:p w14:paraId="6CED23B2" w14:textId="5C661BBC" w:rsidR="008561D0" w:rsidRPr="00DD7BD1" w:rsidRDefault="00145775" w:rsidP="00D66B68">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 xml:space="preserve">Additionally, businesses required to file an annual Employer Information Report (EEO-1) with the federal Equal Employment Opportunity Commission will </w:t>
      </w:r>
      <w:r w:rsidRPr="00DD7BD1">
        <w:rPr>
          <w:rFonts w:ascii="Calibri" w:hAnsi="Calibri" w:cs="Calibri"/>
          <w:b/>
          <w:bCs/>
          <w:sz w:val="22"/>
          <w:szCs w:val="22"/>
        </w:rPr>
        <w:t>no longer be required</w:t>
      </w:r>
      <w:r w:rsidRPr="00DD7BD1">
        <w:rPr>
          <w:rFonts w:ascii="Calibri" w:hAnsi="Calibri" w:cs="Calibri"/>
          <w:sz w:val="22"/>
          <w:szCs w:val="22"/>
        </w:rPr>
        <w:t xml:space="preserve"> to submit it to the Illinois Director of Labor. However, </w:t>
      </w:r>
      <w:r w:rsidRPr="00DD7BD1">
        <w:rPr>
          <w:rFonts w:ascii="Calibri" w:hAnsi="Calibri" w:cs="Calibri"/>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D7BD1">
        <w:rPr>
          <w:rFonts w:ascii="Calibri" w:hAnsi="Calibri" w:cs="Calibri"/>
          <w:sz w:val="22"/>
          <w:szCs w:val="22"/>
        </w:rPr>
        <w:t> </w:t>
      </w:r>
      <w:hyperlink r:id="rId690" w:tgtFrame="_blank" w:history="1">
        <w:r w:rsidRPr="00DD7BD1">
          <w:rPr>
            <w:rStyle w:val="Hyperlink"/>
            <w:rFonts w:ascii="Calibri" w:hAnsi="Calibri" w:cs="Calibri"/>
            <w:sz w:val="22"/>
            <w:szCs w:val="22"/>
          </w:rPr>
          <w:t>state's EPA</w:t>
        </w:r>
      </w:hyperlink>
      <w:r w:rsidRPr="00DD7BD1">
        <w:rPr>
          <w:rFonts w:ascii="Calibri" w:hAnsi="Calibri" w:cs="Calibri"/>
          <w:color w:val="282828"/>
          <w:sz w:val="22"/>
          <w:szCs w:val="22"/>
        </w:rPr>
        <w:t>. (</w:t>
      </w:r>
      <w:hyperlink r:id="rId691" w:tgtFrame="_blank" w:history="1">
        <w:r w:rsidRPr="00DD7BD1">
          <w:rPr>
            <w:rStyle w:val="Hyperlink"/>
            <w:rFonts w:ascii="Calibri" w:hAnsi="Calibri" w:cs="Calibri"/>
            <w:sz w:val="22"/>
            <w:szCs w:val="22"/>
          </w:rPr>
          <w:t>IL HB 3733</w:t>
        </w:r>
      </w:hyperlink>
      <w:r w:rsidRPr="00DD7BD1">
        <w:rPr>
          <w:rFonts w:ascii="Calibri" w:hAnsi="Calibri" w:cs="Calibri"/>
          <w:color w:val="282828"/>
          <w:sz w:val="22"/>
          <w:szCs w:val="22"/>
        </w:rPr>
        <w:t>)</w:t>
      </w:r>
    </w:p>
    <w:p w14:paraId="356D5706" w14:textId="77777777" w:rsidR="00022BF0" w:rsidRPr="00DD7BD1" w:rsidRDefault="00022BF0" w:rsidP="00022BF0">
      <w:pPr>
        <w:shd w:val="clear" w:color="auto" w:fill="FFFFFF"/>
        <w:spacing w:after="0" w:line="240" w:lineRule="auto"/>
        <w:jc w:val="both"/>
        <w:rPr>
          <w:rFonts w:ascii="Calibri" w:hAnsi="Calibri" w:cs="Calibri"/>
          <w:color w:val="282828"/>
          <w:sz w:val="12"/>
          <w:szCs w:val="12"/>
        </w:rPr>
      </w:pPr>
    </w:p>
    <w:p w14:paraId="3EB04763" w14:textId="3FC71BF1" w:rsidR="00022BF0" w:rsidRPr="00DD7BD1" w:rsidRDefault="00022BF0" w:rsidP="00022BF0">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u w:val="single"/>
        </w:rPr>
        <w:t>Cook County</w:t>
      </w:r>
      <w:r w:rsidRPr="00DD7BD1">
        <w:rPr>
          <w:rStyle w:val="Strong"/>
          <w:rFonts w:ascii="Calibri" w:eastAsia="Times New Roman" w:hAnsi="Calibri" w:cs="Calibri"/>
          <w:sz w:val="28"/>
          <w:szCs w:val="28"/>
        </w:rPr>
        <w:t xml:space="preserve"> Transportation Benefits Program Act</w:t>
      </w:r>
    </w:p>
    <w:p w14:paraId="61A31B21" w14:textId="5232DC6F" w:rsidR="00B06DBE" w:rsidRPr="00DD7BD1" w:rsidRDefault="00022BF0" w:rsidP="00022BF0">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Effective </w:t>
      </w:r>
      <w:r w:rsidRPr="00DD7BD1">
        <w:rPr>
          <w:rFonts w:ascii="Calibri" w:hAnsi="Calibri" w:cs="Calibri"/>
          <w:color w:val="C00000"/>
          <w:spacing w:val="3"/>
          <w:sz w:val="22"/>
          <w:szCs w:val="22"/>
        </w:rPr>
        <w:t>January 1, 2024</w:t>
      </w:r>
      <w:r w:rsidRPr="00DD7BD1">
        <w:rPr>
          <w:rFonts w:ascii="Calibri" w:hAnsi="Calibri" w:cs="Calibri"/>
          <w:spacing w:val="3"/>
          <w:sz w:val="22"/>
          <w:szCs w:val="22"/>
        </w:rPr>
        <w:t>, the </w:t>
      </w:r>
      <w:hyperlink r:id="rId692" w:tgtFrame="_blank" w:history="1">
        <w:r w:rsidRPr="00DD7BD1">
          <w:rPr>
            <w:rStyle w:val="Hyperlink"/>
            <w:rFonts w:ascii="Calibri" w:hAnsi="Calibri" w:cs="Calibri"/>
            <w:sz w:val="22"/>
            <w:szCs w:val="22"/>
          </w:rPr>
          <w:t>Transportation Benefits Program Act</w:t>
        </w:r>
      </w:hyperlink>
      <w:r w:rsidRPr="00DD7BD1">
        <w:rPr>
          <w:rFonts w:ascii="Calibri" w:hAnsi="Calibri" w:cs="Calibri"/>
          <w:color w:val="292929"/>
          <w:spacing w:val="3"/>
          <w:sz w:val="22"/>
          <w:szCs w:val="22"/>
        </w:rPr>
        <w:t> </w:t>
      </w:r>
      <w:r w:rsidRPr="00DD7BD1">
        <w:rPr>
          <w:rFonts w:ascii="Calibri" w:hAnsi="Calibri" w:cs="Calibri"/>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DD7BD1" w:rsidRDefault="00022BF0" w:rsidP="00514DD1">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DD7BD1" w:rsidRDefault="00514DD1" w:rsidP="00AF4ED7">
      <w:pPr>
        <w:spacing w:after="0" w:line="240" w:lineRule="auto"/>
        <w:jc w:val="both"/>
        <w:rPr>
          <w:rFonts w:ascii="Calibri" w:hAnsi="Calibri" w:cs="Calibri"/>
          <w:b/>
          <w:bCs/>
          <w:color w:val="2E74B5" w:themeColor="accent5" w:themeShade="BF"/>
          <w:shd w:val="clear" w:color="auto" w:fill="FFFFFF"/>
          <w:lang w:val="en"/>
        </w:rPr>
      </w:pPr>
    </w:p>
    <w:p w14:paraId="213E5DD8" w14:textId="2F78CA72" w:rsidR="00402F96" w:rsidRPr="00DD7BD1" w:rsidRDefault="00402F96"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Indiana</w:t>
      </w:r>
    </w:p>
    <w:p w14:paraId="2F48C6AC" w14:textId="77777777" w:rsidR="00FD3270" w:rsidRDefault="00FD3270" w:rsidP="00FD3270">
      <w:pPr>
        <w:jc w:val="center"/>
        <w:rPr>
          <w:rFonts w:ascii="Roboto" w:hAnsi="Roboto"/>
          <w:shd w:val="clear" w:color="auto" w:fill="FFFFFF"/>
        </w:rPr>
      </w:pPr>
      <w:r w:rsidRPr="00057724">
        <w:rPr>
          <w:b/>
          <w:bCs/>
          <w:caps/>
          <w:color w:val="0070C0"/>
          <w:sz w:val="26"/>
          <w:szCs w:val="26"/>
        </w:rPr>
        <w:t>NEW</w:t>
      </w:r>
      <w:r>
        <w:rPr>
          <w:b/>
          <w:bCs/>
          <w:caps/>
          <w:color w:val="0070C0"/>
          <w:sz w:val="26"/>
          <w:szCs w:val="26"/>
        </w:rPr>
        <w:t>!</w:t>
      </w:r>
      <w:r w:rsidRPr="00057724">
        <w:rPr>
          <w:b/>
          <w:bCs/>
          <w:caps/>
          <w:color w:val="0070C0"/>
          <w:sz w:val="26"/>
          <w:szCs w:val="26"/>
        </w:rPr>
        <w:t xml:space="preserve"> </w:t>
      </w:r>
      <w:r w:rsidRPr="00057724">
        <w:rPr>
          <w:b/>
          <w:bCs/>
          <w:caps/>
          <w:noProof/>
          <w:color w:val="0E425C"/>
          <w:sz w:val="26"/>
          <w:szCs w:val="26"/>
        </w:rPr>
        <w:t xml:space="preserve">State Law Imposes Employment Eligibility Requirements Eff </w:t>
      </w:r>
      <w:r w:rsidRPr="00057724">
        <w:rPr>
          <w:b/>
          <w:bCs/>
          <w:caps/>
          <w:color w:val="0070C0"/>
          <w:sz w:val="26"/>
          <w:szCs w:val="26"/>
        </w:rPr>
        <w:t>July 1, 2026</w:t>
      </w:r>
    </w:p>
    <w:p w14:paraId="5E604BCC" w14:textId="3DFDFA74" w:rsidR="00FD3270" w:rsidRPr="00FD3270" w:rsidRDefault="00FD3270" w:rsidP="00FD3270">
      <w:pPr>
        <w:rPr>
          <w:shd w:val="clear" w:color="auto" w:fill="FFFFFF"/>
        </w:rPr>
      </w:pPr>
      <w:r w:rsidRPr="00A2630C">
        <w:rPr>
          <w:shd w:val="clear" w:color="auto" w:fill="FFFFFF"/>
        </w:rPr>
        <w:t>On March 5, 2026, Indiana enacted</w:t>
      </w:r>
      <w:r w:rsidRPr="00C05EAD">
        <w:rPr>
          <w:shd w:val="clear" w:color="auto" w:fill="FFFFFF"/>
        </w:rPr>
        <w:t xml:space="preserve"> </w:t>
      </w:r>
      <w:hyperlink r:id="rId693" w:history="1">
        <w:r w:rsidRPr="00C05EAD">
          <w:rPr>
            <w:rStyle w:val="Hyperlink"/>
            <w:shd w:val="clear" w:color="auto" w:fill="FFFFFF"/>
          </w:rPr>
          <w:t>Senate Bill (SB) 76</w:t>
        </w:r>
      </w:hyperlink>
      <w:r w:rsidRPr="00A2630C">
        <w:rPr>
          <w:shd w:val="clear" w:color="auto" w:fill="FFFFFF"/>
        </w:rPr>
        <w:t xml:space="preserve">, which prohibits employers from knowingly or intentionally recruiting, hiring or continuing to employ unauthorized workers in the state. The new law takes effect on July 1, 2026. The law does not apply to the hiring, recruitment or employment of unauthorized workers that occurred before July 1, 2026. </w:t>
      </w:r>
    </w:p>
    <w:p w14:paraId="7B7C8C8C" w14:textId="5B0B5F9F"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Employee School Conference Leave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July 1, 2025</w:t>
      </w:r>
    </w:p>
    <w:p w14:paraId="7428C095" w14:textId="77777777" w:rsidR="00402F96" w:rsidRPr="00DD7BD1" w:rsidRDefault="00402F96" w:rsidP="00402F96">
      <w:pPr>
        <w:rPr>
          <w:rFonts w:ascii="Calibri" w:hAnsi="Calibri" w:cs="Calibri"/>
        </w:rPr>
      </w:pPr>
      <w:r w:rsidRPr="00DD7BD1">
        <w:rPr>
          <w:rFonts w:ascii="Calibri" w:hAnsi="Calibri" w:cs="Calibri"/>
        </w:rPr>
        <w:t>Effective July 1, 2025, Indiana employers must allow their employees to take unpaid time off to attend certain school conferences concerning their children. The measure expires July 1, 2029</w:t>
      </w:r>
    </w:p>
    <w:p w14:paraId="5A70F95B" w14:textId="77777777" w:rsidR="00402F96" w:rsidRPr="00DD7BD1" w:rsidRDefault="00402F96" w:rsidP="00402F96">
      <w:pPr>
        <w:pStyle w:val="BodyText"/>
        <w:spacing w:after="0" w:line="240" w:lineRule="auto"/>
        <w:rPr>
          <w:rFonts w:cs="Calibri"/>
          <w:color w:val="auto"/>
          <w:sz w:val="16"/>
          <w:szCs w:val="16"/>
        </w:rPr>
      </w:pPr>
    </w:p>
    <w:p w14:paraId="3B1B012F"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 xml:space="preserve">Under the new law, </w:t>
      </w:r>
      <w:hyperlink r:id="rId694" w:history="1">
        <w:r w:rsidRPr="00DD7BD1">
          <w:rPr>
            <w:rStyle w:val="Hyperlink"/>
            <w:rFonts w:cs="Calibri"/>
            <w:szCs w:val="22"/>
          </w:rPr>
          <w:t>SB 409</w:t>
        </w:r>
      </w:hyperlink>
      <w:r w:rsidRPr="00DD7BD1">
        <w:rPr>
          <w:rFonts w:cs="Calibri"/>
          <w:szCs w:val="22"/>
        </w:rPr>
        <w:t xml:space="preserve">, </w:t>
      </w:r>
      <w:r w:rsidRPr="00DD7BD1">
        <w:rPr>
          <w:rFonts w:cs="Calibri"/>
          <w:color w:val="auto"/>
          <w:szCs w:val="22"/>
        </w:rPr>
        <w:t xml:space="preserve">all employers will be prohibited from taking adverse employment action against employees because they were absent from work to attend: </w:t>
      </w:r>
    </w:p>
    <w:p w14:paraId="16093BD9" w14:textId="77777777" w:rsidR="00402F96" w:rsidRPr="00DD7BD1" w:rsidRDefault="00402F96">
      <w:pPr>
        <w:pStyle w:val="BodyText"/>
        <w:numPr>
          <w:ilvl w:val="0"/>
          <w:numId w:val="160"/>
        </w:numPr>
        <w:spacing w:after="0" w:line="240" w:lineRule="auto"/>
        <w:rPr>
          <w:rFonts w:cs="Calibri"/>
          <w:color w:val="auto"/>
          <w:szCs w:val="22"/>
        </w:rPr>
      </w:pPr>
      <w:r w:rsidRPr="00DD7BD1">
        <w:rPr>
          <w:rFonts w:cs="Calibri"/>
          <w:color w:val="auto"/>
          <w:szCs w:val="22"/>
        </w:rPr>
        <w:t xml:space="preserve">An attendance conference concerning their child, pursuant to state law addressing truancy prevention; or </w:t>
      </w:r>
    </w:p>
    <w:p w14:paraId="7B49AA27" w14:textId="77777777" w:rsidR="00402F96" w:rsidRPr="00DD7BD1" w:rsidRDefault="00402F96">
      <w:pPr>
        <w:pStyle w:val="BodyText"/>
        <w:numPr>
          <w:ilvl w:val="0"/>
          <w:numId w:val="160"/>
        </w:numPr>
        <w:spacing w:after="0" w:line="240" w:lineRule="auto"/>
        <w:jc w:val="left"/>
        <w:rPr>
          <w:rFonts w:cs="Calibri"/>
          <w:color w:val="auto"/>
          <w:szCs w:val="22"/>
        </w:rPr>
      </w:pPr>
      <w:r w:rsidRPr="00DD7BD1">
        <w:rPr>
          <w:rFonts w:cs="Calibri"/>
          <w:color w:val="auto"/>
          <w:szCs w:val="22"/>
        </w:rPr>
        <w:t>A case conference committee meeting concerning their child.</w:t>
      </w:r>
    </w:p>
    <w:p w14:paraId="54118E75" w14:textId="77777777" w:rsidR="00402F96" w:rsidRPr="00DD7BD1" w:rsidRDefault="00402F96" w:rsidP="00402F96">
      <w:pPr>
        <w:pStyle w:val="BodyText"/>
        <w:spacing w:after="0" w:line="240" w:lineRule="auto"/>
        <w:jc w:val="left"/>
        <w:rPr>
          <w:rFonts w:cs="Calibri"/>
          <w:color w:val="auto"/>
          <w:sz w:val="16"/>
          <w:szCs w:val="16"/>
        </w:rPr>
      </w:pPr>
    </w:p>
    <w:p w14:paraId="4092F4BF" w14:textId="77777777" w:rsidR="00402F96" w:rsidRPr="00DD7BD1" w:rsidRDefault="00402F96" w:rsidP="00402F96">
      <w:pPr>
        <w:pStyle w:val="BodyText"/>
        <w:spacing w:after="0" w:line="240" w:lineRule="auto"/>
        <w:jc w:val="left"/>
        <w:rPr>
          <w:rFonts w:cs="Calibri"/>
          <w:color w:val="auto"/>
          <w:szCs w:val="22"/>
        </w:rPr>
      </w:pPr>
      <w:r w:rsidRPr="00DD7BD1">
        <w:rPr>
          <w:rFonts w:cs="Calibri"/>
          <w:color w:val="auto"/>
          <w:szCs w:val="22"/>
        </w:rPr>
        <w:t>The law covers conferences and meetings for employees’ biological, adopted, foster or stepchildren.</w:t>
      </w:r>
    </w:p>
    <w:p w14:paraId="60C41FD9"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Employees must give employers at least five days’ advance notice of the conference or meeting.</w:t>
      </w:r>
    </w:p>
    <w:p w14:paraId="0BBD1214" w14:textId="4669AF46" w:rsidR="00402F96" w:rsidRPr="00DD7BD1" w:rsidRDefault="00402F96" w:rsidP="00402F96">
      <w:pPr>
        <w:rPr>
          <w:rFonts w:ascii="Calibri" w:hAnsi="Calibri" w:cs="Calibri"/>
        </w:rPr>
      </w:pPr>
      <w:r w:rsidRPr="00DD7BD1">
        <w:rPr>
          <w:rFonts w:ascii="Calibri" w:hAnsi="Calibri" w:cs="Calibri"/>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 ETC release</w:t>
      </w:r>
      <w:r w:rsidR="00784E6F" w:rsidRPr="00DD7BD1">
        <w:rPr>
          <w:rFonts w:ascii="Calibri" w:hAnsi="Calibri" w:cs="Calibri"/>
        </w:rPr>
        <w:t>d</w:t>
      </w:r>
      <w:r w:rsidRPr="00DD7BD1">
        <w:rPr>
          <w:rFonts w:ascii="Calibri" w:hAnsi="Calibri" w:cs="Calibri"/>
        </w:rPr>
        <w:t xml:space="preserve"> an updated State Handbook Addendum for Indiana ahead of the effective date</w:t>
      </w:r>
      <w:r w:rsidR="00784E6F" w:rsidRPr="00DD7BD1">
        <w:rPr>
          <w:rFonts w:ascii="Calibri" w:hAnsi="Calibri" w:cs="Calibri"/>
        </w:rPr>
        <w:t xml:space="preserve"> May 2025.</w:t>
      </w:r>
    </w:p>
    <w:p w14:paraId="488C978B" w14:textId="15EAA326"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Iowa</w:t>
      </w:r>
    </w:p>
    <w:p w14:paraId="3DCB286A" w14:textId="77777777"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Equal Treatment for Employees Who Adopt Children (Parity for Adoptive Parents) - </w:t>
      </w:r>
      <w:r w:rsidRPr="00DD7BD1">
        <w:rPr>
          <w:rFonts w:ascii="Calibri" w:hAnsi="Calibri" w:cs="Calibri"/>
          <w:b/>
          <w:bCs/>
          <w:color w:val="C00000"/>
          <w:sz w:val="28"/>
          <w:szCs w:val="28"/>
          <w:shd w:val="clear" w:color="auto" w:fill="FFFFFF"/>
          <w:lang w:val="en"/>
        </w:rPr>
        <w:t>Eff July 1, 2025</w:t>
      </w:r>
    </w:p>
    <w:p w14:paraId="1023EB87" w14:textId="112C656C"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Effective July 1, 2025, Iowa employers must provide the same employment benefits and protections to adoptive parents as biological parents. The Iowa Legislature passed </w:t>
      </w:r>
      <w:hyperlink r:id="rId695" w:history="1">
        <w:r w:rsidRPr="00DD7BD1">
          <w:rPr>
            <w:rStyle w:val="Hyperlink"/>
            <w:rFonts w:ascii="Calibri" w:hAnsi="Calibri" w:cs="Calibri"/>
            <w:shd w:val="clear" w:color="auto" w:fill="FFFFFF"/>
          </w:rPr>
          <w:t>House File 248</w:t>
        </w:r>
      </w:hyperlink>
      <w:r w:rsidRPr="00DD7BD1">
        <w:rPr>
          <w:rFonts w:ascii="Calibri" w:hAnsi="Calibri" w:cs="Calibri"/>
          <w:shd w:val="clear" w:color="auto" w:fill="FFFFFF"/>
        </w:rPr>
        <w:t>, providing rights to employees who adopt children. Gov. Kim Reynolds signed the measure into law.</w:t>
      </w:r>
    </w:p>
    <w:p w14:paraId="4D0F48DF"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Employment policies;</w:t>
      </w:r>
    </w:p>
    <w:p w14:paraId="5D40F614"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Benefits; and </w:t>
      </w:r>
    </w:p>
    <w:p w14:paraId="202D3AA1" w14:textId="77777777" w:rsidR="00784E6F" w:rsidRPr="00DD7BD1" w:rsidRDefault="00784E6F">
      <w:pPr>
        <w:pStyle w:val="ListParagraph"/>
        <w:numPr>
          <w:ilvl w:val="0"/>
          <w:numId w:val="217"/>
        </w:num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 xml:space="preserve">Protections. </w:t>
      </w:r>
      <w:r w:rsidRPr="00DD7BD1">
        <w:rPr>
          <w:rFonts w:ascii="Calibri" w:hAnsi="Calibri" w:cs="Calibri"/>
          <w:shd w:val="clear" w:color="auto" w:fill="FFFFFF"/>
        </w:rPr>
        <w:br/>
      </w:r>
    </w:p>
    <w:p w14:paraId="022EF268"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requirement for equal treatment applies during the first year of the child’s adoption.</w:t>
      </w:r>
    </w:p>
    <w:p w14:paraId="5E1630EF" w14:textId="77777777" w:rsidR="00784E6F" w:rsidRPr="00DD7BD1" w:rsidRDefault="00784E6F" w:rsidP="00784E6F">
      <w:pPr>
        <w:pStyle w:val="ListParagraph"/>
        <w:ind w:left="0"/>
        <w:rPr>
          <w:rFonts w:ascii="Calibri" w:hAnsi="Calibri" w:cs="Calibri"/>
          <w:sz w:val="16"/>
          <w:szCs w:val="16"/>
          <w:shd w:val="clear" w:color="auto" w:fill="FFFFFF"/>
        </w:rPr>
      </w:pPr>
    </w:p>
    <w:p w14:paraId="3A666139" w14:textId="1672E45E"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b/>
          <w:bCs/>
          <w:highlight w:val="lightGray"/>
          <w:shd w:val="clear" w:color="auto" w:fill="FFFFFF"/>
        </w:rPr>
        <w:t>Employer-Takeaway</w:t>
      </w:r>
      <w:r w:rsidRPr="00DD7BD1">
        <w:rPr>
          <w:rFonts w:ascii="Calibri" w:hAnsi="Calibri" w:cs="Calibri"/>
          <w:shd w:val="clear" w:color="auto" w:fill="FFFFFF"/>
        </w:rPr>
        <w:t>: Employers should review their company policies to ensure none exist counter this new enactment.</w:t>
      </w:r>
    </w:p>
    <w:p w14:paraId="1B13EE6A" w14:textId="77777777" w:rsidR="00784E6F" w:rsidRPr="00DD7BD1" w:rsidRDefault="00784E6F" w:rsidP="00784E6F">
      <w:pPr>
        <w:pStyle w:val="ListParagraph"/>
        <w:ind w:left="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Drug Testing Regulatory Updates – </w:t>
      </w:r>
      <w:r w:rsidRPr="00DD7BD1">
        <w:rPr>
          <w:rFonts w:ascii="Calibri" w:hAnsi="Calibri" w:cs="Calibri"/>
          <w:b/>
          <w:bCs/>
          <w:color w:val="C00000"/>
          <w:sz w:val="28"/>
          <w:szCs w:val="28"/>
          <w:shd w:val="clear" w:color="auto" w:fill="FFFFFF"/>
        </w:rPr>
        <w:t>Eff July 1, 2025</w:t>
      </w:r>
    </w:p>
    <w:p w14:paraId="66AE0A8F"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state has made two minor changes to its employment drug and alcohol testing laws.</w:t>
      </w:r>
    </w:p>
    <w:p w14:paraId="3DD7F6AD" w14:textId="77777777" w:rsidR="00784E6F" w:rsidRPr="00DD7BD1" w:rsidRDefault="00784E6F" w:rsidP="00784E6F">
      <w:pPr>
        <w:pStyle w:val="ListParagraph"/>
        <w:ind w:left="0"/>
        <w:rPr>
          <w:rFonts w:ascii="Calibri" w:hAnsi="Calibri" w:cs="Calibri"/>
          <w:shd w:val="clear" w:color="auto" w:fill="FFFFFF"/>
        </w:rPr>
      </w:pPr>
    </w:p>
    <w:p w14:paraId="211F25D0"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Pr="00DD7BD1" w:rsidRDefault="00784E6F" w:rsidP="00784E6F">
      <w:pPr>
        <w:pStyle w:val="ListParagraph"/>
        <w:ind w:left="0"/>
        <w:rPr>
          <w:rFonts w:ascii="Calibri" w:hAnsi="Calibri" w:cs="Calibri"/>
          <w:shd w:val="clear" w:color="auto" w:fill="FFFFFF"/>
        </w:rPr>
      </w:pPr>
    </w:p>
    <w:p w14:paraId="6A996DBD" w14:textId="0EAACE79" w:rsidR="00784E6F"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105BEC51" w14:textId="77777777" w:rsidR="00DF1DC8" w:rsidRDefault="00DF1DC8" w:rsidP="00784E6F">
      <w:pPr>
        <w:pStyle w:val="ListParagraph"/>
        <w:ind w:left="0"/>
        <w:rPr>
          <w:rFonts w:ascii="Calibri" w:hAnsi="Calibri" w:cs="Calibri"/>
          <w:shd w:val="clear" w:color="auto" w:fill="FFFFFF"/>
        </w:rPr>
      </w:pPr>
    </w:p>
    <w:p w14:paraId="44C59671" w14:textId="4651EE62" w:rsidR="00DF1DC8" w:rsidRDefault="00DF1DC8" w:rsidP="00784E6F">
      <w:pPr>
        <w:pStyle w:val="ListParagraph"/>
        <w:ind w:left="0"/>
        <w:rPr>
          <w:rFonts w:ascii="Calibri" w:hAnsi="Calibri" w:cs="Calibri"/>
          <w:b/>
          <w:bCs/>
          <w:color w:val="2E74B5" w:themeColor="accent5" w:themeShade="BF"/>
          <w:sz w:val="28"/>
          <w:szCs w:val="28"/>
          <w:shd w:val="clear" w:color="auto" w:fill="FFFFFF"/>
          <w:lang w:val="en"/>
        </w:rPr>
      </w:pPr>
      <w:r w:rsidRPr="00DF1DC8">
        <w:rPr>
          <w:rFonts w:ascii="Calibri" w:hAnsi="Calibri" w:cs="Calibri"/>
          <w:b/>
          <w:bCs/>
          <w:color w:val="2E74B5" w:themeColor="accent5" w:themeShade="BF"/>
          <w:sz w:val="28"/>
          <w:szCs w:val="28"/>
          <w:shd w:val="clear" w:color="auto" w:fill="FFFFFF"/>
          <w:lang w:val="en"/>
        </w:rPr>
        <w:t>Kentucky</w:t>
      </w:r>
    </w:p>
    <w:p w14:paraId="25CD7407" w14:textId="77777777" w:rsidR="007A1F76" w:rsidRPr="00BE1E04" w:rsidRDefault="007A1F76" w:rsidP="00E07A37">
      <w:pPr>
        <w:jc w:val="center"/>
        <w:rPr>
          <w:b/>
          <w:bCs/>
          <w:caps/>
          <w:noProof/>
          <w:color w:val="0E425C"/>
          <w:sz w:val="26"/>
          <w:szCs w:val="26"/>
        </w:rPr>
      </w:pPr>
      <w:r w:rsidRPr="00BE1E04">
        <w:rPr>
          <w:b/>
          <w:bCs/>
          <w:caps/>
          <w:color w:val="0070C0"/>
          <w:sz w:val="26"/>
          <w:szCs w:val="26"/>
        </w:rPr>
        <w:t xml:space="preserve">New! </w:t>
      </w:r>
      <w:r w:rsidRPr="00BE1E04">
        <w:rPr>
          <w:b/>
          <w:bCs/>
          <w:caps/>
          <w:noProof/>
          <w:color w:val="0E425C"/>
          <w:sz w:val="26"/>
          <w:szCs w:val="26"/>
        </w:rPr>
        <w:t xml:space="preserve">Tipped Employee Definition </w:t>
      </w:r>
      <w:r>
        <w:rPr>
          <w:b/>
          <w:bCs/>
          <w:caps/>
          <w:noProof/>
          <w:color w:val="0E425C"/>
          <w:sz w:val="26"/>
          <w:szCs w:val="26"/>
        </w:rPr>
        <w:t xml:space="preserve">Updated </w:t>
      </w:r>
      <w:r w:rsidRPr="005E5793">
        <w:rPr>
          <w:b/>
          <w:bCs/>
          <w:caps/>
          <w:noProof/>
          <w:color w:val="0E425C"/>
          <w:sz w:val="26"/>
          <w:szCs w:val="26"/>
        </w:rPr>
        <w:t>Eff</w:t>
      </w:r>
      <w:r>
        <w:rPr>
          <w:b/>
          <w:bCs/>
          <w:caps/>
          <w:noProof/>
          <w:color w:val="0E425C"/>
          <w:sz w:val="26"/>
          <w:szCs w:val="26"/>
        </w:rPr>
        <w:t>ective</w:t>
      </w:r>
      <w:r w:rsidRPr="005E5793">
        <w:rPr>
          <w:b/>
          <w:bCs/>
          <w:caps/>
          <w:noProof/>
          <w:color w:val="0E425C"/>
          <w:sz w:val="26"/>
          <w:szCs w:val="26"/>
        </w:rPr>
        <w:t xml:space="preserve"> </w:t>
      </w:r>
      <w:r w:rsidRPr="001D2E4F">
        <w:rPr>
          <w:b/>
          <w:bCs/>
          <w:caps/>
          <w:color w:val="0070C0"/>
          <w:sz w:val="26"/>
          <w:szCs w:val="26"/>
        </w:rPr>
        <w:t>April 10, 2026</w:t>
      </w:r>
    </w:p>
    <w:p w14:paraId="55E8FD91" w14:textId="77777777" w:rsidR="007A1F76" w:rsidRPr="002D5422" w:rsidRDefault="007A1F76" w:rsidP="007A1F76">
      <w:r w:rsidRPr="002D5422">
        <w:rPr>
          <w:b/>
          <w:bCs/>
          <w:highlight w:val="lightGray"/>
        </w:rPr>
        <w:t>Employer Takeaway:</w:t>
      </w:r>
      <w:r w:rsidRPr="002D5422">
        <w:rPr>
          <w:b/>
          <w:bCs/>
        </w:rPr>
        <w:t xml:space="preserve"> </w:t>
      </w:r>
      <w:r w:rsidRPr="002D5422">
        <w:t xml:space="preserve">Employers with tipped employees in Kentucky should review and update payroll processes to reflect the updated definition of “tipped employee” &amp; “tip pooling arrangements” to ensure compliance with new regulations. </w:t>
      </w:r>
    </w:p>
    <w:p w14:paraId="66549963" w14:textId="77777777" w:rsidR="007A1F76" w:rsidRPr="00A11F2A" w:rsidRDefault="007A1F76" w:rsidP="007A1F76">
      <w:pPr>
        <w:rPr>
          <w:highlight w:val="yellow"/>
        </w:rPr>
      </w:pPr>
      <w:r w:rsidRPr="002D5422">
        <w:t>On April 10, 2026, Kentucky passed a</w:t>
      </w:r>
      <w:r>
        <w:t xml:space="preserve"> </w:t>
      </w:r>
      <w:hyperlink r:id="rId696" w:history="1">
        <w:r w:rsidRPr="00FE1EFA">
          <w:rPr>
            <w:rStyle w:val="Hyperlink"/>
          </w:rPr>
          <w:t>law</w:t>
        </w:r>
      </w:hyperlink>
      <w:r>
        <w:t xml:space="preserve"> </w:t>
      </w:r>
      <w:r w:rsidRPr="002D5422">
        <w:t>updating the definition of “tipped employee” and rules regarding tip pools.  In Kentucky, tipped employee wages are calculated using a cash wage, a tip credit and the state minimum wage rate. The cash wage in Kentucky is $2.13 per hour. The cash wage is determined by subtracting the tip credit from the minimum wage rate. State law requires that employers make up the difference when an employee’s tips, combined with the employee’s cash wage, fall below the minimum wage.</w:t>
      </w:r>
    </w:p>
    <w:p w14:paraId="568D5284" w14:textId="77777777" w:rsidR="007A1F76" w:rsidRPr="00914812" w:rsidRDefault="007A1F76" w:rsidP="007A1F76">
      <w:pPr>
        <w:rPr>
          <w:b/>
          <w:bCs/>
        </w:rPr>
      </w:pPr>
      <w:r w:rsidRPr="00914812">
        <w:rPr>
          <w:b/>
          <w:bCs/>
        </w:rPr>
        <w:t>Updated Definition of “Tipped Employee”</w:t>
      </w:r>
    </w:p>
    <w:p w14:paraId="06A36CD8" w14:textId="77777777" w:rsidR="007A1F76" w:rsidRPr="002D5422" w:rsidRDefault="007A1F76" w:rsidP="007A1F76">
      <w:r w:rsidRPr="002D5422">
        <w:t xml:space="preserve">In Kentucky, a </w:t>
      </w:r>
      <w:r w:rsidRPr="002D5422">
        <w:rPr>
          <w:b/>
          <w:bCs/>
        </w:rPr>
        <w:t>tipped employee</w:t>
      </w:r>
      <w:r w:rsidRPr="002D5422">
        <w:t xml:space="preserve"> is any employee engaged in an occupation in which the employee customarily and regularly receives more than $30 per month in tips. The law updates the definition of a “tipped employee” by requiring a tipped employee to also: </w:t>
      </w:r>
    </w:p>
    <w:p w14:paraId="46935A9B" w14:textId="77777777" w:rsidR="007A1F76" w:rsidRPr="002D5422" w:rsidRDefault="007A1F76" w:rsidP="007A1F76">
      <w:pPr>
        <w:pStyle w:val="Bullet"/>
        <w:spacing w:after="80"/>
        <w:ind w:left="648"/>
        <w:rPr>
          <w:color w:val="auto"/>
        </w:rPr>
      </w:pPr>
      <w:r w:rsidRPr="002D5422">
        <w:rPr>
          <w:color w:val="auto"/>
        </w:rPr>
        <w:t xml:space="preserve">Perform work that directly supports or is itself the service function for which a customer would tip, regardless of whether the employee performs the service function; or </w:t>
      </w:r>
    </w:p>
    <w:p w14:paraId="1E07D8BB" w14:textId="77777777" w:rsidR="007A1F76" w:rsidRPr="002D5422" w:rsidRDefault="007A1F76" w:rsidP="007A1F76">
      <w:pPr>
        <w:pStyle w:val="Bullet"/>
        <w:spacing w:after="80"/>
        <w:ind w:left="648"/>
        <w:rPr>
          <w:color w:val="auto"/>
        </w:rPr>
      </w:pPr>
      <w:r w:rsidRPr="002D5422">
        <w:rPr>
          <w:color w:val="auto"/>
        </w:rPr>
        <w:t>Directly supports the service function that involves any amount of direct customer interaction or is performed in the direct line of sight of customers.</w:t>
      </w:r>
    </w:p>
    <w:p w14:paraId="4ECF0B9C" w14:textId="51B34243" w:rsidR="00DF1DC8" w:rsidRPr="00C649F8" w:rsidRDefault="007A1F76" w:rsidP="00C649F8">
      <w:r w:rsidRPr="002D5422">
        <w:t>The new law also clarifies that a tip pooling arrangement may include tipped employees but must exclude salaried employees, managers or supervisors.</w:t>
      </w:r>
    </w:p>
    <w:p w14:paraId="3CC9C7AA" w14:textId="064B3990" w:rsidR="00646562" w:rsidRPr="00DD7BD1" w:rsidRDefault="001C5F42" w:rsidP="00C2099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Louisiana </w:t>
      </w:r>
    </w:p>
    <w:p w14:paraId="36BCBFF8" w14:textId="43C41A26" w:rsidR="001C5F42" w:rsidRPr="00DD7BD1" w:rsidRDefault="001C5F42" w:rsidP="0064656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Update</w:t>
      </w:r>
      <w:r w:rsidR="003B29FD" w:rsidRPr="00DD7BD1">
        <w:rPr>
          <w:rFonts w:ascii="Calibri" w:hAnsi="Calibri" w:cs="Calibri"/>
          <w:b/>
          <w:bCs/>
          <w:sz w:val="28"/>
          <w:szCs w:val="28"/>
          <w:shd w:val="clear" w:color="auto" w:fill="FFFFFF"/>
        </w:rPr>
        <w:t>d</w:t>
      </w:r>
      <w:r w:rsidRPr="00DD7BD1">
        <w:rPr>
          <w:rFonts w:ascii="Calibri" w:hAnsi="Calibri" w:cs="Calibri"/>
          <w:b/>
          <w:bCs/>
          <w:sz w:val="28"/>
          <w:szCs w:val="28"/>
          <w:shd w:val="clear" w:color="auto" w:fill="FFFFFF"/>
        </w:rPr>
        <w:t xml:space="preserve"> Meal Breaks for Minors – </w:t>
      </w:r>
      <w:r w:rsidRPr="00DD7BD1">
        <w:rPr>
          <w:rFonts w:ascii="Calibri" w:hAnsi="Calibri" w:cs="Calibri"/>
          <w:b/>
          <w:bCs/>
          <w:color w:val="C00000"/>
          <w:sz w:val="28"/>
          <w:szCs w:val="28"/>
          <w:shd w:val="clear" w:color="auto" w:fill="FFFFFF"/>
        </w:rPr>
        <w:t>Aug 1, 2024</w:t>
      </w:r>
    </w:p>
    <w:p w14:paraId="777DEBF4" w14:textId="62A492C2" w:rsidR="001C5F42" w:rsidRPr="00DD7BD1" w:rsidRDefault="001C5F42"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As of August 1, 2024, the law requiring meal breaks for minors will </w:t>
      </w:r>
      <w:r w:rsidRPr="00DD7BD1">
        <w:rPr>
          <w:rFonts w:ascii="Calibri" w:hAnsi="Calibri" w:cs="Calibri"/>
          <w:i/>
          <w:iCs/>
          <w:shd w:val="clear" w:color="auto" w:fill="FFFFFF"/>
        </w:rPr>
        <w:t>only</w:t>
      </w:r>
      <w:r w:rsidRPr="00DD7BD1">
        <w:rPr>
          <w:rFonts w:ascii="Calibri" w:hAnsi="Calibri" w:cs="Calibri"/>
          <w:shd w:val="clear" w:color="auto" w:fill="FFFFFF"/>
        </w:rPr>
        <w:t xml:space="preserve"> apply to minors who are 15 years old or younger. </w:t>
      </w:r>
      <w:hyperlink r:id="rId697" w:tgtFrame="_blank" w:history="1">
        <w:r w:rsidRPr="00DD7BD1">
          <w:rPr>
            <w:rStyle w:val="Hyperlink"/>
            <w:rFonts w:ascii="Calibri" w:hAnsi="Calibri" w:cs="Calibri"/>
            <w:shd w:val="clear" w:color="auto" w:fill="FFFFFF"/>
          </w:rPr>
          <w:t>HB 156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signed by the governor on June 11, 2024.</w:t>
      </w:r>
    </w:p>
    <w:p w14:paraId="7497A70A" w14:textId="77777777" w:rsidR="001C5F42" w:rsidRPr="00DD7BD1" w:rsidRDefault="001C5F42" w:rsidP="00AF4ED7">
      <w:pPr>
        <w:spacing w:after="0" w:line="240" w:lineRule="auto"/>
        <w:jc w:val="both"/>
        <w:rPr>
          <w:rFonts w:ascii="Calibri" w:hAnsi="Calibri" w:cs="Calibri"/>
          <w:b/>
          <w:bCs/>
          <w:color w:val="2E74B5" w:themeColor="accent5" w:themeShade="BF"/>
          <w:shd w:val="clear" w:color="auto" w:fill="FFFFFF"/>
          <w:lang w:val="en"/>
        </w:rPr>
      </w:pPr>
    </w:p>
    <w:p w14:paraId="116AE09B" w14:textId="77777777" w:rsidR="003B29FD" w:rsidRPr="00DD7BD1" w:rsidRDefault="00AF4ED7" w:rsidP="003B29F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Maine</w:t>
      </w:r>
    </w:p>
    <w:p w14:paraId="751BEC0C" w14:textId="77777777" w:rsidR="00E07A37" w:rsidRDefault="00E07A37" w:rsidP="00E07A37">
      <w:pPr>
        <w:jc w:val="center"/>
        <w:rPr>
          <w:b/>
          <w:bCs/>
          <w:caps/>
          <w:noProof/>
          <w:color w:val="0E425C"/>
          <w:sz w:val="26"/>
          <w:szCs w:val="26"/>
        </w:rPr>
      </w:pPr>
      <w:r w:rsidRPr="009D398E">
        <w:rPr>
          <w:b/>
          <w:bCs/>
          <w:caps/>
          <w:color w:val="0070C0"/>
          <w:sz w:val="26"/>
          <w:szCs w:val="26"/>
        </w:rPr>
        <w:t xml:space="preserve">New! </w:t>
      </w:r>
      <w:r>
        <w:rPr>
          <w:b/>
          <w:bCs/>
          <w:caps/>
          <w:noProof/>
          <w:color w:val="0E425C"/>
          <w:sz w:val="26"/>
          <w:szCs w:val="26"/>
        </w:rPr>
        <w:t xml:space="preserve">StAte Enacts Wage Transparency Regulations Effective </w:t>
      </w:r>
      <w:r w:rsidRPr="00185826">
        <w:rPr>
          <w:b/>
          <w:bCs/>
          <w:caps/>
          <w:color w:val="0070C0"/>
          <w:sz w:val="26"/>
          <w:szCs w:val="26"/>
        </w:rPr>
        <w:t>JUly 1, 2026</w:t>
      </w:r>
    </w:p>
    <w:p w14:paraId="4B3B78FA" w14:textId="77777777" w:rsidR="00E07A37" w:rsidRDefault="00E07A37" w:rsidP="00E07A37">
      <w:r w:rsidRPr="0079289B">
        <w:t xml:space="preserve">The enactment of </w:t>
      </w:r>
      <w:hyperlink r:id="rId698" w:history="1">
        <w:r w:rsidRPr="009D398E">
          <w:rPr>
            <w:rStyle w:val="Hyperlink"/>
          </w:rPr>
          <w:t>LD 54,</w:t>
        </w:r>
      </w:hyperlink>
      <w:r>
        <w:t xml:space="preserve"> Maine will mandate wage </w:t>
      </w:r>
      <w:r w:rsidRPr="005A7DBC">
        <w:t>transparency in job postings. </w:t>
      </w:r>
      <w:r>
        <w:t>A</w:t>
      </w:r>
      <w:r w:rsidRPr="00CC59BE">
        <w:t xml:space="preserve">ll employers with 10 or more employees </w:t>
      </w:r>
      <w:r>
        <w:t>will be required to</w:t>
      </w:r>
      <w:r w:rsidRPr="00CC59BE">
        <w:t xml:space="preserve"> include a prospective “range of pay” in any job posting. </w:t>
      </w:r>
      <w:r w:rsidRPr="00075034">
        <w:t>The new law covers electronic and printed job postings made by an employer directly or through a third party. In addition to mandating wage transparency in job postings, LD 54 also requires that upon the request of an employee, an employer shall disclose the range of pay the employer offers for the position the employee currently holds. </w:t>
      </w:r>
    </w:p>
    <w:p w14:paraId="439CE8F6" w14:textId="77777777" w:rsidR="00E07A37" w:rsidRPr="00CC59BE" w:rsidRDefault="00E07A37" w:rsidP="00E07A37">
      <w:r w:rsidRPr="00CC59BE">
        <w:t>The law defines “range of pay” as:</w:t>
      </w:r>
    </w:p>
    <w:p w14:paraId="75A1EC8C" w14:textId="77777777" w:rsidR="00E07A37" w:rsidRPr="006C4A7E" w:rsidRDefault="00E07A37" w:rsidP="00E07A37">
      <w:pPr>
        <w:rPr>
          <w:i/>
          <w:iCs/>
        </w:rPr>
      </w:pPr>
      <w:r w:rsidRPr="006C4A7E">
        <w:rPr>
          <w:i/>
          <w:iCs/>
        </w:rPr>
        <w:t>the range of pay that an employer anticipates relying on in setting wages for a position, including, but not limited to:</w:t>
      </w:r>
    </w:p>
    <w:p w14:paraId="5FFCA620" w14:textId="77777777" w:rsidR="00E07A37" w:rsidRPr="00CC59BE" w:rsidRDefault="00E07A37" w:rsidP="00E07A37">
      <w:r w:rsidRPr="00CC59BE">
        <w:t>(1) Any applicable pay scale; </w:t>
      </w:r>
    </w:p>
    <w:p w14:paraId="7A7E0FC9" w14:textId="77777777" w:rsidR="00E07A37" w:rsidRPr="00CC59BE" w:rsidRDefault="00E07A37" w:rsidP="00E07A37">
      <w:r w:rsidRPr="00CC59BE">
        <w:t>(2) A previously determined range of wages for the position; </w:t>
      </w:r>
    </w:p>
    <w:p w14:paraId="51307D04" w14:textId="77777777" w:rsidR="00E07A37" w:rsidRPr="00CC59BE" w:rsidRDefault="00E07A37" w:rsidP="00E07A37">
      <w:r w:rsidRPr="00CC59BE">
        <w:t>(3) The actual range of wages for those currently holding equivalent positions; or </w:t>
      </w:r>
    </w:p>
    <w:p w14:paraId="4C38EAFA" w14:textId="77777777" w:rsidR="00E07A37" w:rsidRPr="00CC59BE" w:rsidRDefault="00E07A37" w:rsidP="00E07A37">
      <w:r w:rsidRPr="00CC59BE">
        <w:t>(4) The budgeted amount for the position.</w:t>
      </w:r>
    </w:p>
    <w:p w14:paraId="3E9B6192" w14:textId="77777777" w:rsidR="00E07A37" w:rsidRDefault="00E07A37" w:rsidP="00E07A37">
      <w:r w:rsidRPr="00CC59BE">
        <w:t>26 MRSA §622-A(1)(B). </w:t>
      </w:r>
    </w:p>
    <w:p w14:paraId="6B76A7B5" w14:textId="032E3B9B" w:rsidR="001E43A5" w:rsidRDefault="00E07A37" w:rsidP="00E07A37">
      <w:r>
        <w:t>Employer Takeaway: Covered employers should review any current (as of July) job postings to ensure required disclosure of pay ranges and update processes to ensure future job postings meet compliance requirements.</w:t>
      </w:r>
    </w:p>
    <w:p w14:paraId="4A2B8A9E" w14:textId="77777777" w:rsidR="001E43A5" w:rsidRDefault="001E43A5" w:rsidP="001E43A5">
      <w:pPr>
        <w:jc w:val="center"/>
        <w:rPr>
          <w:b/>
          <w:bCs/>
          <w:caps/>
          <w:noProof/>
          <w:color w:val="0E425C"/>
          <w:sz w:val="28"/>
          <w:szCs w:val="28"/>
        </w:rPr>
      </w:pPr>
      <w:r w:rsidRPr="0000153A">
        <w:rPr>
          <w:b/>
          <w:bCs/>
          <w:caps/>
          <w:noProof/>
          <w:color w:val="0E425C"/>
          <w:sz w:val="26"/>
          <w:szCs w:val="26"/>
        </w:rPr>
        <w:t>State Paid Family &amp; medical Leave Benefits Effective</w:t>
      </w:r>
      <w:r>
        <w:rPr>
          <w:b/>
          <w:bCs/>
          <w:caps/>
          <w:noProof/>
          <w:color w:val="0E425C"/>
          <w:sz w:val="28"/>
          <w:szCs w:val="28"/>
        </w:rPr>
        <w:t xml:space="preserve"> </w:t>
      </w:r>
      <w:r w:rsidRPr="0000153A">
        <w:rPr>
          <w:b/>
          <w:bCs/>
          <w:caps/>
          <w:color w:val="0070C0"/>
          <w:sz w:val="26"/>
          <w:szCs w:val="26"/>
        </w:rPr>
        <w:t>May 1, 2026</w:t>
      </w:r>
    </w:p>
    <w:p w14:paraId="0371BD52" w14:textId="77777777" w:rsidR="001E43A5" w:rsidRPr="004D382C" w:rsidRDefault="001E43A5" w:rsidP="001E43A5">
      <w:r w:rsidRPr="004D382C">
        <w:t>As a reminder, Maine’s paid family and medical leave (PFML) benefits will be available to employees beginning May 1, 2026. Employees who work for at least 120 consecutive calendar days prior to taking leave will generally be entitled to job protection.</w:t>
      </w:r>
    </w:p>
    <w:p w14:paraId="3D78B82C" w14:textId="77777777" w:rsidR="001E43A5" w:rsidRPr="004D382C" w:rsidRDefault="001E43A5" w:rsidP="001E43A5">
      <w:r w:rsidRPr="004D382C">
        <w:rPr>
          <w:b/>
          <w:bCs/>
        </w:rPr>
        <w:t>Notice and Posting</w:t>
      </w:r>
      <w:r>
        <w:rPr>
          <w:b/>
          <w:bCs/>
        </w:rPr>
        <w:t xml:space="preserve"> Requirements</w:t>
      </w:r>
    </w:p>
    <w:p w14:paraId="5B3E5177" w14:textId="77777777" w:rsidR="001E43A5" w:rsidRPr="004D382C" w:rsidRDefault="001E43A5">
      <w:pPr>
        <w:pStyle w:val="ListParagraph"/>
        <w:numPr>
          <w:ilvl w:val="0"/>
          <w:numId w:val="334"/>
        </w:numPr>
        <w:spacing w:after="100" w:line="276" w:lineRule="auto"/>
      </w:pPr>
      <w:r w:rsidRPr="004D382C">
        <w:t xml:space="preserve">Employers are required to provide new hires with a written notice within 30 days of hire in the employee’s primary language. </w:t>
      </w:r>
    </w:p>
    <w:p w14:paraId="00C82823" w14:textId="77777777" w:rsidR="001E43A5" w:rsidRPr="004D382C" w:rsidRDefault="001E43A5">
      <w:pPr>
        <w:pStyle w:val="ListParagraph"/>
        <w:numPr>
          <w:ilvl w:val="0"/>
          <w:numId w:val="334"/>
        </w:numPr>
        <w:spacing w:after="100" w:line="276" w:lineRule="auto"/>
      </w:pPr>
      <w:r w:rsidRPr="004D382C">
        <w:t>Employers are required to display a poster in a conspicuous place in English and in any language that is the primary language of at least three employees</w:t>
      </w:r>
    </w:p>
    <w:p w14:paraId="19B87B64" w14:textId="77777777" w:rsidR="001E43A5" w:rsidRPr="004D382C" w:rsidRDefault="001E43A5">
      <w:pPr>
        <w:pStyle w:val="ListParagraph"/>
        <w:numPr>
          <w:ilvl w:val="0"/>
          <w:numId w:val="334"/>
        </w:numPr>
        <w:spacing w:after="100" w:line="276" w:lineRule="auto"/>
      </w:pPr>
      <w:r w:rsidRPr="004D382C">
        <w:t>See State Labor Notice Updates Section in April’s HR WIRE to access Notices</w:t>
      </w:r>
    </w:p>
    <w:p w14:paraId="7D51E783" w14:textId="2CDC7C43" w:rsidR="001E43A5" w:rsidRPr="00E07A37" w:rsidRDefault="001E43A5" w:rsidP="00E07A37">
      <w:r w:rsidRPr="00BE0AA9">
        <w:t xml:space="preserve">ETC released </w:t>
      </w:r>
      <w:r>
        <w:t>an</w:t>
      </w:r>
      <w:r w:rsidRPr="00BE0AA9">
        <w:t xml:space="preserve"> updated </w:t>
      </w:r>
      <w:r w:rsidRPr="00BE0AA9">
        <w:rPr>
          <w:b/>
          <w:bCs/>
        </w:rPr>
        <w:t>State Handbook Addendum</w:t>
      </w:r>
      <w:r w:rsidRPr="00BE0AA9">
        <w:t xml:space="preserve"> </w:t>
      </w:r>
      <w:r>
        <w:t>which includes the</w:t>
      </w:r>
      <w:r w:rsidRPr="00BE0AA9">
        <w:t xml:space="preserve"> State PFML Policy, February 2026  </w:t>
      </w:r>
    </w:p>
    <w:p w14:paraId="5670EDD3" w14:textId="14AC2BAD" w:rsidR="00127BCE" w:rsidRPr="00DD7BD1" w:rsidRDefault="00127BCE" w:rsidP="00943075">
      <w:pPr>
        <w:spacing w:after="0" w:line="240" w:lineRule="auto"/>
        <w:ind w:left="108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w:t>
      </w:r>
      <w:r w:rsidRPr="00DD7BD1">
        <w:rPr>
          <w:rFonts w:ascii="Calibri" w:hAnsi="Calibri" w:cs="Calibri"/>
          <w:b/>
          <w:bCs/>
          <w:sz w:val="28"/>
          <w:szCs w:val="28"/>
          <w:shd w:val="clear" w:color="auto" w:fill="FFFFFF"/>
          <w:lang w:val="en"/>
        </w:rPr>
        <w:t xml:space="preserve"> New Restrictions on Workplace Monitoring – </w:t>
      </w:r>
      <w:r w:rsidRPr="00DD7BD1">
        <w:rPr>
          <w:rFonts w:ascii="Calibri" w:hAnsi="Calibri" w:cs="Calibri"/>
          <w:b/>
          <w:bCs/>
          <w:color w:val="C00000"/>
          <w:sz w:val="28"/>
          <w:szCs w:val="28"/>
          <w:shd w:val="clear" w:color="auto" w:fill="FFFFFF"/>
          <w:lang w:val="en"/>
        </w:rPr>
        <w:t>Expected July 2026</w:t>
      </w:r>
    </w:p>
    <w:p w14:paraId="4560ADAA"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 </w:t>
      </w:r>
      <w:r w:rsidRPr="00DD7BD1">
        <w:rPr>
          <w:rFonts w:ascii="Calibri" w:hAnsi="Calibri" w:cs="Calibri"/>
          <w:b/>
          <w:bCs/>
          <w:shd w:val="clear" w:color="auto" w:fill="FFFFFF"/>
        </w:rPr>
        <w:t xml:space="preserve"> An Act to Regulate Employer Surveillance to Protect Workers </w:t>
      </w:r>
      <w:r w:rsidRPr="00DD7BD1">
        <w:rPr>
          <w:rFonts w:ascii="Calibri" w:hAnsi="Calibri" w:cs="Calibri"/>
          <w:shd w:val="clear" w:color="auto" w:fill="FFFFFF"/>
        </w:rPr>
        <w:t>(</w:t>
      </w:r>
      <w:hyperlink r:id="rId699" w:history="1">
        <w:r w:rsidRPr="00DD7BD1">
          <w:rPr>
            <w:rStyle w:val="Hyperlink"/>
            <w:rFonts w:ascii="Calibri" w:hAnsi="Calibri" w:cs="Calibri"/>
            <w:shd w:val="clear" w:color="auto" w:fill="FFFFFF"/>
          </w:rPr>
          <w:t>LD 61</w:t>
        </w:r>
      </w:hyperlink>
      <w:r w:rsidRPr="00DD7BD1">
        <w:rPr>
          <w:rFonts w:ascii="Calibri" w:hAnsi="Calibri" w:cs="Calibri"/>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28F32FD2" w14:textId="77777777" w:rsidR="00127BCE" w:rsidRPr="00DD7BD1" w:rsidRDefault="00127BCE" w:rsidP="00660A2F">
      <w:pPr>
        <w:spacing w:after="0" w:line="240" w:lineRule="auto"/>
        <w:rPr>
          <w:rFonts w:ascii="Calibri" w:hAnsi="Calibri" w:cs="Calibri"/>
          <w:sz w:val="16"/>
          <w:szCs w:val="16"/>
          <w:shd w:val="clear" w:color="auto" w:fill="FFFFFF"/>
        </w:rPr>
      </w:pPr>
    </w:p>
    <w:p w14:paraId="147E55B2"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DAA4F4D"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19B11B4F" w14:textId="77777777" w:rsidR="00127BCE" w:rsidRPr="00DD7BD1" w:rsidRDefault="00127BCE" w:rsidP="00660A2F">
      <w:pPr>
        <w:spacing w:after="0" w:line="240" w:lineRule="auto"/>
        <w:rPr>
          <w:rFonts w:ascii="Calibri" w:hAnsi="Calibri" w:cs="Calibri"/>
          <w:sz w:val="16"/>
          <w:szCs w:val="16"/>
          <w:shd w:val="clear" w:color="auto" w:fill="FFFFFF"/>
        </w:rPr>
      </w:pPr>
    </w:p>
    <w:p w14:paraId="3A71737A"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Banned Practices and Notice Requirements</w:t>
      </w:r>
    </w:p>
    <w:p w14:paraId="2D67D7A1"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prohibits certain practices by employers. That includes:</w:t>
      </w:r>
    </w:p>
    <w:p w14:paraId="03C7F9D5" w14:textId="77777777" w:rsidR="00127BCE" w:rsidRPr="00DD7BD1" w:rsidRDefault="00127BCE">
      <w:pPr>
        <w:numPr>
          <w:ilvl w:val="0"/>
          <w:numId w:val="320"/>
        </w:numPr>
        <w:spacing w:after="0" w:line="240" w:lineRule="auto"/>
        <w:ind w:left="810"/>
        <w:rPr>
          <w:rFonts w:ascii="Calibri" w:hAnsi="Calibri" w:cs="Calibri"/>
          <w:shd w:val="clear" w:color="auto" w:fill="FFFFFF"/>
        </w:rPr>
      </w:pPr>
      <w:r w:rsidRPr="00DD7BD1">
        <w:rPr>
          <w:rFonts w:ascii="Calibri" w:hAnsi="Calibri" w:cs="Calibri"/>
          <w:shd w:val="clear" w:color="auto" w:fill="FFFFFF"/>
        </w:rPr>
        <w:t>Engaging in surveillance in an employee’s home, on the employee’s personal property, or in the employee’s personal vehicle, unless such surveillance is required or necessary for the employee’s job duties.</w:t>
      </w:r>
    </w:p>
    <w:p w14:paraId="29C818A7" w14:textId="77777777" w:rsidR="00127BCE" w:rsidRPr="00DD7BD1" w:rsidRDefault="00127BCE">
      <w:pPr>
        <w:numPr>
          <w:ilvl w:val="0"/>
          <w:numId w:val="320"/>
        </w:numPr>
        <w:spacing w:after="0" w:line="240" w:lineRule="auto"/>
        <w:ind w:left="810"/>
        <w:rPr>
          <w:rFonts w:ascii="Calibri" w:hAnsi="Calibri" w:cs="Calibri"/>
          <w:shd w:val="clear" w:color="auto" w:fill="FFFFFF"/>
        </w:rPr>
      </w:pPr>
      <w:r w:rsidRPr="00DD7BD1">
        <w:rPr>
          <w:rFonts w:ascii="Calibri" w:hAnsi="Calibri" w:cs="Calibri"/>
          <w:shd w:val="clear" w:color="auto" w:fill="FFFFFF"/>
        </w:rPr>
        <w:t>Requiring their staff to install data collecting software on their personal devices. The law allows employees to decline an employer’s request to install such applications on their device.</w:t>
      </w:r>
    </w:p>
    <w:p w14:paraId="7C6681F3" w14:textId="77777777" w:rsidR="00127BCE" w:rsidRPr="00DD7BD1" w:rsidRDefault="00127BCE" w:rsidP="00660A2F">
      <w:pPr>
        <w:spacing w:after="0" w:line="240" w:lineRule="auto"/>
        <w:ind w:left="810"/>
        <w:rPr>
          <w:rFonts w:ascii="Calibri" w:hAnsi="Calibri" w:cs="Calibri"/>
          <w:sz w:val="16"/>
          <w:szCs w:val="16"/>
          <w:shd w:val="clear" w:color="auto" w:fill="FFFFFF"/>
        </w:rPr>
      </w:pPr>
    </w:p>
    <w:p w14:paraId="03944BD4" w14:textId="77777777" w:rsidR="00127BCE" w:rsidRPr="00DD7BD1" w:rsidRDefault="00127BCE" w:rsidP="00660A2F">
      <w:pPr>
        <w:spacing w:after="0" w:line="240" w:lineRule="auto"/>
        <w:ind w:left="810"/>
        <w:rPr>
          <w:rFonts w:ascii="Calibri" w:hAnsi="Calibri" w:cs="Calibri"/>
          <w:shd w:val="clear" w:color="auto" w:fill="FFFFFF"/>
        </w:rPr>
      </w:pPr>
      <w:r w:rsidRPr="00DD7BD1">
        <w:rPr>
          <w:rFonts w:ascii="Calibri" w:hAnsi="Calibri" w:cs="Calibri"/>
          <w:shd w:val="clear" w:color="auto" w:fill="FFFFFF"/>
        </w:rPr>
        <w:t>The law also sets out several new disclosure requirements including that employers must:</w:t>
      </w:r>
    </w:p>
    <w:p w14:paraId="6B2DC3ED"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Inform employees before implementing any electronic monitoring</w:t>
      </w:r>
    </w:p>
    <w:p w14:paraId="55C258FA"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Disclose to job applicants that the employer engages in employee monitoring</w:t>
      </w:r>
    </w:p>
    <w:p w14:paraId="1BDC4EA8"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Provide employees with an annual written notice confirming that the company conducts employee surveillance</w:t>
      </w:r>
    </w:p>
    <w:p w14:paraId="6DC242B8" w14:textId="77777777" w:rsidR="00127BCE" w:rsidRPr="00DD7BD1" w:rsidRDefault="00127BCE" w:rsidP="00660A2F">
      <w:pPr>
        <w:spacing w:after="0" w:line="240" w:lineRule="auto"/>
        <w:ind w:left="540"/>
        <w:rPr>
          <w:rFonts w:ascii="Calibri" w:hAnsi="Calibri" w:cs="Calibri"/>
          <w:b/>
          <w:bCs/>
          <w:sz w:val="16"/>
          <w:szCs w:val="16"/>
          <w:shd w:val="clear" w:color="auto" w:fill="FFFFFF"/>
        </w:rPr>
      </w:pPr>
    </w:p>
    <w:p w14:paraId="508675D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Penalties</w:t>
      </w:r>
    </w:p>
    <w:p w14:paraId="5162BF32"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The Maine Department of Labor is authorized to enforce LD 61 and to impose civil penalties for violations, ranging from a minimum of $100 to a maximum of $500 per violation. There is no private right of action.</w:t>
      </w:r>
    </w:p>
    <w:p w14:paraId="544DCD0F" w14:textId="77777777" w:rsidR="00127BCE" w:rsidRPr="00DD7BD1" w:rsidRDefault="00127BCE" w:rsidP="00660A2F">
      <w:pPr>
        <w:spacing w:after="0" w:line="240" w:lineRule="auto"/>
        <w:rPr>
          <w:rFonts w:ascii="Calibri" w:hAnsi="Calibri" w:cs="Calibri"/>
          <w:b/>
          <w:bCs/>
          <w:sz w:val="16"/>
          <w:szCs w:val="16"/>
          <w:shd w:val="clear" w:color="auto" w:fill="FFFFFF"/>
        </w:rPr>
      </w:pPr>
    </w:p>
    <w:p w14:paraId="47C0A7DE"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Looking Ahead</w:t>
      </w:r>
    </w:p>
    <w:p w14:paraId="44F4CD4F"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will become effective 90 days after the close of Maine’s current legislative session. Employers should expect LD 61 to be effective summer 2026, likely July 14.</w:t>
      </w:r>
    </w:p>
    <w:p w14:paraId="7E752B7C" w14:textId="77777777" w:rsidR="00127BCE" w:rsidRPr="00DD7BD1" w:rsidRDefault="00127BCE" w:rsidP="00660A2F">
      <w:pPr>
        <w:spacing w:after="0" w:line="240" w:lineRule="auto"/>
        <w:rPr>
          <w:rFonts w:ascii="Calibri" w:hAnsi="Calibri" w:cs="Calibri"/>
          <w:sz w:val="16"/>
          <w:szCs w:val="16"/>
          <w:shd w:val="clear" w:color="auto" w:fill="FFFFFF"/>
        </w:rPr>
      </w:pPr>
    </w:p>
    <w:p w14:paraId="7012217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299CD63"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Employers operating in Maine or across multiple states should consider:</w:t>
      </w:r>
    </w:p>
    <w:p w14:paraId="616900A4"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Policy updates -</w:t>
      </w:r>
      <w:r w:rsidRPr="00DD7BD1">
        <w:rPr>
          <w:rFonts w:ascii="Calibri" w:hAnsi="Calibri" w:cs="Calibri"/>
          <w:shd w:val="clear" w:color="auto" w:fill="FFFFFF"/>
        </w:rPr>
        <w:t> Review employee handbooks, acceptable use policies, and privacy policies to ensure they describe electronic monitoring practices accurately.</w:t>
      </w:r>
    </w:p>
    <w:p w14:paraId="144A7DD5" w14:textId="77777777" w:rsidR="00127BCE" w:rsidRPr="00DD7BD1" w:rsidRDefault="00127BCE">
      <w:pPr>
        <w:pStyle w:val="ListParagraph"/>
        <w:numPr>
          <w:ilvl w:val="2"/>
          <w:numId w:val="322"/>
        </w:numPr>
        <w:spacing w:after="0" w:line="240" w:lineRule="auto"/>
        <w:ind w:left="1350"/>
        <w:rPr>
          <w:rFonts w:ascii="Calibri" w:hAnsi="Calibri" w:cs="Calibri"/>
          <w:shd w:val="clear" w:color="auto" w:fill="FFFFFF"/>
        </w:rPr>
      </w:pPr>
      <w:r w:rsidRPr="00DD7BD1">
        <w:rPr>
          <w:rFonts w:ascii="Calibri" w:hAnsi="Calibri" w:cs="Calibri"/>
          <w:b/>
          <w:bCs/>
          <w:shd w:val="clear" w:color="auto" w:fill="FFFFFF"/>
        </w:rPr>
        <w:t xml:space="preserve">Bring-Your-Own-Device Policies - </w:t>
      </w:r>
      <w:r w:rsidRPr="00DD7BD1">
        <w:rPr>
          <w:rFonts w:ascii="Calibri" w:hAnsi="Calibri" w:cs="Calibri"/>
          <w:shd w:val="clear" w:color="auto" w:fill="FFFFFF"/>
        </w:rPr>
        <w:t>Consider how LD 61 may impact the use of such policies, and how to work with employees that decline to install monitoring software on their personal devices.</w:t>
      </w:r>
    </w:p>
    <w:p w14:paraId="08CA0E3A"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Notice protocols -</w:t>
      </w:r>
      <w:r w:rsidRPr="00DD7BD1">
        <w:rPr>
          <w:rFonts w:ascii="Calibri" w:hAnsi="Calibri" w:cs="Calibri"/>
          <w:shd w:val="clear" w:color="auto" w:fill="FFFFFF"/>
        </w:rPr>
        <w:t> Implement notice policies and procedures for current employees and for job applicants.</w:t>
      </w:r>
    </w:p>
    <w:p w14:paraId="4A90833D"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Training and documentation -</w:t>
      </w:r>
      <w:r w:rsidRPr="00DD7BD1">
        <w:rPr>
          <w:rFonts w:ascii="Calibri" w:hAnsi="Calibri" w:cs="Calibri"/>
          <w:shd w:val="clear" w:color="auto" w:fill="FFFFFF"/>
        </w:rPr>
        <w:t> Train on new obligations and maintain documentation of employee notices and acknowledgments.</w:t>
      </w:r>
    </w:p>
    <w:p w14:paraId="00DB161E" w14:textId="77777777" w:rsidR="00092274" w:rsidRPr="00DD7BD1" w:rsidRDefault="00092274" w:rsidP="00C2099D">
      <w:pPr>
        <w:spacing w:after="0" w:line="240" w:lineRule="auto"/>
        <w:jc w:val="center"/>
        <w:rPr>
          <w:rFonts w:ascii="Calibri" w:hAnsi="Calibri" w:cs="Calibri"/>
          <w:b/>
          <w:bCs/>
          <w:shd w:val="clear" w:color="auto" w:fill="FFFFFF"/>
          <w:lang w:val="en"/>
        </w:rPr>
      </w:pPr>
    </w:p>
    <w:p w14:paraId="2DD31715" w14:textId="227BC256" w:rsidR="00C2099D" w:rsidRPr="00DD7BD1" w:rsidRDefault="00C2099D" w:rsidP="00C2099D">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Jan 1, 2026</w:t>
      </w:r>
    </w:p>
    <w:p w14:paraId="16295A8C"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Statewide</w:t>
      </w:r>
      <w:r w:rsidRPr="00DD7BD1">
        <w:rPr>
          <w:rFonts w:ascii="Calibri" w:hAnsi="Calibri" w:cs="Calibri"/>
          <w:shd w:val="clear" w:color="auto" w:fill="FFFFFF"/>
        </w:rPr>
        <w:t>: The minimum wage in Maine will increase to $15.10 per hour. The minimum base wage for tipped employees will increase to $7.55 per hour. Additionally, the minimum amount a tipped employee needs to earn through tips alone in order for the employer to take a tip credit will increase to $191 per month.</w:t>
      </w:r>
    </w:p>
    <w:p w14:paraId="4B835F23"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shd w:val="clear" w:color="auto" w:fill="FFFFFF"/>
        </w:rPr>
        <w:t>The minimum salary for exempt executive, administrative, and professional employees will increase to $871.16 per week, or $45,300.32 per year.</w:t>
      </w:r>
    </w:p>
    <w:p w14:paraId="09E596FD"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Portland</w:t>
      </w:r>
      <w:r w:rsidRPr="00DD7BD1">
        <w:rPr>
          <w:rFonts w:ascii="Calibri" w:hAnsi="Calibri" w:cs="Calibri"/>
          <w:shd w:val="clear" w:color="auto" w:fill="FFFFFF"/>
        </w:rPr>
        <w:t>: The minimum wage in Portland will increase to $16.75 per hour. The minimum base wage for tipped employees will increase to $8.38 per hour.</w:t>
      </w:r>
    </w:p>
    <w:p w14:paraId="47DE1026"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Rockland</w:t>
      </w:r>
      <w:r w:rsidRPr="00DD7BD1">
        <w:rPr>
          <w:rFonts w:ascii="Calibri" w:hAnsi="Calibri" w:cs="Calibri"/>
          <w:shd w:val="clear" w:color="auto" w:fill="FFFFFF"/>
        </w:rPr>
        <w:t>: The minimum wage in Rockland for employers with 26 or more employees will increase to $16 per hour, and the minimum base wage for tipped employees will increase to $8 per hour. Smaller employers can pay the state minimum wage and tipped employee base wage.</w:t>
      </w:r>
    </w:p>
    <w:p w14:paraId="241AA906" w14:textId="77777777" w:rsidR="00C2099D" w:rsidRPr="00DD7BD1" w:rsidRDefault="00C2099D" w:rsidP="00F9575D">
      <w:pPr>
        <w:spacing w:after="0" w:line="240" w:lineRule="auto"/>
        <w:ind w:right="-274"/>
        <w:jc w:val="center"/>
        <w:rPr>
          <w:rFonts w:ascii="Calibri" w:hAnsi="Calibri" w:cs="Calibri"/>
          <w:b/>
          <w:bCs/>
          <w:shd w:val="clear" w:color="auto" w:fill="FFFFFF"/>
        </w:rPr>
      </w:pPr>
    </w:p>
    <w:p w14:paraId="0444D62F" w14:textId="57C46319" w:rsidR="00F9575D" w:rsidRPr="00DD7BD1" w:rsidRDefault="00F9575D" w:rsidP="00F9575D">
      <w:pPr>
        <w:spacing w:after="0" w:line="240" w:lineRule="auto"/>
        <w:ind w:right="-274"/>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Reporting Time Pay &amp; Updates Earned Paid Leave – Eff </w:t>
      </w:r>
      <w:r w:rsidRPr="00DD7BD1">
        <w:rPr>
          <w:rFonts w:ascii="Calibri" w:hAnsi="Calibri" w:cs="Calibri"/>
          <w:b/>
          <w:bCs/>
          <w:color w:val="C00000"/>
          <w:sz w:val="28"/>
          <w:szCs w:val="28"/>
          <w:shd w:val="clear" w:color="auto" w:fill="FFFFFF"/>
        </w:rPr>
        <w:t>Sept 24, 2025</w:t>
      </w:r>
    </w:p>
    <w:p w14:paraId="5FD969E4"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Reporting Time Pay</w:t>
      </w:r>
    </w:p>
    <w:p w14:paraId="32C03F19"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 xml:space="preserve">Employers with </w:t>
      </w:r>
      <w:r w:rsidRPr="00DD7BD1">
        <w:rPr>
          <w:rFonts w:cs="Calibri"/>
          <w:color w:val="auto"/>
          <w:w w:val="110"/>
          <w:szCs w:val="22"/>
          <w:u w:val="single"/>
        </w:rPr>
        <w:t>10 or more employees</w:t>
      </w:r>
      <w:r w:rsidRPr="00DD7BD1">
        <w:rPr>
          <w:rFonts w:cs="Calibri"/>
          <w:color w:val="auto"/>
          <w:w w:val="110"/>
          <w:szCs w:val="22"/>
        </w:rPr>
        <w:t xml:space="preserve"> will need to pay nonexempt employees for reporting to work when the </w:t>
      </w:r>
      <w:r w:rsidRPr="00DD7BD1">
        <w:rPr>
          <w:rFonts w:cs="Calibri"/>
          <w:color w:val="auto"/>
          <w:spacing w:val="-2"/>
          <w:w w:val="110"/>
          <w:szCs w:val="22"/>
        </w:rPr>
        <w:t>employer</w:t>
      </w:r>
      <w:r w:rsidRPr="00DD7BD1">
        <w:rPr>
          <w:rFonts w:cs="Calibri"/>
          <w:color w:val="auto"/>
          <w:spacing w:val="-12"/>
          <w:w w:val="110"/>
          <w:szCs w:val="22"/>
        </w:rPr>
        <w:t xml:space="preserve"> </w:t>
      </w:r>
      <w:r w:rsidRPr="00DD7BD1">
        <w:rPr>
          <w:rFonts w:cs="Calibri"/>
          <w:color w:val="auto"/>
          <w:spacing w:val="-2"/>
          <w:w w:val="110"/>
          <w:szCs w:val="22"/>
        </w:rPr>
        <w:t>cancels</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4"/>
          <w:w w:val="110"/>
          <w:szCs w:val="22"/>
        </w:rPr>
        <w:t xml:space="preserve"> </w:t>
      </w:r>
      <w:r w:rsidRPr="00DD7BD1">
        <w:rPr>
          <w:rFonts w:cs="Calibri"/>
          <w:color w:val="auto"/>
          <w:spacing w:val="-2"/>
          <w:w w:val="110"/>
          <w:szCs w:val="22"/>
        </w:rPr>
        <w:t>reduces</w:t>
      </w:r>
      <w:r w:rsidRPr="00DD7BD1">
        <w:rPr>
          <w:rFonts w:cs="Calibri"/>
          <w:color w:val="auto"/>
          <w:spacing w:val="-11"/>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hours</w:t>
      </w:r>
      <w:r w:rsidRPr="00DD7BD1">
        <w:rPr>
          <w:rFonts w:cs="Calibri"/>
          <w:color w:val="auto"/>
          <w:spacing w:val="-13"/>
          <w:w w:val="110"/>
          <w:szCs w:val="22"/>
        </w:rPr>
        <w:t xml:space="preserve"> </w:t>
      </w:r>
      <w:r w:rsidRPr="00DD7BD1">
        <w:rPr>
          <w:rFonts w:cs="Calibri"/>
          <w:color w:val="auto"/>
          <w:spacing w:val="-2"/>
          <w:w w:val="110"/>
          <w:szCs w:val="22"/>
        </w:rPr>
        <w:t>they</w:t>
      </w:r>
      <w:r w:rsidRPr="00DD7BD1">
        <w:rPr>
          <w:rFonts w:cs="Calibri"/>
          <w:color w:val="auto"/>
          <w:spacing w:val="-11"/>
          <w:w w:val="110"/>
          <w:szCs w:val="22"/>
        </w:rPr>
        <w:t xml:space="preserve"> </w:t>
      </w:r>
      <w:r w:rsidRPr="00DD7BD1">
        <w:rPr>
          <w:rFonts w:cs="Calibri"/>
          <w:color w:val="auto"/>
          <w:spacing w:val="-2"/>
          <w:w w:val="110"/>
          <w:szCs w:val="22"/>
        </w:rPr>
        <w:t>were</w:t>
      </w:r>
      <w:r w:rsidRPr="00DD7BD1">
        <w:rPr>
          <w:rFonts w:cs="Calibri"/>
          <w:color w:val="auto"/>
          <w:spacing w:val="-15"/>
          <w:w w:val="110"/>
          <w:szCs w:val="22"/>
        </w:rPr>
        <w:t xml:space="preserve"> </w:t>
      </w:r>
      <w:r w:rsidRPr="00DD7BD1">
        <w:rPr>
          <w:rFonts w:cs="Calibri"/>
          <w:color w:val="auto"/>
          <w:spacing w:val="-2"/>
          <w:w w:val="110"/>
          <w:szCs w:val="22"/>
        </w:rPr>
        <w:t>scheduled</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1"/>
          <w:w w:val="110"/>
          <w:szCs w:val="22"/>
        </w:rPr>
        <w:t xml:space="preserve"> </w:t>
      </w:r>
      <w:r w:rsidRPr="00DD7BD1">
        <w:rPr>
          <w:rFonts w:cs="Calibri"/>
          <w:color w:val="auto"/>
          <w:spacing w:val="-2"/>
          <w:w w:val="110"/>
          <w:szCs w:val="22"/>
        </w:rPr>
        <w:t>work</w:t>
      </w:r>
      <w:r w:rsidRPr="00DD7BD1">
        <w:rPr>
          <w:rFonts w:cs="Calibri"/>
          <w:color w:val="auto"/>
          <w:spacing w:val="-9"/>
          <w:w w:val="110"/>
          <w:szCs w:val="22"/>
        </w:rPr>
        <w:t xml:space="preserve"> </w:t>
      </w:r>
      <w:r w:rsidRPr="00DD7BD1">
        <w:rPr>
          <w:rFonts w:cs="Calibri"/>
          <w:color w:val="auto"/>
          <w:spacing w:val="-2"/>
          <w:w w:val="110"/>
          <w:szCs w:val="22"/>
        </w:rPr>
        <w:t>under</w:t>
      </w:r>
      <w:r w:rsidRPr="00DD7BD1">
        <w:rPr>
          <w:rFonts w:cs="Calibri"/>
          <w:color w:val="auto"/>
          <w:spacing w:val="-12"/>
          <w:w w:val="110"/>
          <w:szCs w:val="22"/>
        </w:rPr>
        <w:t xml:space="preserve"> </w:t>
      </w:r>
      <w:hyperlink r:id="rId700">
        <w:r w:rsidRPr="00DD7BD1">
          <w:rPr>
            <w:rFonts w:cs="Calibri"/>
            <w:color w:val="0000FF"/>
            <w:spacing w:val="-2"/>
            <w:w w:val="110"/>
            <w:szCs w:val="22"/>
            <w:u w:val="single" w:color="0000FF"/>
          </w:rPr>
          <w:t>S</w:t>
        </w:r>
        <w:r w:rsidRPr="00DD7BD1">
          <w:rPr>
            <w:rFonts w:cs="Calibri"/>
            <w:color w:val="0000FF"/>
            <w:spacing w:val="-13"/>
            <w:w w:val="110"/>
            <w:szCs w:val="22"/>
            <w:u w:val="single" w:color="0000FF"/>
          </w:rPr>
          <w:t xml:space="preserve"> </w:t>
        </w:r>
        <w:r w:rsidRPr="00DD7BD1">
          <w:rPr>
            <w:rFonts w:cs="Calibri"/>
            <w:color w:val="0000FF"/>
            <w:spacing w:val="-2"/>
            <w:w w:val="110"/>
            <w:szCs w:val="22"/>
            <w:u w:val="single" w:color="0000FF"/>
          </w:rPr>
          <w:t>282</w:t>
        </w:r>
      </w:hyperlink>
      <w:r w:rsidRPr="00DD7BD1">
        <w:rPr>
          <w:rFonts w:cs="Calibri"/>
          <w:spacing w:val="-2"/>
          <w:w w:val="110"/>
          <w:szCs w:val="22"/>
        </w:rPr>
        <w:t>.</w:t>
      </w:r>
      <w:r w:rsidRPr="00DD7BD1">
        <w:rPr>
          <w:rFonts w:cs="Calibri"/>
          <w:spacing w:val="-12"/>
          <w:w w:val="110"/>
          <w:szCs w:val="22"/>
        </w:rPr>
        <w:t xml:space="preserve"> </w:t>
      </w:r>
      <w:r w:rsidRPr="00DD7BD1">
        <w:rPr>
          <w:rFonts w:cs="Calibri"/>
          <w:color w:val="auto"/>
          <w:spacing w:val="-2"/>
          <w:w w:val="110"/>
          <w:szCs w:val="22"/>
        </w:rPr>
        <w:t>In</w:t>
      </w:r>
      <w:r w:rsidRPr="00DD7BD1">
        <w:rPr>
          <w:rFonts w:cs="Calibri"/>
          <w:color w:val="auto"/>
          <w:spacing w:val="-12"/>
          <w:w w:val="110"/>
          <w:szCs w:val="22"/>
        </w:rPr>
        <w:t xml:space="preserve"> </w:t>
      </w:r>
      <w:r w:rsidRPr="00DD7BD1">
        <w:rPr>
          <w:rFonts w:cs="Calibri"/>
          <w:color w:val="auto"/>
          <w:spacing w:val="-2"/>
          <w:w w:val="110"/>
          <w:szCs w:val="22"/>
        </w:rPr>
        <w:t>these</w:t>
      </w:r>
      <w:r w:rsidRPr="00DD7BD1">
        <w:rPr>
          <w:rFonts w:cs="Calibri"/>
          <w:color w:val="auto"/>
          <w:spacing w:val="-12"/>
          <w:w w:val="110"/>
          <w:szCs w:val="22"/>
        </w:rPr>
        <w:t xml:space="preserve"> </w:t>
      </w:r>
      <w:r w:rsidRPr="00DD7BD1">
        <w:rPr>
          <w:rFonts w:cs="Calibri"/>
          <w:color w:val="auto"/>
          <w:spacing w:val="-2"/>
          <w:w w:val="110"/>
          <w:szCs w:val="22"/>
        </w:rPr>
        <w:t>cases,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employee</w:t>
      </w:r>
      <w:r w:rsidRPr="00DD7BD1">
        <w:rPr>
          <w:rFonts w:cs="Calibri"/>
          <w:color w:val="auto"/>
          <w:spacing w:val="-15"/>
          <w:w w:val="110"/>
          <w:szCs w:val="22"/>
        </w:rPr>
        <w:t xml:space="preserve"> </w:t>
      </w:r>
      <w:r w:rsidRPr="00DD7BD1">
        <w:rPr>
          <w:rFonts w:cs="Calibri"/>
          <w:color w:val="auto"/>
          <w:spacing w:val="-2"/>
          <w:w w:val="110"/>
          <w:szCs w:val="22"/>
        </w:rPr>
        <w:t xml:space="preserve">must </w:t>
      </w:r>
      <w:r w:rsidRPr="00DD7BD1">
        <w:rPr>
          <w:rFonts w:cs="Calibri"/>
          <w:color w:val="auto"/>
          <w:w w:val="110"/>
          <w:szCs w:val="22"/>
        </w:rPr>
        <w:t>be paid the lesser of:</w:t>
      </w:r>
    </w:p>
    <w:p w14:paraId="144171CF"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Two</w:t>
      </w:r>
      <w:r w:rsidRPr="00DD7BD1">
        <w:rPr>
          <w:rFonts w:ascii="Calibri" w:hAnsi="Calibri" w:cs="Calibri"/>
          <w:spacing w:val="19"/>
        </w:rPr>
        <w:t xml:space="preserve"> </w:t>
      </w:r>
      <w:r w:rsidRPr="00DD7BD1">
        <w:rPr>
          <w:rFonts w:ascii="Calibri" w:hAnsi="Calibri" w:cs="Calibri"/>
        </w:rPr>
        <w:t>hours</w:t>
      </w:r>
      <w:r w:rsidRPr="00DD7BD1">
        <w:rPr>
          <w:rFonts w:ascii="Calibri" w:hAnsi="Calibri" w:cs="Calibri"/>
          <w:spacing w:val="19"/>
        </w:rPr>
        <w:t xml:space="preserve"> </w:t>
      </w:r>
      <w:r w:rsidRPr="00DD7BD1">
        <w:rPr>
          <w:rFonts w:ascii="Calibri" w:hAnsi="Calibri" w:cs="Calibri"/>
        </w:rPr>
        <w:t>of</w:t>
      </w:r>
      <w:r w:rsidRPr="00DD7BD1">
        <w:rPr>
          <w:rFonts w:ascii="Calibri" w:hAnsi="Calibri" w:cs="Calibri"/>
          <w:spacing w:val="17"/>
        </w:rPr>
        <w:t xml:space="preserve"> </w:t>
      </w:r>
      <w:r w:rsidRPr="00DD7BD1">
        <w:rPr>
          <w:rFonts w:ascii="Calibri" w:hAnsi="Calibri" w:cs="Calibri"/>
        </w:rPr>
        <w:t>pay</w:t>
      </w:r>
      <w:r w:rsidRPr="00DD7BD1">
        <w:rPr>
          <w:rFonts w:ascii="Calibri" w:hAnsi="Calibri" w:cs="Calibri"/>
          <w:spacing w:val="20"/>
        </w:rPr>
        <w:t xml:space="preserve"> </w:t>
      </w:r>
      <w:r w:rsidRPr="00DD7BD1">
        <w:rPr>
          <w:rFonts w:ascii="Calibri" w:hAnsi="Calibri" w:cs="Calibri"/>
        </w:rPr>
        <w:t>at</w:t>
      </w:r>
      <w:r w:rsidRPr="00DD7BD1">
        <w:rPr>
          <w:rFonts w:ascii="Calibri" w:hAnsi="Calibri" w:cs="Calibri"/>
          <w:spacing w:val="20"/>
        </w:rPr>
        <w:t xml:space="preserve"> </w:t>
      </w:r>
      <w:r w:rsidRPr="00DD7BD1">
        <w:rPr>
          <w:rFonts w:ascii="Calibri" w:hAnsi="Calibri" w:cs="Calibri"/>
        </w:rPr>
        <w:t>their</w:t>
      </w:r>
      <w:r w:rsidRPr="00DD7BD1">
        <w:rPr>
          <w:rFonts w:ascii="Calibri" w:hAnsi="Calibri" w:cs="Calibri"/>
          <w:spacing w:val="16"/>
        </w:rPr>
        <w:t xml:space="preserve"> </w:t>
      </w:r>
      <w:r w:rsidRPr="00DD7BD1">
        <w:rPr>
          <w:rFonts w:ascii="Calibri" w:hAnsi="Calibri" w:cs="Calibri"/>
        </w:rPr>
        <w:t>regular</w:t>
      </w:r>
      <w:r w:rsidRPr="00DD7BD1">
        <w:rPr>
          <w:rFonts w:ascii="Calibri" w:hAnsi="Calibri" w:cs="Calibri"/>
          <w:spacing w:val="21"/>
        </w:rPr>
        <w:t xml:space="preserve"> </w:t>
      </w:r>
      <w:r w:rsidRPr="00DD7BD1">
        <w:rPr>
          <w:rFonts w:ascii="Calibri" w:hAnsi="Calibri" w:cs="Calibri"/>
        </w:rPr>
        <w:t>hourly</w:t>
      </w:r>
      <w:r w:rsidRPr="00DD7BD1">
        <w:rPr>
          <w:rFonts w:ascii="Calibri" w:hAnsi="Calibri" w:cs="Calibri"/>
          <w:spacing w:val="22"/>
        </w:rPr>
        <w:t xml:space="preserve"> </w:t>
      </w:r>
      <w:r w:rsidRPr="00DD7BD1">
        <w:rPr>
          <w:rFonts w:ascii="Calibri" w:hAnsi="Calibri" w:cs="Calibri"/>
        </w:rPr>
        <w:t>rate</w:t>
      </w:r>
      <w:r w:rsidRPr="00DD7BD1">
        <w:rPr>
          <w:rFonts w:ascii="Calibri" w:hAnsi="Calibri" w:cs="Calibri"/>
          <w:spacing w:val="18"/>
        </w:rPr>
        <w:t xml:space="preserve"> </w:t>
      </w:r>
      <w:r w:rsidRPr="00DD7BD1">
        <w:rPr>
          <w:rFonts w:ascii="Calibri" w:hAnsi="Calibri" w:cs="Calibri"/>
        </w:rPr>
        <w:t>of</w:t>
      </w:r>
      <w:r w:rsidRPr="00DD7BD1">
        <w:rPr>
          <w:rFonts w:ascii="Calibri" w:hAnsi="Calibri" w:cs="Calibri"/>
          <w:spacing w:val="18"/>
        </w:rPr>
        <w:t xml:space="preserve"> </w:t>
      </w:r>
      <w:r w:rsidRPr="00DD7BD1">
        <w:rPr>
          <w:rFonts w:ascii="Calibri" w:hAnsi="Calibri" w:cs="Calibri"/>
          <w:spacing w:val="-5"/>
        </w:rPr>
        <w:t>pay</w:t>
      </w:r>
    </w:p>
    <w:p w14:paraId="2DB7CFDE"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total</w:t>
      </w:r>
      <w:r w:rsidRPr="00DD7BD1">
        <w:rPr>
          <w:rFonts w:ascii="Calibri" w:hAnsi="Calibri" w:cs="Calibri"/>
          <w:spacing w:val="-12"/>
          <w:w w:val="110"/>
        </w:rPr>
        <w:t xml:space="preserve"> </w:t>
      </w:r>
      <w:r w:rsidRPr="00DD7BD1">
        <w:rPr>
          <w:rFonts w:ascii="Calibri" w:hAnsi="Calibri" w:cs="Calibri"/>
          <w:spacing w:val="-2"/>
          <w:w w:val="110"/>
        </w:rPr>
        <w:t>pay</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scheduled</w:t>
      </w:r>
      <w:r w:rsidRPr="00DD7BD1">
        <w:rPr>
          <w:rFonts w:ascii="Calibri" w:hAnsi="Calibri" w:cs="Calibri"/>
          <w:spacing w:val="-10"/>
          <w:w w:val="110"/>
        </w:rPr>
        <w:t xml:space="preserve"> </w:t>
      </w:r>
      <w:r w:rsidRPr="00DD7BD1">
        <w:rPr>
          <w:rFonts w:ascii="Calibri" w:hAnsi="Calibri" w:cs="Calibri"/>
          <w:spacing w:val="-2"/>
          <w:w w:val="110"/>
        </w:rPr>
        <w:t>shift</w:t>
      </w:r>
    </w:p>
    <w:p w14:paraId="7FAE3DED" w14:textId="77777777" w:rsidR="00F9575D" w:rsidRPr="00DD7BD1" w:rsidRDefault="00F9575D" w:rsidP="00F9575D">
      <w:pPr>
        <w:pStyle w:val="Heading4"/>
        <w:spacing w:before="0"/>
        <w:ind w:right="-274"/>
        <w:rPr>
          <w:rFonts w:ascii="Calibri" w:eastAsia="Times New Roman" w:hAnsi="Calibri" w:cs="Calibri"/>
          <w:b/>
          <w:bCs/>
          <w:i w:val="0"/>
          <w:iCs w:val="0"/>
          <w:color w:val="auto"/>
          <w:sz w:val="16"/>
          <w:szCs w:val="16"/>
        </w:rPr>
      </w:pPr>
    </w:p>
    <w:p w14:paraId="5A8ABBD6" w14:textId="77777777" w:rsidR="00F9575D" w:rsidRPr="00DD7BD1" w:rsidRDefault="00F9575D" w:rsidP="00F9575D">
      <w:pPr>
        <w:pStyle w:val="Heading4"/>
        <w:spacing w:before="0"/>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Exceptions</w:t>
      </w:r>
    </w:p>
    <w:p w14:paraId="1754DBA2"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employer</w:t>
      </w:r>
      <w:r w:rsidRPr="00DD7BD1">
        <w:rPr>
          <w:rFonts w:cs="Calibri"/>
          <w:color w:val="auto"/>
          <w:spacing w:val="-9"/>
          <w:w w:val="110"/>
          <w:szCs w:val="22"/>
        </w:rPr>
        <w:t xml:space="preserve"> </w:t>
      </w:r>
      <w:r w:rsidRPr="00DD7BD1">
        <w:rPr>
          <w:rFonts w:cs="Calibri"/>
          <w:color w:val="auto"/>
          <w:spacing w:val="-2"/>
          <w:w w:val="110"/>
          <w:szCs w:val="22"/>
        </w:rPr>
        <w:t>doesn’t</w:t>
      </w:r>
      <w:r w:rsidRPr="00DD7BD1">
        <w:rPr>
          <w:rFonts w:cs="Calibri"/>
          <w:color w:val="auto"/>
          <w:spacing w:val="-12"/>
          <w:w w:val="110"/>
          <w:szCs w:val="22"/>
        </w:rPr>
        <w:t xml:space="preserve"> </w:t>
      </w:r>
      <w:r w:rsidRPr="00DD7BD1">
        <w:rPr>
          <w:rFonts w:cs="Calibri"/>
          <w:color w:val="auto"/>
          <w:spacing w:val="-2"/>
          <w:w w:val="110"/>
          <w:szCs w:val="22"/>
        </w:rPr>
        <w:t>have</w:t>
      </w:r>
      <w:r w:rsidRPr="00DD7BD1">
        <w:rPr>
          <w:rFonts w:cs="Calibri"/>
          <w:color w:val="auto"/>
          <w:spacing w:val="-8"/>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pay</w:t>
      </w:r>
      <w:r w:rsidRPr="00DD7BD1">
        <w:rPr>
          <w:rFonts w:cs="Calibri"/>
          <w:color w:val="auto"/>
          <w:spacing w:val="-8"/>
          <w:w w:val="110"/>
          <w:szCs w:val="22"/>
        </w:rPr>
        <w:t xml:space="preserve"> </w:t>
      </w:r>
      <w:r w:rsidRPr="00DD7BD1">
        <w:rPr>
          <w:rFonts w:cs="Calibri"/>
          <w:color w:val="auto"/>
          <w:spacing w:val="-2"/>
          <w:w w:val="110"/>
          <w:szCs w:val="22"/>
        </w:rPr>
        <w:t>if</w:t>
      </w:r>
      <w:r w:rsidRPr="00DD7BD1">
        <w:rPr>
          <w:rFonts w:cs="Calibri"/>
          <w:color w:val="auto"/>
          <w:spacing w:val="-8"/>
          <w:w w:val="110"/>
          <w:szCs w:val="22"/>
        </w:rPr>
        <w:t xml:space="preserve"> </w:t>
      </w: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10"/>
          <w:w w:val="110"/>
          <w:szCs w:val="22"/>
        </w:rPr>
        <w:t xml:space="preserve"> </w:t>
      </w:r>
      <w:r w:rsidRPr="00DD7BD1">
        <w:rPr>
          <w:rFonts w:cs="Calibri"/>
          <w:color w:val="auto"/>
          <w:spacing w:val="-2"/>
          <w:w w:val="110"/>
          <w:szCs w:val="22"/>
        </w:rPr>
        <w:t>hours</w:t>
      </w:r>
      <w:r w:rsidRPr="00DD7BD1">
        <w:rPr>
          <w:rFonts w:cs="Calibri"/>
          <w:color w:val="auto"/>
          <w:spacing w:val="-8"/>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canceled</w:t>
      </w:r>
      <w:r w:rsidRPr="00DD7BD1">
        <w:rPr>
          <w:rFonts w:cs="Calibri"/>
          <w:color w:val="auto"/>
          <w:spacing w:val="-10"/>
          <w:w w:val="110"/>
          <w:szCs w:val="22"/>
        </w:rPr>
        <w:t xml:space="preserve"> </w:t>
      </w:r>
      <w:r w:rsidRPr="00DD7BD1">
        <w:rPr>
          <w:rFonts w:cs="Calibri"/>
          <w:color w:val="auto"/>
          <w:spacing w:val="-2"/>
          <w:w w:val="110"/>
          <w:szCs w:val="22"/>
        </w:rPr>
        <w:t>or</w:t>
      </w:r>
      <w:r w:rsidRPr="00DD7BD1">
        <w:rPr>
          <w:rFonts w:cs="Calibri"/>
          <w:color w:val="auto"/>
          <w:spacing w:val="-11"/>
          <w:w w:val="110"/>
          <w:szCs w:val="22"/>
        </w:rPr>
        <w:t xml:space="preserve"> </w:t>
      </w:r>
      <w:r w:rsidRPr="00DD7BD1">
        <w:rPr>
          <w:rFonts w:cs="Calibri"/>
          <w:color w:val="auto"/>
          <w:spacing w:val="-2"/>
          <w:w w:val="110"/>
          <w:szCs w:val="22"/>
        </w:rPr>
        <w:t>shortened</w:t>
      </w:r>
      <w:r w:rsidRPr="00DD7BD1">
        <w:rPr>
          <w:rFonts w:cs="Calibri"/>
          <w:color w:val="auto"/>
          <w:spacing w:val="-8"/>
          <w:w w:val="110"/>
          <w:szCs w:val="22"/>
        </w:rPr>
        <w:t xml:space="preserve"> </w:t>
      </w:r>
      <w:r w:rsidRPr="00DD7BD1">
        <w:rPr>
          <w:rFonts w:cs="Calibri"/>
          <w:color w:val="auto"/>
          <w:spacing w:val="-2"/>
          <w:w w:val="110"/>
          <w:szCs w:val="22"/>
        </w:rPr>
        <w:t>due</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8"/>
          <w:w w:val="110"/>
          <w:szCs w:val="22"/>
        </w:rPr>
        <w:t xml:space="preserve"> </w:t>
      </w:r>
      <w:r w:rsidRPr="00DD7BD1">
        <w:rPr>
          <w:rFonts w:cs="Calibri"/>
          <w:color w:val="auto"/>
          <w:spacing w:val="-2"/>
          <w:w w:val="110"/>
          <w:szCs w:val="22"/>
        </w:rPr>
        <w:t>any</w:t>
      </w:r>
      <w:r w:rsidRPr="00DD7BD1">
        <w:rPr>
          <w:rFonts w:cs="Calibri"/>
          <w:color w:val="auto"/>
          <w:spacing w:val="-10"/>
          <w:w w:val="110"/>
          <w:szCs w:val="22"/>
        </w:rPr>
        <w:t xml:space="preserve"> </w:t>
      </w:r>
      <w:r w:rsidRPr="00DD7BD1">
        <w:rPr>
          <w:rFonts w:cs="Calibri"/>
          <w:color w:val="auto"/>
          <w:spacing w:val="-2"/>
          <w:w w:val="110"/>
          <w:szCs w:val="22"/>
        </w:rPr>
        <w:t>of</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following:</w:t>
      </w:r>
    </w:p>
    <w:p w14:paraId="2D7A95FE"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Adverse</w:t>
      </w:r>
      <w:r w:rsidRPr="00DD7BD1">
        <w:rPr>
          <w:rFonts w:ascii="Calibri" w:hAnsi="Calibri" w:cs="Calibri"/>
          <w:spacing w:val="40"/>
        </w:rPr>
        <w:t xml:space="preserve"> </w:t>
      </w:r>
      <w:r w:rsidRPr="00DD7BD1">
        <w:rPr>
          <w:rFonts w:ascii="Calibri" w:hAnsi="Calibri" w:cs="Calibri"/>
        </w:rPr>
        <w:t>weather</w:t>
      </w:r>
      <w:r w:rsidRPr="00DD7BD1">
        <w:rPr>
          <w:rFonts w:ascii="Calibri" w:hAnsi="Calibri" w:cs="Calibri"/>
          <w:spacing w:val="44"/>
        </w:rPr>
        <w:t xml:space="preserve"> </w:t>
      </w:r>
      <w:r w:rsidRPr="00DD7BD1">
        <w:rPr>
          <w:rFonts w:ascii="Calibri" w:hAnsi="Calibri" w:cs="Calibri"/>
          <w:spacing w:val="-2"/>
        </w:rPr>
        <w:t>conditions</w:t>
      </w:r>
    </w:p>
    <w:p w14:paraId="52D8F755"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21"/>
        </w:rPr>
        <w:t xml:space="preserve"> </w:t>
      </w:r>
      <w:r w:rsidRPr="00DD7BD1">
        <w:rPr>
          <w:rFonts w:ascii="Calibri" w:hAnsi="Calibri" w:cs="Calibri"/>
        </w:rPr>
        <w:t>natural</w:t>
      </w:r>
      <w:r w:rsidRPr="00DD7BD1">
        <w:rPr>
          <w:rFonts w:ascii="Calibri" w:hAnsi="Calibri" w:cs="Calibri"/>
          <w:spacing w:val="21"/>
        </w:rPr>
        <w:t xml:space="preserve"> </w:t>
      </w:r>
      <w:r w:rsidRPr="00DD7BD1">
        <w:rPr>
          <w:rFonts w:ascii="Calibri" w:hAnsi="Calibri" w:cs="Calibri"/>
          <w:spacing w:val="-2"/>
        </w:rPr>
        <w:t>disaster</w:t>
      </w:r>
    </w:p>
    <w:p w14:paraId="68954B59"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11"/>
        </w:rPr>
        <w:t xml:space="preserve"> </w:t>
      </w:r>
      <w:r w:rsidRPr="00DD7BD1">
        <w:rPr>
          <w:rFonts w:ascii="Calibri" w:hAnsi="Calibri" w:cs="Calibri"/>
        </w:rPr>
        <w:t>civil</w:t>
      </w:r>
      <w:r w:rsidRPr="00DD7BD1">
        <w:rPr>
          <w:rFonts w:ascii="Calibri" w:hAnsi="Calibri" w:cs="Calibri"/>
          <w:spacing w:val="10"/>
        </w:rPr>
        <w:t xml:space="preserve"> </w:t>
      </w:r>
      <w:r w:rsidRPr="00DD7BD1">
        <w:rPr>
          <w:rFonts w:ascii="Calibri" w:hAnsi="Calibri" w:cs="Calibri"/>
          <w:spacing w:val="-2"/>
        </w:rPr>
        <w:t>emergency</w:t>
      </w:r>
    </w:p>
    <w:p w14:paraId="42787C82"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w w:val="110"/>
        </w:rPr>
        <w:t>An</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illness</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medical</w:t>
      </w:r>
      <w:r w:rsidRPr="00DD7BD1">
        <w:rPr>
          <w:rFonts w:ascii="Calibri" w:hAnsi="Calibri" w:cs="Calibri"/>
          <w:spacing w:val="-10"/>
          <w:w w:val="110"/>
        </w:rPr>
        <w:t xml:space="preserve"> </w:t>
      </w:r>
      <w:r w:rsidRPr="00DD7BD1">
        <w:rPr>
          <w:rFonts w:ascii="Calibri" w:hAnsi="Calibri" w:cs="Calibri"/>
          <w:spacing w:val="-2"/>
          <w:w w:val="110"/>
        </w:rPr>
        <w:t>condition</w:t>
      </w:r>
    </w:p>
    <w:p w14:paraId="234D65A3"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rPr>
        <w:t>An</w:t>
      </w:r>
      <w:r w:rsidRPr="00DD7BD1">
        <w:rPr>
          <w:rFonts w:ascii="Calibri" w:hAnsi="Calibri" w:cs="Calibri"/>
          <w:spacing w:val="40"/>
        </w:rPr>
        <w:t xml:space="preserve"> </w:t>
      </w:r>
      <w:r w:rsidRPr="00DD7BD1">
        <w:rPr>
          <w:rFonts w:ascii="Calibri" w:hAnsi="Calibri" w:cs="Calibri"/>
          <w:spacing w:val="2"/>
        </w:rPr>
        <w:t>employee’s</w:t>
      </w:r>
      <w:r w:rsidRPr="00DD7BD1">
        <w:rPr>
          <w:rFonts w:ascii="Calibri" w:hAnsi="Calibri" w:cs="Calibri"/>
          <w:spacing w:val="40"/>
        </w:rPr>
        <w:t xml:space="preserve"> </w:t>
      </w:r>
      <w:r w:rsidRPr="00DD7BD1">
        <w:rPr>
          <w:rFonts w:ascii="Calibri" w:hAnsi="Calibri" w:cs="Calibri"/>
          <w:spacing w:val="2"/>
        </w:rPr>
        <w:t>workplace</w:t>
      </w:r>
      <w:r w:rsidRPr="00DD7BD1">
        <w:rPr>
          <w:rFonts w:ascii="Calibri" w:hAnsi="Calibri" w:cs="Calibri"/>
          <w:spacing w:val="38"/>
        </w:rPr>
        <w:t xml:space="preserve"> </w:t>
      </w:r>
      <w:r w:rsidRPr="00DD7BD1">
        <w:rPr>
          <w:rFonts w:ascii="Calibri" w:hAnsi="Calibri" w:cs="Calibri"/>
          <w:spacing w:val="-2"/>
        </w:rPr>
        <w:t>injury</w:t>
      </w:r>
    </w:p>
    <w:p w14:paraId="6B40F2F5"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Employers won’t owe reporting time</w:t>
      </w:r>
      <w:r w:rsidRPr="00DD7BD1">
        <w:rPr>
          <w:rFonts w:cs="Calibri"/>
          <w:color w:val="auto"/>
          <w:spacing w:val="-1"/>
          <w:w w:val="110"/>
          <w:szCs w:val="22"/>
        </w:rPr>
        <w:t xml:space="preserve"> </w:t>
      </w:r>
      <w:r w:rsidRPr="00DD7BD1">
        <w:rPr>
          <w:rFonts w:cs="Calibri"/>
          <w:color w:val="auto"/>
          <w:w w:val="110"/>
          <w:szCs w:val="22"/>
        </w:rPr>
        <w:t>pay if they made a</w:t>
      </w:r>
      <w:r w:rsidRPr="00DD7BD1">
        <w:rPr>
          <w:rFonts w:cs="Calibri"/>
          <w:color w:val="auto"/>
          <w:spacing w:val="-2"/>
          <w:w w:val="110"/>
          <w:szCs w:val="22"/>
        </w:rPr>
        <w:t xml:space="preserve"> </w:t>
      </w:r>
      <w:r w:rsidRPr="00DD7BD1">
        <w:rPr>
          <w:rFonts w:cs="Calibri"/>
          <w:color w:val="auto"/>
          <w:w w:val="110"/>
          <w:szCs w:val="22"/>
        </w:rPr>
        <w:t>documented, good faith, and successful</w:t>
      </w:r>
      <w:r w:rsidRPr="00DD7BD1">
        <w:rPr>
          <w:rFonts w:cs="Calibri"/>
          <w:color w:val="auto"/>
          <w:spacing w:val="-2"/>
          <w:w w:val="110"/>
          <w:szCs w:val="22"/>
        </w:rPr>
        <w:t xml:space="preserve"> </w:t>
      </w:r>
      <w:r w:rsidRPr="00DD7BD1">
        <w:rPr>
          <w:rFonts w:cs="Calibri"/>
          <w:color w:val="auto"/>
          <w:w w:val="110"/>
          <w:szCs w:val="22"/>
        </w:rPr>
        <w:t>attempt to notify 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7"/>
          <w:w w:val="110"/>
          <w:szCs w:val="22"/>
        </w:rPr>
        <w:t xml:space="preserve"> </w:t>
      </w:r>
      <w:r w:rsidRPr="00DD7BD1">
        <w:rPr>
          <w:rFonts w:cs="Calibri"/>
          <w:color w:val="auto"/>
          <w:w w:val="110"/>
          <w:szCs w:val="22"/>
        </w:rPr>
        <w:t>If</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arrives</w:t>
      </w:r>
      <w:r w:rsidRPr="00DD7BD1">
        <w:rPr>
          <w:rFonts w:cs="Calibri"/>
          <w:color w:val="auto"/>
          <w:spacing w:val="-16"/>
          <w:w w:val="110"/>
          <w:szCs w:val="22"/>
        </w:rPr>
        <w:t xml:space="preserve"> </w:t>
      </w:r>
      <w:r w:rsidRPr="00DD7BD1">
        <w:rPr>
          <w:rFonts w:cs="Calibri"/>
          <w:color w:val="auto"/>
          <w:w w:val="110"/>
          <w:szCs w:val="22"/>
        </w:rPr>
        <w:t>before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reach</w:t>
      </w:r>
      <w:r w:rsidRPr="00DD7BD1">
        <w:rPr>
          <w:rFonts w:cs="Calibri"/>
          <w:color w:val="auto"/>
          <w:spacing w:val="-16"/>
          <w:w w:val="110"/>
          <w:szCs w:val="22"/>
        </w:rPr>
        <w:t xml:space="preserve"> </w:t>
      </w:r>
      <w:r w:rsidRPr="00DD7BD1">
        <w:rPr>
          <w:rFonts w:cs="Calibri"/>
          <w:color w:val="auto"/>
          <w:w w:val="110"/>
          <w:szCs w:val="22"/>
        </w:rPr>
        <w:t>them,</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 assign</w:t>
      </w:r>
      <w:r w:rsidRPr="00DD7BD1">
        <w:rPr>
          <w:rFonts w:cs="Calibri"/>
          <w:color w:val="auto"/>
          <w:spacing w:val="-5"/>
          <w:w w:val="110"/>
          <w:szCs w:val="22"/>
        </w:rPr>
        <w:t xml:space="preserve"> </w:t>
      </w:r>
      <w:r w:rsidRPr="00DD7BD1">
        <w:rPr>
          <w:rFonts w:cs="Calibri"/>
          <w:color w:val="auto"/>
          <w:w w:val="110"/>
          <w:szCs w:val="22"/>
        </w:rPr>
        <w:t>any</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5"/>
          <w:w w:val="110"/>
          <w:szCs w:val="22"/>
        </w:rPr>
        <w:t xml:space="preserve"> </w:t>
      </w:r>
      <w:r w:rsidRPr="00DD7BD1">
        <w:rPr>
          <w:rFonts w:cs="Calibri"/>
          <w:color w:val="auto"/>
          <w:w w:val="110"/>
          <w:szCs w:val="22"/>
        </w:rPr>
        <w:t>duties</w:t>
      </w:r>
      <w:r w:rsidRPr="00DD7BD1">
        <w:rPr>
          <w:rFonts w:cs="Calibri"/>
          <w:color w:val="auto"/>
          <w:spacing w:val="-4"/>
          <w:w w:val="110"/>
          <w:szCs w:val="22"/>
        </w:rPr>
        <w:t xml:space="preserve"> </w:t>
      </w:r>
      <w:r w:rsidRPr="00DD7BD1">
        <w:rPr>
          <w:rFonts w:cs="Calibri"/>
          <w:color w:val="auto"/>
          <w:w w:val="110"/>
          <w:szCs w:val="22"/>
        </w:rPr>
        <w:t>the employee</w:t>
      </w:r>
      <w:r w:rsidRPr="00DD7BD1">
        <w:rPr>
          <w:rFonts w:cs="Calibri"/>
          <w:color w:val="auto"/>
          <w:spacing w:val="-4"/>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physically</w:t>
      </w:r>
      <w:r w:rsidRPr="00DD7BD1">
        <w:rPr>
          <w:rFonts w:cs="Calibri"/>
          <w:color w:val="auto"/>
          <w:spacing w:val="-4"/>
          <w:w w:val="110"/>
          <w:szCs w:val="22"/>
        </w:rPr>
        <w:t xml:space="preserve"> </w:t>
      </w:r>
      <w:r w:rsidRPr="00DD7BD1">
        <w:rPr>
          <w:rFonts w:cs="Calibri"/>
          <w:color w:val="auto"/>
          <w:w w:val="110"/>
          <w:szCs w:val="22"/>
        </w:rPr>
        <w:t>able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perform—or,</w:t>
      </w:r>
      <w:r w:rsidRPr="00DD7BD1">
        <w:rPr>
          <w:rFonts w:cs="Calibri"/>
          <w:color w:val="auto"/>
          <w:spacing w:val="-8"/>
          <w:w w:val="110"/>
          <w:szCs w:val="22"/>
        </w:rPr>
        <w:t xml:space="preserve"> </w:t>
      </w:r>
      <w:r w:rsidRPr="00DD7BD1">
        <w:rPr>
          <w:rFonts w:cs="Calibri"/>
          <w:color w:val="auto"/>
          <w:w w:val="110"/>
          <w:szCs w:val="22"/>
        </w:rPr>
        <w:t>if</w:t>
      </w:r>
      <w:r w:rsidRPr="00DD7BD1">
        <w:rPr>
          <w:rFonts w:cs="Calibri"/>
          <w:color w:val="auto"/>
          <w:spacing w:val="-5"/>
          <w:w w:val="110"/>
          <w:szCs w:val="22"/>
        </w:rPr>
        <w:t xml:space="preserve"> </w:t>
      </w:r>
      <w:r w:rsidRPr="00DD7BD1">
        <w:rPr>
          <w:rFonts w:cs="Calibri"/>
          <w:color w:val="auto"/>
          <w:w w:val="110"/>
          <w:szCs w:val="22"/>
        </w:rPr>
        <w:t>no</w:t>
      </w:r>
      <w:r w:rsidRPr="00DD7BD1">
        <w:rPr>
          <w:rFonts w:cs="Calibri"/>
          <w:color w:val="auto"/>
          <w:spacing w:val="-4"/>
          <w:w w:val="110"/>
          <w:szCs w:val="22"/>
        </w:rPr>
        <w:t xml:space="preserve"> </w:t>
      </w:r>
      <w:r w:rsidRPr="00DD7BD1">
        <w:rPr>
          <w:rFonts w:cs="Calibri"/>
          <w:color w:val="auto"/>
          <w:w w:val="110"/>
          <w:szCs w:val="22"/>
        </w:rPr>
        <w:t>work</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8"/>
          <w:w w:val="110"/>
          <w:szCs w:val="22"/>
        </w:rPr>
        <w:t xml:space="preserve"> </w:t>
      </w:r>
      <w:r w:rsidRPr="00DD7BD1">
        <w:rPr>
          <w:rFonts w:cs="Calibri"/>
          <w:color w:val="auto"/>
          <w:w w:val="110"/>
          <w:szCs w:val="22"/>
        </w:rPr>
        <w:t>send</w:t>
      </w:r>
      <w:r w:rsidRPr="00DD7BD1">
        <w:rPr>
          <w:rFonts w:cs="Calibri"/>
          <w:color w:val="auto"/>
          <w:spacing w:val="-5"/>
          <w:w w:val="110"/>
          <w:szCs w:val="22"/>
        </w:rPr>
        <w:t xml:space="preserve"> </w:t>
      </w:r>
      <w:r w:rsidRPr="00DD7BD1">
        <w:rPr>
          <w:rFonts w:cs="Calibri"/>
          <w:color w:val="auto"/>
          <w:w w:val="110"/>
          <w:szCs w:val="22"/>
        </w:rPr>
        <w:t>them</w:t>
      </w:r>
      <w:r w:rsidRPr="00DD7BD1">
        <w:rPr>
          <w:rFonts w:cs="Calibri"/>
          <w:color w:val="auto"/>
          <w:spacing w:val="-5"/>
          <w:w w:val="110"/>
          <w:szCs w:val="22"/>
        </w:rPr>
        <w:t xml:space="preserve"> </w:t>
      </w:r>
      <w:r w:rsidRPr="00DD7BD1">
        <w:rPr>
          <w:rFonts w:cs="Calibri"/>
          <w:color w:val="auto"/>
          <w:w w:val="110"/>
          <w:szCs w:val="22"/>
        </w:rPr>
        <w:t>home and provide reporting time pay.</w:t>
      </w:r>
    </w:p>
    <w:p w14:paraId="35B58B8E" w14:textId="77777777" w:rsidR="00F9575D" w:rsidRPr="00DD7BD1" w:rsidRDefault="00F9575D" w:rsidP="00F9575D">
      <w:pPr>
        <w:pStyle w:val="BodyText"/>
        <w:spacing w:after="0" w:line="240" w:lineRule="auto"/>
        <w:ind w:right="-274"/>
        <w:jc w:val="left"/>
        <w:rPr>
          <w:rFonts w:cs="Calibri"/>
          <w:b/>
          <w:color w:val="000000"/>
          <w:spacing w:val="-2"/>
          <w:w w:val="110"/>
          <w:sz w:val="16"/>
          <w:szCs w:val="16"/>
          <w:highlight w:val="lightGray"/>
        </w:rPr>
      </w:pPr>
    </w:p>
    <w:p w14:paraId="10B78574" w14:textId="77777777" w:rsidR="00F9575D" w:rsidRPr="00DD7BD1" w:rsidRDefault="00F9575D" w:rsidP="00F9575D">
      <w:pPr>
        <w:pStyle w:val="BodyText"/>
        <w:spacing w:after="0" w:line="240" w:lineRule="auto"/>
        <w:ind w:right="-274"/>
        <w:jc w:val="left"/>
        <w:rPr>
          <w:rFonts w:cs="Calibri"/>
        </w:rPr>
      </w:pPr>
      <w:r w:rsidRPr="00DD7BD1">
        <w:rPr>
          <w:rFonts w:cs="Calibri"/>
          <w:b/>
          <w:color w:val="000000"/>
          <w:spacing w:val="-2"/>
          <w:w w:val="110"/>
          <w:highlight w:val="lightGray"/>
        </w:rPr>
        <w:t>Employer</w:t>
      </w:r>
      <w:r w:rsidRPr="00DD7BD1">
        <w:rPr>
          <w:rFonts w:cs="Calibri"/>
          <w:b/>
          <w:color w:val="000000"/>
          <w:spacing w:val="-10"/>
          <w:w w:val="110"/>
          <w:highlight w:val="lightGray"/>
        </w:rPr>
        <w:t xml:space="preserve"> </w:t>
      </w:r>
      <w:r w:rsidRPr="00DD7BD1">
        <w:rPr>
          <w:rFonts w:cs="Calibri"/>
          <w:b/>
          <w:color w:val="000000"/>
          <w:spacing w:val="-2"/>
          <w:w w:val="110"/>
          <w:highlight w:val="lightGray"/>
        </w:rPr>
        <w:t>Takeaway</w:t>
      </w:r>
      <w:r w:rsidRPr="00DD7BD1">
        <w:rPr>
          <w:rFonts w:cs="Calibri"/>
          <w:color w:val="000000"/>
          <w:spacing w:val="-2"/>
          <w:w w:val="110"/>
        </w:rPr>
        <w:t>:</w:t>
      </w:r>
      <w:r w:rsidRPr="00DD7BD1">
        <w:rPr>
          <w:rFonts w:cs="Calibri"/>
          <w:color w:val="000000"/>
          <w:spacing w:val="-9"/>
          <w:w w:val="110"/>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should</w:t>
      </w:r>
      <w:r w:rsidRPr="00DD7BD1">
        <w:rPr>
          <w:rFonts w:cs="Calibri"/>
          <w:color w:val="auto"/>
          <w:spacing w:val="-10"/>
          <w:w w:val="110"/>
          <w:szCs w:val="22"/>
        </w:rPr>
        <w:t xml:space="preserve"> </w:t>
      </w:r>
      <w:r w:rsidRPr="00DD7BD1">
        <w:rPr>
          <w:rFonts w:cs="Calibri"/>
          <w:color w:val="auto"/>
          <w:spacing w:val="-2"/>
          <w:w w:val="110"/>
          <w:szCs w:val="22"/>
        </w:rPr>
        <w:t>review</w:t>
      </w:r>
      <w:r w:rsidRPr="00DD7BD1">
        <w:rPr>
          <w:rFonts w:cs="Calibri"/>
          <w:color w:val="auto"/>
          <w:spacing w:val="-7"/>
          <w:w w:val="110"/>
          <w:szCs w:val="22"/>
        </w:rPr>
        <w:t xml:space="preserve"> </w:t>
      </w:r>
      <w:r w:rsidRPr="00DD7BD1">
        <w:rPr>
          <w:rFonts w:cs="Calibri"/>
          <w:color w:val="auto"/>
          <w:spacing w:val="-2"/>
          <w:w w:val="110"/>
          <w:szCs w:val="22"/>
        </w:rPr>
        <w:t>their</w:t>
      </w:r>
      <w:r w:rsidRPr="00DD7BD1">
        <w:rPr>
          <w:rFonts w:cs="Calibri"/>
          <w:color w:val="auto"/>
          <w:spacing w:val="-9"/>
          <w:w w:val="110"/>
          <w:szCs w:val="22"/>
        </w:rPr>
        <w:t xml:space="preserve"> </w:t>
      </w:r>
      <w:r w:rsidRPr="00DD7BD1">
        <w:rPr>
          <w:rFonts w:cs="Calibri"/>
          <w:color w:val="auto"/>
          <w:spacing w:val="-2"/>
          <w:w w:val="110"/>
          <w:szCs w:val="22"/>
        </w:rPr>
        <w:t>scheduling</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8"/>
          <w:w w:val="110"/>
          <w:szCs w:val="22"/>
        </w:rPr>
        <w:t xml:space="preserve"> </w:t>
      </w:r>
      <w:r w:rsidRPr="00DD7BD1">
        <w:rPr>
          <w:rFonts w:cs="Calibri"/>
          <w:color w:val="auto"/>
          <w:spacing w:val="-2"/>
          <w:w w:val="110"/>
          <w:szCs w:val="22"/>
        </w:rPr>
        <w:t>call-in</w:t>
      </w:r>
      <w:r w:rsidRPr="00DD7BD1">
        <w:rPr>
          <w:rFonts w:cs="Calibri"/>
          <w:color w:val="auto"/>
          <w:spacing w:val="-8"/>
          <w:w w:val="110"/>
          <w:szCs w:val="22"/>
        </w:rPr>
        <w:t xml:space="preserve"> </w:t>
      </w:r>
      <w:r w:rsidRPr="00DD7BD1">
        <w:rPr>
          <w:rFonts w:cs="Calibri"/>
          <w:color w:val="auto"/>
          <w:spacing w:val="-2"/>
          <w:w w:val="110"/>
          <w:szCs w:val="22"/>
        </w:rPr>
        <w:t>procedures</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ensure</w:t>
      </w:r>
      <w:r w:rsidRPr="00DD7BD1">
        <w:rPr>
          <w:rFonts w:cs="Calibri"/>
          <w:color w:val="auto"/>
          <w:spacing w:val="-10"/>
          <w:w w:val="110"/>
          <w:szCs w:val="22"/>
        </w:rPr>
        <w:t xml:space="preserve"> </w:t>
      </w:r>
      <w:r w:rsidRPr="00DD7BD1">
        <w:rPr>
          <w:rFonts w:cs="Calibri"/>
          <w:color w:val="auto"/>
          <w:spacing w:val="-2"/>
          <w:w w:val="110"/>
          <w:szCs w:val="22"/>
        </w:rPr>
        <w:t>compliance</w:t>
      </w:r>
      <w:r w:rsidRPr="00DD7BD1">
        <w:rPr>
          <w:rFonts w:cs="Calibri"/>
          <w:color w:val="auto"/>
          <w:spacing w:val="-10"/>
          <w:w w:val="110"/>
          <w:szCs w:val="22"/>
        </w:rPr>
        <w:t xml:space="preserve"> </w:t>
      </w:r>
      <w:r w:rsidRPr="00DD7BD1">
        <w:rPr>
          <w:rFonts w:cs="Calibri"/>
          <w:color w:val="auto"/>
          <w:spacing w:val="-2"/>
          <w:w w:val="110"/>
          <w:szCs w:val="22"/>
        </w:rPr>
        <w:t xml:space="preserve">with </w:t>
      </w:r>
      <w:r w:rsidRPr="00DD7BD1">
        <w:rPr>
          <w:rFonts w:cs="Calibri"/>
          <w:color w:val="auto"/>
          <w:w w:val="110"/>
          <w:szCs w:val="22"/>
        </w:rPr>
        <w:t>this new law.</w:t>
      </w:r>
    </w:p>
    <w:p w14:paraId="6B8775D3" w14:textId="77777777" w:rsidR="00F9575D" w:rsidRPr="00DD7BD1" w:rsidRDefault="00F9575D" w:rsidP="00F9575D">
      <w:pPr>
        <w:pStyle w:val="Heading4"/>
        <w:spacing w:before="0"/>
        <w:ind w:right="-274"/>
        <w:rPr>
          <w:rFonts w:ascii="Calibri" w:hAnsi="Calibri" w:cs="Calibri"/>
          <w:spacing w:val="-6"/>
          <w:sz w:val="16"/>
          <w:szCs w:val="16"/>
        </w:rPr>
      </w:pPr>
    </w:p>
    <w:p w14:paraId="46C012D1"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Earned Paid Leave</w:t>
      </w:r>
    </w:p>
    <w:p w14:paraId="519EBCCF" w14:textId="77777777" w:rsidR="00F9575D" w:rsidRPr="00DD7BD1" w:rsidRDefault="00F9575D" w:rsidP="00F9575D">
      <w:pPr>
        <w:pStyle w:val="BodyText"/>
        <w:spacing w:after="0" w:line="240" w:lineRule="auto"/>
        <w:ind w:right="-274"/>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3"/>
          <w:w w:val="110"/>
          <w:szCs w:val="22"/>
        </w:rPr>
        <w:t xml:space="preserve"> </w:t>
      </w:r>
      <w:r w:rsidRPr="00DD7BD1">
        <w:rPr>
          <w:rFonts w:cs="Calibri"/>
          <w:color w:val="auto"/>
          <w:w w:val="110"/>
          <w:szCs w:val="22"/>
          <w:u w:val="single"/>
        </w:rPr>
        <w:t>11</w:t>
      </w:r>
      <w:r w:rsidRPr="00DD7BD1">
        <w:rPr>
          <w:rFonts w:cs="Calibri"/>
          <w:color w:val="auto"/>
          <w:spacing w:val="-15"/>
          <w:w w:val="110"/>
          <w:szCs w:val="22"/>
          <w:u w:val="single"/>
        </w:rPr>
        <w:t xml:space="preserve"> </w:t>
      </w:r>
      <w:r w:rsidRPr="00DD7BD1">
        <w:rPr>
          <w:rFonts w:cs="Calibri"/>
          <w:color w:val="auto"/>
          <w:w w:val="110"/>
          <w:szCs w:val="22"/>
          <w:u w:val="single"/>
        </w:rPr>
        <w:t>or</w:t>
      </w:r>
      <w:r w:rsidRPr="00DD7BD1">
        <w:rPr>
          <w:rFonts w:cs="Calibri"/>
          <w:color w:val="auto"/>
          <w:spacing w:val="-16"/>
          <w:w w:val="110"/>
          <w:szCs w:val="22"/>
          <w:u w:val="single"/>
        </w:rPr>
        <w:t xml:space="preserve"> </w:t>
      </w:r>
      <w:r w:rsidRPr="00DD7BD1">
        <w:rPr>
          <w:rFonts w:cs="Calibri"/>
          <w:color w:val="auto"/>
          <w:w w:val="110"/>
          <w:szCs w:val="22"/>
          <w:u w:val="single"/>
        </w:rPr>
        <w:t>more</w:t>
      </w:r>
      <w:r w:rsidRPr="00DD7BD1">
        <w:rPr>
          <w:rFonts w:cs="Calibri"/>
          <w:color w:val="auto"/>
          <w:spacing w:val="-13"/>
          <w:w w:val="110"/>
          <w:szCs w:val="22"/>
          <w:u w:val="single"/>
        </w:rPr>
        <w:t xml:space="preserve"> </w:t>
      </w:r>
      <w:r w:rsidRPr="00DD7BD1">
        <w:rPr>
          <w:rFonts w:cs="Calibri"/>
          <w:color w:val="auto"/>
          <w:w w:val="110"/>
          <w:szCs w:val="22"/>
          <w:u w:val="single"/>
        </w:rPr>
        <w:t>employees</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allow</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accrue</w:t>
      </w:r>
      <w:r w:rsidRPr="00DD7BD1">
        <w:rPr>
          <w:rFonts w:cs="Calibri"/>
          <w:color w:val="auto"/>
          <w:spacing w:val="-14"/>
          <w:w w:val="110"/>
          <w:szCs w:val="22"/>
        </w:rPr>
        <w:t xml:space="preserve"> </w:t>
      </w:r>
      <w:r w:rsidRPr="00DD7BD1">
        <w:rPr>
          <w:rFonts w:cs="Calibri"/>
          <w:color w:val="auto"/>
          <w:w w:val="110"/>
          <w:szCs w:val="22"/>
        </w:rPr>
        <w:t>up</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40</w:t>
      </w:r>
      <w:r w:rsidRPr="00DD7BD1">
        <w:rPr>
          <w:rFonts w:cs="Calibri"/>
          <w:color w:val="auto"/>
          <w:spacing w:val="-15"/>
          <w:w w:val="110"/>
          <w:szCs w:val="22"/>
        </w:rPr>
        <w:t xml:space="preserve"> </w:t>
      </w:r>
      <w:r w:rsidRPr="00DD7BD1">
        <w:rPr>
          <w:rFonts w:cs="Calibri"/>
          <w:color w:val="auto"/>
          <w:w w:val="110"/>
          <w:szCs w:val="22"/>
        </w:rPr>
        <w:t>hours</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earned</w:t>
      </w:r>
      <w:r w:rsidRPr="00DD7BD1">
        <w:rPr>
          <w:rFonts w:cs="Calibri"/>
          <w:color w:val="auto"/>
          <w:spacing w:val="-16"/>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each benefit</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5"/>
          <w:w w:val="110"/>
          <w:szCs w:val="22"/>
        </w:rPr>
        <w:t xml:space="preserve"> </w:t>
      </w:r>
      <w:r w:rsidRPr="00DD7BD1">
        <w:rPr>
          <w:rFonts w:cs="Calibri"/>
          <w:i/>
          <w:color w:val="auto"/>
          <w:w w:val="110"/>
          <w:szCs w:val="22"/>
          <w:u w:val="single"/>
        </w:rPr>
        <w:t>no</w:t>
      </w:r>
      <w:r w:rsidRPr="00DD7BD1">
        <w:rPr>
          <w:rFonts w:cs="Calibri"/>
          <w:i/>
          <w:color w:val="auto"/>
          <w:spacing w:val="-5"/>
          <w:w w:val="110"/>
          <w:szCs w:val="22"/>
          <w:u w:val="single"/>
        </w:rPr>
        <w:t xml:space="preserve"> </w:t>
      </w:r>
      <w:r w:rsidRPr="00DD7BD1">
        <w:rPr>
          <w:rFonts w:cs="Calibri"/>
          <w:i/>
          <w:color w:val="auto"/>
          <w:w w:val="110"/>
          <w:szCs w:val="22"/>
          <w:u w:val="single"/>
        </w:rPr>
        <w:t>matter</w:t>
      </w:r>
      <w:r w:rsidRPr="00DD7BD1">
        <w:rPr>
          <w:rFonts w:cs="Calibri"/>
          <w:i/>
          <w:color w:val="auto"/>
          <w:spacing w:val="-6"/>
          <w:w w:val="110"/>
          <w:szCs w:val="22"/>
          <w:u w:val="single"/>
        </w:rPr>
        <w:t xml:space="preserve"> </w:t>
      </w:r>
      <w:r w:rsidRPr="00DD7BD1">
        <w:rPr>
          <w:rFonts w:cs="Calibri"/>
          <w:i/>
          <w:color w:val="auto"/>
          <w:w w:val="110"/>
          <w:szCs w:val="22"/>
          <w:u w:val="single"/>
        </w:rPr>
        <w:t>how</w:t>
      </w:r>
      <w:r w:rsidRPr="00DD7BD1">
        <w:rPr>
          <w:rFonts w:cs="Calibri"/>
          <w:i/>
          <w:color w:val="auto"/>
          <w:spacing w:val="-6"/>
          <w:w w:val="110"/>
          <w:szCs w:val="22"/>
          <w:u w:val="single"/>
        </w:rPr>
        <w:t xml:space="preserve"> </w:t>
      </w:r>
      <w:r w:rsidRPr="00DD7BD1">
        <w:rPr>
          <w:rFonts w:cs="Calibri"/>
          <w:i/>
          <w:color w:val="auto"/>
          <w:w w:val="110"/>
          <w:szCs w:val="22"/>
          <w:u w:val="single"/>
        </w:rPr>
        <w:t>many</w:t>
      </w:r>
      <w:r w:rsidRPr="00DD7BD1">
        <w:rPr>
          <w:rFonts w:cs="Calibri"/>
          <w:i/>
          <w:color w:val="auto"/>
          <w:spacing w:val="-6"/>
          <w:w w:val="110"/>
          <w:szCs w:val="22"/>
          <w:u w:val="single"/>
        </w:rPr>
        <w:t xml:space="preserve"> </w:t>
      </w:r>
      <w:r w:rsidRPr="00DD7BD1">
        <w:rPr>
          <w:rFonts w:cs="Calibri"/>
          <w:i/>
          <w:color w:val="auto"/>
          <w:w w:val="110"/>
          <w:szCs w:val="22"/>
          <w:u w:val="single"/>
        </w:rPr>
        <w:t>unused</w:t>
      </w:r>
      <w:r w:rsidRPr="00DD7BD1">
        <w:rPr>
          <w:rFonts w:cs="Calibri"/>
          <w:i/>
          <w:color w:val="auto"/>
          <w:spacing w:val="-6"/>
          <w:w w:val="110"/>
          <w:szCs w:val="22"/>
          <w:u w:val="single"/>
        </w:rPr>
        <w:t xml:space="preserve"> </w:t>
      </w:r>
      <w:r w:rsidRPr="00DD7BD1">
        <w:rPr>
          <w:rFonts w:cs="Calibri"/>
          <w:i/>
          <w:color w:val="auto"/>
          <w:w w:val="110"/>
          <w:szCs w:val="22"/>
          <w:u w:val="single"/>
        </w:rPr>
        <w:t>hours</w:t>
      </w:r>
      <w:r w:rsidRPr="00DD7BD1">
        <w:rPr>
          <w:rFonts w:cs="Calibri"/>
          <w:i/>
          <w:color w:val="auto"/>
          <w:spacing w:val="-8"/>
          <w:w w:val="110"/>
          <w:szCs w:val="22"/>
          <w:u w:val="single"/>
        </w:rPr>
        <w:t xml:space="preserve"> </w:t>
      </w:r>
      <w:r w:rsidRPr="00DD7BD1">
        <w:rPr>
          <w:rFonts w:cs="Calibri"/>
          <w:i/>
          <w:color w:val="auto"/>
          <w:w w:val="110"/>
          <w:szCs w:val="22"/>
          <w:u w:val="single"/>
        </w:rPr>
        <w:t>are</w:t>
      </w:r>
      <w:r w:rsidRPr="00DD7BD1">
        <w:rPr>
          <w:rFonts w:cs="Calibri"/>
          <w:i/>
          <w:color w:val="auto"/>
          <w:spacing w:val="-6"/>
          <w:w w:val="110"/>
          <w:szCs w:val="22"/>
          <w:u w:val="single"/>
        </w:rPr>
        <w:t xml:space="preserve"> </w:t>
      </w:r>
      <w:r w:rsidRPr="00DD7BD1">
        <w:rPr>
          <w:rFonts w:cs="Calibri"/>
          <w:i/>
          <w:color w:val="auto"/>
          <w:w w:val="110"/>
          <w:szCs w:val="22"/>
          <w:u w:val="single"/>
        </w:rPr>
        <w:t>carried</w:t>
      </w:r>
      <w:r w:rsidRPr="00DD7BD1">
        <w:rPr>
          <w:rFonts w:cs="Calibri"/>
          <w:i/>
          <w:color w:val="auto"/>
          <w:spacing w:val="-6"/>
          <w:w w:val="110"/>
          <w:szCs w:val="22"/>
          <w:u w:val="single"/>
        </w:rPr>
        <w:t xml:space="preserve"> </w:t>
      </w:r>
      <w:r w:rsidRPr="00DD7BD1">
        <w:rPr>
          <w:rFonts w:cs="Calibri"/>
          <w:i/>
          <w:color w:val="auto"/>
          <w:w w:val="110"/>
          <w:szCs w:val="22"/>
          <w:u w:val="single"/>
        </w:rPr>
        <w:t>over</w:t>
      </w:r>
      <w:r w:rsidRPr="00DD7BD1">
        <w:rPr>
          <w:rFonts w:cs="Calibri"/>
          <w:i/>
          <w:color w:val="auto"/>
          <w:spacing w:val="-6"/>
          <w:w w:val="110"/>
          <w:szCs w:val="22"/>
        </w:rPr>
        <w:t xml:space="preserve"> </w:t>
      </w:r>
      <w:r w:rsidRPr="00DD7BD1">
        <w:rPr>
          <w:rFonts w:cs="Calibri"/>
          <w:color w:val="auto"/>
          <w:w w:val="110"/>
          <w:szCs w:val="22"/>
        </w:rPr>
        <w:t>under</w:t>
      </w:r>
      <w:r w:rsidRPr="00DD7BD1">
        <w:rPr>
          <w:rFonts w:cs="Calibri"/>
          <w:color w:val="auto"/>
          <w:spacing w:val="-5"/>
          <w:w w:val="110"/>
          <w:szCs w:val="22"/>
        </w:rPr>
        <w:t xml:space="preserve"> </w:t>
      </w:r>
      <w:hyperlink r:id="rId701">
        <w:r w:rsidRPr="00DD7BD1">
          <w:rPr>
            <w:rFonts w:cs="Calibri"/>
            <w:color w:val="0000FF"/>
            <w:w w:val="110"/>
            <w:szCs w:val="22"/>
            <w:u w:val="single" w:color="0000FF"/>
          </w:rPr>
          <w:t>H</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19</w:t>
        </w:r>
      </w:hyperlink>
      <w:r w:rsidRPr="00DD7BD1">
        <w:rPr>
          <w:rFonts w:cs="Calibri"/>
          <w:w w:val="110"/>
          <w:szCs w:val="22"/>
        </w:rPr>
        <w:t>.</w:t>
      </w:r>
      <w:r w:rsidRPr="00DD7BD1">
        <w:rPr>
          <w:rFonts w:cs="Calibri"/>
          <w:spacing w:val="-6"/>
          <w:w w:val="110"/>
          <w:szCs w:val="22"/>
        </w:rPr>
        <w:t xml:space="preserve"> </w:t>
      </w:r>
      <w:r w:rsidRPr="00DD7BD1">
        <w:rPr>
          <w:rFonts w:cs="Calibri"/>
          <w:color w:val="auto"/>
          <w:w w:val="110"/>
          <w:szCs w:val="22"/>
        </w:rPr>
        <w:t>Previously,</w:t>
      </w:r>
      <w:r w:rsidRPr="00DD7BD1">
        <w:rPr>
          <w:rFonts w:cs="Calibri"/>
          <w:color w:val="auto"/>
          <w:spacing w:val="-6"/>
          <w:w w:val="110"/>
          <w:szCs w:val="22"/>
        </w:rPr>
        <w:t xml:space="preserve"> </w:t>
      </w:r>
      <w:r w:rsidRPr="00DD7BD1">
        <w:rPr>
          <w:rFonts w:cs="Calibri"/>
          <w:color w:val="auto"/>
          <w:w w:val="110"/>
          <w:szCs w:val="22"/>
        </w:rPr>
        <w:t>carryover</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5"/>
          <w:w w:val="110"/>
          <w:szCs w:val="22"/>
        </w:rPr>
        <w:t xml:space="preserve"> </w:t>
      </w:r>
      <w:r w:rsidRPr="00DD7BD1">
        <w:rPr>
          <w:rFonts w:cs="Calibri"/>
          <w:color w:val="auto"/>
          <w:w w:val="110"/>
          <w:szCs w:val="22"/>
        </w:rPr>
        <w:t>could</w:t>
      </w:r>
      <w:r w:rsidRPr="00DD7BD1">
        <w:rPr>
          <w:rFonts w:cs="Calibri"/>
          <w:color w:val="auto"/>
          <w:spacing w:val="-5"/>
          <w:w w:val="110"/>
          <w:szCs w:val="22"/>
        </w:rPr>
        <w:t xml:space="preserve"> </w:t>
      </w:r>
      <w:r w:rsidRPr="00DD7BD1">
        <w:rPr>
          <w:rFonts w:cs="Calibri"/>
          <w:color w:val="auto"/>
          <w:w w:val="110"/>
          <w:szCs w:val="22"/>
        </w:rPr>
        <w:t>count against the accrual limit in the new benefit year.</w:t>
      </w:r>
    </w:p>
    <w:p w14:paraId="51BE25B8" w14:textId="77777777" w:rsidR="00F9575D" w:rsidRPr="00DD7BD1" w:rsidRDefault="00F9575D" w:rsidP="00F9575D">
      <w:pPr>
        <w:pStyle w:val="BodyText"/>
        <w:spacing w:after="0" w:line="240" w:lineRule="auto"/>
        <w:ind w:right="-274"/>
        <w:jc w:val="left"/>
        <w:rPr>
          <w:rFonts w:cs="Calibri"/>
          <w:color w:val="auto"/>
          <w:sz w:val="16"/>
          <w:szCs w:val="16"/>
        </w:rPr>
      </w:pPr>
    </w:p>
    <w:p w14:paraId="06B9D97E"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update</w:t>
      </w:r>
      <w:r w:rsidRPr="00DD7BD1">
        <w:rPr>
          <w:rFonts w:cs="Calibri"/>
          <w:color w:val="auto"/>
          <w:spacing w:val="-12"/>
          <w:w w:val="110"/>
          <w:szCs w:val="22"/>
        </w:rPr>
        <w:t xml:space="preserve"> </w:t>
      </w:r>
      <w:r w:rsidRPr="00DD7BD1">
        <w:rPr>
          <w:rFonts w:cs="Calibri"/>
          <w:color w:val="auto"/>
          <w:w w:val="110"/>
          <w:szCs w:val="22"/>
        </w:rPr>
        <w:t>means</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balances</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now</w:t>
      </w:r>
      <w:r w:rsidRPr="00DD7BD1">
        <w:rPr>
          <w:rFonts w:cs="Calibri"/>
          <w:color w:val="auto"/>
          <w:spacing w:val="-10"/>
          <w:w w:val="110"/>
          <w:szCs w:val="22"/>
        </w:rPr>
        <w:t xml:space="preserve"> </w:t>
      </w:r>
      <w:r w:rsidRPr="00DD7BD1">
        <w:rPr>
          <w:rFonts w:cs="Calibri"/>
          <w:color w:val="auto"/>
          <w:w w:val="110"/>
          <w:szCs w:val="22"/>
        </w:rPr>
        <w:t>exceed</w:t>
      </w:r>
      <w:r w:rsidRPr="00DD7BD1">
        <w:rPr>
          <w:rFonts w:cs="Calibri"/>
          <w:color w:val="auto"/>
          <w:spacing w:val="-9"/>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r w:rsidRPr="00DD7BD1">
        <w:rPr>
          <w:rFonts w:cs="Calibri"/>
          <w:color w:val="auto"/>
          <w:w w:val="110"/>
          <w:szCs w:val="22"/>
        </w:rPr>
        <w:t>hours—for</w:t>
      </w:r>
      <w:r w:rsidRPr="00DD7BD1">
        <w:rPr>
          <w:rFonts w:cs="Calibri"/>
          <w:color w:val="auto"/>
          <w:spacing w:val="-10"/>
          <w:w w:val="110"/>
          <w:szCs w:val="22"/>
        </w:rPr>
        <w:t xml:space="preserve"> </w:t>
      </w:r>
      <w:r w:rsidRPr="00DD7BD1">
        <w:rPr>
          <w:rFonts w:cs="Calibri"/>
          <w:color w:val="auto"/>
          <w:w w:val="110"/>
          <w:szCs w:val="22"/>
        </w:rPr>
        <w:t>example,</w:t>
      </w:r>
      <w:r w:rsidRPr="00DD7BD1">
        <w:rPr>
          <w:rFonts w:cs="Calibri"/>
          <w:color w:val="auto"/>
          <w:spacing w:val="-10"/>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accrued</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in the</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7"/>
          <w:w w:val="110"/>
          <w:szCs w:val="22"/>
        </w:rPr>
        <w:t xml:space="preserve"> </w:t>
      </w:r>
      <w:r w:rsidRPr="00DD7BD1">
        <w:rPr>
          <w:rFonts w:cs="Calibri"/>
          <w:color w:val="auto"/>
          <w:w w:val="110"/>
          <w:szCs w:val="22"/>
        </w:rPr>
        <w:t>benefit</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plus</w:t>
      </w:r>
      <w:r w:rsidRPr="00DD7BD1">
        <w:rPr>
          <w:rFonts w:cs="Calibri"/>
          <w:color w:val="auto"/>
          <w:spacing w:val="-17"/>
          <w:w w:val="110"/>
          <w:szCs w:val="22"/>
        </w:rPr>
        <w:t xml:space="preserve"> </w:t>
      </w:r>
      <w:r w:rsidRPr="00DD7BD1">
        <w:rPr>
          <w:rFonts w:cs="Calibri"/>
          <w:color w:val="auto"/>
          <w:w w:val="110"/>
          <w:szCs w:val="22"/>
        </w:rPr>
        <w:t>40</w:t>
      </w:r>
      <w:r w:rsidRPr="00DD7BD1">
        <w:rPr>
          <w:rFonts w:cs="Calibri"/>
          <w:color w:val="auto"/>
          <w:spacing w:val="-16"/>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carryover.</w:t>
      </w:r>
      <w:r w:rsidRPr="00DD7BD1">
        <w:rPr>
          <w:rFonts w:cs="Calibri"/>
          <w:color w:val="auto"/>
          <w:spacing w:val="-17"/>
          <w:w w:val="110"/>
          <w:szCs w:val="22"/>
        </w:rPr>
        <w:t xml:space="preserve"> </w:t>
      </w:r>
      <w:r w:rsidRPr="00DD7BD1">
        <w:rPr>
          <w:rFonts w:cs="Calibri"/>
          <w:color w:val="auto"/>
          <w:w w:val="110"/>
          <w:szCs w:val="22"/>
        </w:rPr>
        <w:t>However,</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6"/>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allow</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cap</w:t>
      </w:r>
      <w:r w:rsidRPr="00DD7BD1">
        <w:rPr>
          <w:rFonts w:cs="Calibri"/>
          <w:color w:val="auto"/>
          <w:spacing w:val="-17"/>
          <w:w w:val="110"/>
          <w:szCs w:val="22"/>
        </w:rPr>
        <w:t xml:space="preserve"> </w:t>
      </w:r>
      <w:r w:rsidRPr="00DD7BD1">
        <w:rPr>
          <w:rFonts w:cs="Calibri"/>
          <w:color w:val="auto"/>
          <w:w w:val="110"/>
          <w:szCs w:val="22"/>
        </w:rPr>
        <w:t>usage at</w:t>
      </w:r>
      <w:r w:rsidRPr="00DD7BD1">
        <w:rPr>
          <w:rFonts w:cs="Calibri"/>
          <w:color w:val="auto"/>
          <w:spacing w:val="-11"/>
          <w:w w:val="110"/>
          <w:szCs w:val="22"/>
        </w:rPr>
        <w:t xml:space="preserve"> </w:t>
      </w:r>
      <w:r w:rsidRPr="00DD7BD1">
        <w:rPr>
          <w:rFonts w:cs="Calibri"/>
          <w:color w:val="auto"/>
          <w:w w:val="110"/>
          <w:szCs w:val="22"/>
        </w:rPr>
        <w:t>40</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per</w:t>
      </w:r>
      <w:r w:rsidRPr="00DD7BD1">
        <w:rPr>
          <w:rFonts w:cs="Calibri"/>
          <w:color w:val="auto"/>
          <w:spacing w:val="-13"/>
          <w:w w:val="110"/>
          <w:szCs w:val="22"/>
        </w:rPr>
        <w:t xml:space="preserve"> </w:t>
      </w:r>
      <w:r w:rsidRPr="00DD7BD1">
        <w:rPr>
          <w:rFonts w:cs="Calibri"/>
          <w:color w:val="auto"/>
          <w:w w:val="110"/>
          <w:szCs w:val="22"/>
        </w:rPr>
        <w:t>benefit</w:t>
      </w:r>
      <w:r w:rsidRPr="00DD7BD1">
        <w:rPr>
          <w:rFonts w:cs="Calibri"/>
          <w:color w:val="auto"/>
          <w:spacing w:val="-11"/>
          <w:w w:val="110"/>
          <w:szCs w:val="22"/>
        </w:rPr>
        <w:t xml:space="preserve"> </w:t>
      </w:r>
      <w:r w:rsidRPr="00DD7BD1">
        <w:rPr>
          <w:rFonts w:cs="Calibri"/>
          <w:color w:val="auto"/>
          <w:w w:val="110"/>
          <w:szCs w:val="22"/>
        </w:rPr>
        <w:t>year.</w:t>
      </w:r>
      <w:r w:rsidRPr="00DD7BD1">
        <w:rPr>
          <w:rFonts w:cs="Calibri"/>
          <w:color w:val="auto"/>
          <w:spacing w:val="-11"/>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unclear</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Maine’s</w:t>
      </w:r>
      <w:r w:rsidRPr="00DD7BD1">
        <w:rPr>
          <w:rFonts w:cs="Calibri"/>
          <w:color w:val="auto"/>
          <w:spacing w:val="-9"/>
          <w:w w:val="110"/>
          <w:szCs w:val="22"/>
        </w:rPr>
        <w:t xml:space="preserve"> </w:t>
      </w:r>
      <w:r w:rsidRPr="00DD7BD1">
        <w:rPr>
          <w:rFonts w:cs="Calibri"/>
          <w:color w:val="auto"/>
          <w:w w:val="110"/>
          <w:szCs w:val="22"/>
        </w:rPr>
        <w:t>Department</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Labor</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update</w:t>
      </w:r>
      <w:r w:rsidRPr="00DD7BD1">
        <w:rPr>
          <w:rFonts w:cs="Calibri"/>
          <w:color w:val="auto"/>
          <w:spacing w:val="-10"/>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9"/>
          <w:w w:val="110"/>
          <w:szCs w:val="22"/>
        </w:rPr>
        <w:t xml:space="preserve"> </w:t>
      </w:r>
      <w:r w:rsidRPr="00DD7BD1">
        <w:rPr>
          <w:rFonts w:cs="Calibri"/>
          <w:color w:val="auto"/>
          <w:w w:val="110"/>
          <w:szCs w:val="22"/>
        </w:rPr>
        <w:t>based</w:t>
      </w:r>
      <w:r w:rsidRPr="00DD7BD1">
        <w:rPr>
          <w:rFonts w:cs="Calibri"/>
          <w:color w:val="auto"/>
          <w:spacing w:val="-10"/>
          <w:w w:val="110"/>
          <w:szCs w:val="22"/>
        </w:rPr>
        <w:t xml:space="preserve"> </w:t>
      </w:r>
      <w:r w:rsidRPr="00DD7BD1">
        <w:rPr>
          <w:rFonts w:cs="Calibri"/>
          <w:color w:val="auto"/>
          <w:w w:val="110"/>
          <w:szCs w:val="22"/>
        </w:rPr>
        <w:t>on this change.</w:t>
      </w:r>
      <w:r w:rsidRPr="00DD7BD1">
        <w:rPr>
          <w:rFonts w:cs="Calibri"/>
          <w:color w:val="auto"/>
          <w:spacing w:val="40"/>
          <w:w w:val="110"/>
          <w:szCs w:val="22"/>
        </w:rPr>
        <w:t xml:space="preserve"> </w:t>
      </w:r>
      <w:r w:rsidRPr="00DD7BD1">
        <w:rPr>
          <w:rFonts w:cs="Calibri"/>
          <w:color w:val="auto"/>
          <w:w w:val="110"/>
          <w:szCs w:val="22"/>
        </w:rPr>
        <w:t>ETC will be releasing an updated State Handbook Addendum to address this new state change.</w:t>
      </w:r>
    </w:p>
    <w:p w14:paraId="49F2D792" w14:textId="77777777" w:rsidR="00F9575D" w:rsidRPr="00DD7BD1" w:rsidRDefault="00F9575D" w:rsidP="00F9575D">
      <w:pPr>
        <w:spacing w:after="0" w:line="240" w:lineRule="auto"/>
        <w:rPr>
          <w:rFonts w:ascii="Calibri" w:hAnsi="Calibri" w:cs="Calibri"/>
          <w:b/>
          <w:bCs/>
          <w:sz w:val="28"/>
          <w:szCs w:val="28"/>
          <w:shd w:val="clear" w:color="auto" w:fill="FFFFFF"/>
          <w:lang w:val="en"/>
        </w:rPr>
      </w:pPr>
    </w:p>
    <w:p w14:paraId="66D244AE" w14:textId="16049C74"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Issues Final Rules for Paid Family and Medical Leave – </w:t>
      </w:r>
      <w:r w:rsidRPr="00DD7BD1">
        <w:rPr>
          <w:rFonts w:ascii="Calibri" w:hAnsi="Calibri" w:cs="Calibri"/>
          <w:b/>
          <w:bCs/>
          <w:color w:val="C00000"/>
          <w:sz w:val="28"/>
          <w:szCs w:val="28"/>
          <w:shd w:val="clear" w:color="auto" w:fill="FFFFFF"/>
          <w:lang w:val="en"/>
        </w:rPr>
        <w:t>Jan 1, 2025</w:t>
      </w:r>
    </w:p>
    <w:p w14:paraId="2BA1B775" w14:textId="77777777" w:rsidR="00360D1C" w:rsidRPr="00DD7BD1" w:rsidRDefault="00360D1C" w:rsidP="00360D1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Maine Department of Labor has published </w:t>
      </w:r>
      <w:hyperlink r:id="rId702" w:history="1">
        <w:r w:rsidRPr="00DD7BD1">
          <w:rPr>
            <w:rStyle w:val="Hyperlink"/>
            <w:rFonts w:ascii="Calibri" w:hAnsi="Calibri" w:cs="Calibri"/>
            <w:shd w:val="clear" w:color="auto" w:fill="FFFFFF"/>
          </w:rPr>
          <w:t>final rules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DD7BD1" w:rsidRDefault="00360D1C" w:rsidP="003B29FD">
      <w:pPr>
        <w:pStyle w:val="ListParagraph"/>
        <w:spacing w:after="0" w:line="240" w:lineRule="auto"/>
        <w:rPr>
          <w:rFonts w:ascii="Calibri" w:hAnsi="Calibri" w:cs="Calibri"/>
          <w:shd w:val="clear" w:color="auto" w:fill="FFFFFF"/>
        </w:rPr>
      </w:pPr>
    </w:p>
    <w:p w14:paraId="4C3747F1" w14:textId="15EA4E9D" w:rsidR="003B29FD" w:rsidRPr="00DD7BD1" w:rsidRDefault="003B29FD" w:rsidP="00360D1C">
      <w:pPr>
        <w:pStyle w:val="ListParagraph"/>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Maine’s Paid Family &amp; Medical Leave (PFML) Launches – </w:t>
      </w:r>
      <w:r w:rsidRPr="00DD7BD1">
        <w:rPr>
          <w:rFonts w:ascii="Calibri" w:hAnsi="Calibri" w:cs="Calibri"/>
          <w:b/>
          <w:bCs/>
          <w:color w:val="C00000"/>
          <w:sz w:val="28"/>
          <w:szCs w:val="28"/>
          <w:shd w:val="clear" w:color="auto" w:fill="FFFFFF"/>
        </w:rPr>
        <w:t>Jan 1, 2025</w:t>
      </w:r>
    </w:p>
    <w:p w14:paraId="7FCFB3C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 xml:space="preserve">Payroll contributions begin January 1, 2025, and </w:t>
      </w:r>
      <w:r w:rsidRPr="00F1415F">
        <w:rPr>
          <w:rFonts w:ascii="Calibri" w:hAnsi="Calibri" w:cs="Calibri"/>
          <w:color w:val="EE0000"/>
          <w:u w:val="single"/>
        </w:rPr>
        <w:t>employees can start taking PFML on May 1, 2026</w:t>
      </w:r>
      <w:r w:rsidRPr="00F1415F">
        <w:rPr>
          <w:rFonts w:ascii="Calibri" w:hAnsi="Calibri" w:cs="Calibri"/>
          <w:color w:val="EE0000"/>
        </w:rPr>
        <w:t>.</w:t>
      </w:r>
      <w:r w:rsidRPr="00DD7BD1">
        <w:rPr>
          <w:rFonts w:ascii="Calibri" w:hAnsi="Calibri" w:cs="Calibri"/>
        </w:rPr>
        <w:t xml:space="preserve"> </w:t>
      </w:r>
    </w:p>
    <w:p w14:paraId="0F7158CA"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Employees will be entitled to up to 12 weeks of leave per year, and those who have been employed for 120 days or more are entitled to job protection.</w:t>
      </w:r>
    </w:p>
    <w:p w14:paraId="0A67EFE3" w14:textId="77777777" w:rsidR="003B29FD" w:rsidRPr="00DD7BD1" w:rsidRDefault="003B29FD" w:rsidP="003B29FD">
      <w:pPr>
        <w:pStyle w:val="ListParagraph"/>
        <w:spacing w:after="0"/>
        <w:ind w:left="90" w:right="270"/>
        <w:rPr>
          <w:rFonts w:ascii="Calibri" w:hAnsi="Calibri" w:cs="Calibri"/>
          <w:b/>
          <w:bCs/>
          <w:sz w:val="16"/>
          <w:szCs w:val="16"/>
        </w:rPr>
      </w:pPr>
    </w:p>
    <w:p w14:paraId="506A9B4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Employer Notice</w:t>
      </w:r>
      <w:r w:rsidRPr="00DD7BD1">
        <w:rPr>
          <w:rFonts w:ascii="Calibri" w:hAnsi="Calibri" w:cs="Calibri"/>
        </w:rPr>
        <w:br/>
        <w:t xml:space="preserve">Employers must post a notice at each worksite in a conspicuous location in English and any other primary language spoken by three or more employees in that workplace. </w:t>
      </w:r>
    </w:p>
    <w:p w14:paraId="24D3B50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They will also need to provide a written notice to each new employee within 30 days of their hire date.</w:t>
      </w:r>
    </w:p>
    <w:p w14:paraId="68D4BD42"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 MDOL has provided a model notice in English </w:t>
      </w:r>
      <w:hyperlink r:id="rId703" w:tgtFrame="_blank" w:history="1">
        <w:r w:rsidRPr="00DD7BD1">
          <w:rPr>
            <w:rStyle w:val="Hyperlink"/>
            <w:rFonts w:ascii="Calibri" w:hAnsi="Calibri" w:cs="Calibri"/>
          </w:rPr>
          <w:t>here</w:t>
        </w:r>
      </w:hyperlink>
      <w:r w:rsidRPr="00DD7BD1">
        <w:rPr>
          <w:rFonts w:ascii="Calibri" w:hAnsi="Calibri" w:cs="Calibri"/>
        </w:rPr>
        <w:t>.</w:t>
      </w:r>
    </w:p>
    <w:p w14:paraId="446D8683" w14:textId="77777777" w:rsidR="003B29FD" w:rsidRPr="00DD7BD1" w:rsidRDefault="003B29FD" w:rsidP="003B29FD">
      <w:pPr>
        <w:pStyle w:val="ListParagraph"/>
        <w:spacing w:after="0"/>
        <w:ind w:left="90" w:right="270"/>
        <w:rPr>
          <w:rFonts w:ascii="Calibri" w:hAnsi="Calibri" w:cs="Calibri"/>
          <w:b/>
          <w:bCs/>
          <w:sz w:val="16"/>
          <w:szCs w:val="16"/>
        </w:rPr>
      </w:pPr>
    </w:p>
    <w:p w14:paraId="38CE1AE5"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More Information</w:t>
      </w:r>
      <w:r w:rsidRPr="00DD7BD1">
        <w:rPr>
          <w:rFonts w:ascii="Calibri" w:hAnsi="Calibri" w:cs="Calibri"/>
        </w:rPr>
        <w:br/>
        <w:t>The state has a </w:t>
      </w:r>
      <w:hyperlink r:id="rId704" w:tgtFrame="_blank" w:history="1">
        <w:r w:rsidRPr="00DD7BD1">
          <w:rPr>
            <w:rStyle w:val="Hyperlink"/>
            <w:rFonts w:ascii="Calibri" w:hAnsi="Calibri" w:cs="Calibri"/>
          </w:rPr>
          <w:t>website</w:t>
        </w:r>
      </w:hyperlink>
      <w:r w:rsidRPr="00DD7BD1">
        <w:rPr>
          <w:rFonts w:ascii="Calibri" w:hAnsi="Calibri" w:cs="Calibri"/>
        </w:rPr>
        <w:t> with FAQs, an overview of the program, model notices in additional languages, and other resources for employers</w:t>
      </w:r>
    </w:p>
    <w:p w14:paraId="01B38AF4" w14:textId="77777777" w:rsidR="003B29FD" w:rsidRPr="00DD7BD1" w:rsidRDefault="003B29FD" w:rsidP="003B29FD">
      <w:pPr>
        <w:spacing w:after="0" w:line="240" w:lineRule="auto"/>
        <w:jc w:val="both"/>
        <w:rPr>
          <w:rStyle w:val="Strong"/>
          <w:rFonts w:ascii="Calibri" w:eastAsia="Times New Roman" w:hAnsi="Calibri" w:cs="Calibri"/>
        </w:rPr>
      </w:pPr>
    </w:p>
    <w:p w14:paraId="6B1A2AD4" w14:textId="7B6F8E50" w:rsidR="00AF4ED7" w:rsidRPr="00DD7BD1" w:rsidRDefault="00AF4ED7" w:rsidP="003B29FD">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Maine Retirement Investment Trust Savings Program Registration Deadlines Approach</w:t>
      </w:r>
    </w:p>
    <w:p w14:paraId="65E9FE13"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0F24F90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DD7BD1">
        <w:rPr>
          <w:rFonts w:ascii="Calibri" w:hAnsi="Calibri" w:cs="Calibri"/>
          <w:color w:val="C00000"/>
          <w:sz w:val="22"/>
          <w:szCs w:val="22"/>
        </w:rPr>
        <w:t>June 30, 2024</w:t>
      </w:r>
      <w:r w:rsidRPr="00DD7BD1">
        <w:rPr>
          <w:rFonts w:ascii="Calibri" w:hAnsi="Calibri" w:cs="Calibri"/>
          <w:sz w:val="22"/>
          <w:szCs w:val="22"/>
        </w:rPr>
        <w:t>. Employers offering a qualified retirement program may certify exemption through MERITSaves.</w:t>
      </w:r>
    </w:p>
    <w:p w14:paraId="187350DA"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1AF1689B"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Details about the program may be found on the</w:t>
      </w:r>
      <w:r w:rsidRPr="00DD7BD1">
        <w:rPr>
          <w:rStyle w:val="Hyperlink"/>
          <w:rFonts w:ascii="Calibri" w:hAnsi="Calibri" w:cs="Calibri"/>
          <w:color w:val="3052DA"/>
        </w:rPr>
        <w:t> </w:t>
      </w:r>
      <w:hyperlink r:id="rId705" w:history="1">
        <w:r w:rsidRPr="00DD7BD1">
          <w:rPr>
            <w:rStyle w:val="Hyperlink"/>
            <w:rFonts w:ascii="Calibri" w:hAnsi="Calibri" w:cs="Calibri"/>
            <w:color w:val="3052DA"/>
            <w:sz w:val="22"/>
            <w:szCs w:val="22"/>
          </w:rPr>
          <w:t>Maine Retirement Investment Trust Savings Program</w:t>
        </w:r>
      </w:hyperlink>
      <w:r w:rsidRPr="00DD7BD1">
        <w:rPr>
          <w:rFonts w:ascii="Calibri" w:hAnsi="Calibri" w:cs="Calibri"/>
          <w:color w:val="282828"/>
          <w:sz w:val="22"/>
          <w:szCs w:val="22"/>
        </w:rPr>
        <w:t> </w:t>
      </w:r>
      <w:r w:rsidRPr="00DD7BD1">
        <w:rPr>
          <w:rFonts w:ascii="Calibri" w:hAnsi="Calibri" w:cs="Calibri"/>
          <w:sz w:val="22"/>
          <w:szCs w:val="22"/>
        </w:rPr>
        <w:t>page and on the MERITSaves </w:t>
      </w:r>
      <w:hyperlink r:id="rId706" w:tgtFrame="_blank" w:history="1">
        <w:r w:rsidRPr="00DD7BD1">
          <w:rPr>
            <w:rStyle w:val="Hyperlink"/>
            <w:rFonts w:ascii="Calibri" w:hAnsi="Calibri" w:cs="Calibri"/>
            <w:color w:val="3052DA"/>
            <w:sz w:val="22"/>
            <w:szCs w:val="22"/>
          </w:rPr>
          <w:t>website</w:t>
        </w:r>
      </w:hyperlink>
      <w:r w:rsidRPr="00DD7BD1">
        <w:rPr>
          <w:rFonts w:ascii="Calibri" w:hAnsi="Calibri" w:cs="Calibri"/>
          <w:color w:val="282828"/>
          <w:sz w:val="22"/>
          <w:szCs w:val="22"/>
        </w:rPr>
        <w:t>.</w:t>
      </w:r>
    </w:p>
    <w:p w14:paraId="1ABF0912" w14:textId="77777777" w:rsidR="008C6649" w:rsidRPr="00DD7BD1" w:rsidRDefault="008C6649" w:rsidP="00472E17">
      <w:pPr>
        <w:spacing w:after="0" w:line="240" w:lineRule="auto"/>
        <w:jc w:val="both"/>
        <w:rPr>
          <w:rFonts w:ascii="Calibri" w:hAnsi="Calibri" w:cs="Calibri"/>
          <w:b/>
          <w:bCs/>
          <w:color w:val="2E74B5" w:themeColor="accent5" w:themeShade="BF"/>
          <w:sz w:val="20"/>
          <w:szCs w:val="20"/>
          <w:shd w:val="clear" w:color="auto" w:fill="FFFFFF"/>
          <w:lang w:val="en"/>
        </w:rPr>
      </w:pPr>
    </w:p>
    <w:p w14:paraId="5A9A4303" w14:textId="4C9FAD93" w:rsidR="00EC2A47" w:rsidRPr="00DD7BD1" w:rsidRDefault="00472E17" w:rsidP="00EC2A47">
      <w:pPr>
        <w:spacing w:after="0" w:line="240" w:lineRule="auto"/>
        <w:jc w:val="both"/>
        <w:rPr>
          <w:rFonts w:ascii="Calibri" w:hAnsi="Calibri" w:cs="Calibri"/>
          <w:b/>
          <w:bCs/>
          <w:color w:val="2E74B5" w:themeColor="accent5" w:themeShade="BF"/>
          <w:sz w:val="28"/>
          <w:szCs w:val="28"/>
          <w:shd w:val="clear" w:color="auto" w:fill="FFFFFF"/>
          <w:lang w:val="en"/>
        </w:rPr>
      </w:pPr>
      <w:r w:rsidRPr="00FC38AC">
        <w:rPr>
          <w:rFonts w:ascii="Calibri" w:hAnsi="Calibri" w:cs="Calibri"/>
          <w:b/>
          <w:bCs/>
          <w:color w:val="2E74B5" w:themeColor="accent5" w:themeShade="BF"/>
          <w:sz w:val="28"/>
          <w:szCs w:val="28"/>
          <w:shd w:val="clear" w:color="auto" w:fill="FFFFFF"/>
          <w:lang w:val="en"/>
        </w:rPr>
        <w:t>Maryland</w:t>
      </w:r>
      <w:bookmarkStart w:id="98" w:name="_Hlk190083451"/>
      <w:bookmarkStart w:id="99" w:name="_Hlk183166337"/>
    </w:p>
    <w:p w14:paraId="0305D4EB" w14:textId="77777777" w:rsidR="005A44E9" w:rsidRPr="00A72BB3" w:rsidRDefault="005A44E9" w:rsidP="005A44E9">
      <w:pPr>
        <w:jc w:val="center"/>
        <w:rPr>
          <w:b/>
          <w:bCs/>
          <w:caps/>
          <w:noProof/>
          <w:color w:val="0E425C"/>
          <w:sz w:val="26"/>
          <w:szCs w:val="26"/>
        </w:rPr>
      </w:pPr>
      <w:r w:rsidRPr="00A72BB3">
        <w:rPr>
          <w:b/>
          <w:bCs/>
          <w:caps/>
          <w:noProof/>
          <w:color w:val="0E425C"/>
          <w:sz w:val="26"/>
          <w:szCs w:val="26"/>
        </w:rPr>
        <w:t xml:space="preserve">State Publishes FAMLI </w:t>
      </w:r>
      <w:r>
        <w:rPr>
          <w:b/>
          <w:bCs/>
          <w:caps/>
          <w:noProof/>
          <w:color w:val="0E425C"/>
          <w:sz w:val="26"/>
          <w:szCs w:val="26"/>
        </w:rPr>
        <w:t>Contribution Rates</w:t>
      </w:r>
      <w:r w:rsidRPr="00A72BB3">
        <w:rPr>
          <w:b/>
          <w:bCs/>
          <w:caps/>
          <w:noProof/>
          <w:color w:val="0E425C"/>
          <w:sz w:val="26"/>
          <w:szCs w:val="26"/>
        </w:rPr>
        <w:t>, Private PLan Dates &amp; FAQs</w:t>
      </w:r>
    </w:p>
    <w:p w14:paraId="11C5FE23" w14:textId="77777777" w:rsidR="005A44E9" w:rsidRDefault="005A44E9" w:rsidP="005A44E9">
      <w:pPr>
        <w:jc w:val="center"/>
        <w:rPr>
          <w:b/>
          <w:bCs/>
          <w:caps/>
          <w:noProof/>
          <w:color w:val="0E425C"/>
          <w:sz w:val="28"/>
          <w:szCs w:val="28"/>
        </w:rPr>
      </w:pPr>
      <w:r w:rsidRPr="00A72BB3">
        <w:rPr>
          <w:b/>
          <w:bCs/>
          <w:caps/>
          <w:noProof/>
          <w:color w:val="0E425C"/>
          <w:sz w:val="26"/>
          <w:szCs w:val="26"/>
        </w:rPr>
        <w:t>Contributions Start</w:t>
      </w:r>
      <w:r>
        <w:rPr>
          <w:b/>
          <w:bCs/>
          <w:caps/>
          <w:noProof/>
          <w:color w:val="0E425C"/>
          <w:sz w:val="28"/>
          <w:szCs w:val="28"/>
        </w:rPr>
        <w:t xml:space="preserve"> </w:t>
      </w:r>
      <w:r w:rsidRPr="00A72BB3">
        <w:rPr>
          <w:b/>
          <w:bCs/>
          <w:caps/>
          <w:color w:val="0070C0"/>
          <w:sz w:val="26"/>
          <w:szCs w:val="26"/>
        </w:rPr>
        <w:t>Jan 1, 2027</w:t>
      </w:r>
      <w:r>
        <w:rPr>
          <w:b/>
          <w:bCs/>
          <w:caps/>
          <w:noProof/>
          <w:color w:val="0E425C"/>
          <w:sz w:val="28"/>
          <w:szCs w:val="28"/>
        </w:rPr>
        <w:t xml:space="preserve"> </w:t>
      </w:r>
      <w:r w:rsidRPr="00A72BB3">
        <w:rPr>
          <w:b/>
          <w:bCs/>
          <w:caps/>
          <w:noProof/>
          <w:color w:val="0E425C"/>
          <w:sz w:val="26"/>
          <w:szCs w:val="26"/>
        </w:rPr>
        <w:t>&amp; Benefits start No Later tHan</w:t>
      </w:r>
      <w:r>
        <w:rPr>
          <w:b/>
          <w:bCs/>
          <w:caps/>
          <w:noProof/>
          <w:color w:val="0E425C"/>
          <w:sz w:val="28"/>
          <w:szCs w:val="28"/>
        </w:rPr>
        <w:t xml:space="preserve"> </w:t>
      </w:r>
      <w:r w:rsidRPr="00A72BB3">
        <w:rPr>
          <w:b/>
          <w:bCs/>
          <w:caps/>
          <w:color w:val="0070C0"/>
          <w:sz w:val="26"/>
          <w:szCs w:val="26"/>
        </w:rPr>
        <w:t>Jan 3, 2028</w:t>
      </w:r>
    </w:p>
    <w:p w14:paraId="73B3321F" w14:textId="77777777" w:rsidR="005A44E9" w:rsidRPr="00583620" w:rsidRDefault="005A44E9" w:rsidP="005A44E9">
      <w:r w:rsidRPr="00583620">
        <w:t>Following the publication of</w:t>
      </w:r>
      <w:r>
        <w:t xml:space="preserve"> </w:t>
      </w:r>
      <w:hyperlink r:id="rId707" w:history="1">
        <w:r w:rsidRPr="00F67A01">
          <w:rPr>
            <w:rStyle w:val="Hyperlink"/>
          </w:rPr>
          <w:t>final regulations</w:t>
        </w:r>
      </w:hyperlink>
      <w:r>
        <w:t xml:space="preserve"> </w:t>
      </w:r>
      <w:r w:rsidRPr="00583620">
        <w:t>for the state’s paid family and medical leave insurance (FAMLI)</w:t>
      </w:r>
      <w:r>
        <w:t xml:space="preserve"> </w:t>
      </w:r>
      <w:hyperlink r:id="rId708" w:history="1">
        <w:r w:rsidRPr="004725F2">
          <w:rPr>
            <w:rStyle w:val="Hyperlink"/>
          </w:rPr>
          <w:t>program</w:t>
        </w:r>
      </w:hyperlink>
      <w:r w:rsidRPr="00583620">
        <w:t>, the Maryland Department of Labor has announced the initial FAMLI contribution rate. It has also issued</w:t>
      </w:r>
      <w:r>
        <w:t xml:space="preserve"> </w:t>
      </w:r>
      <w:hyperlink r:id="rId709" w:history="1">
        <w:r w:rsidRPr="00001A0B">
          <w:rPr>
            <w:rStyle w:val="Hyperlink"/>
          </w:rPr>
          <w:t>answers to frequently asked questions</w:t>
        </w:r>
      </w:hyperlink>
      <w:r>
        <w:t xml:space="preserve"> </w:t>
      </w:r>
      <w:r w:rsidRPr="00583620">
        <w:t xml:space="preserve">(FAQs) about the program and given a time window during which employers may submit a declaration of intent (DOI) to file an application for an equivalent private insurance plan. </w:t>
      </w:r>
    </w:p>
    <w:p w14:paraId="3C96C2F4" w14:textId="77777777" w:rsidR="005A44E9" w:rsidRPr="00583620" w:rsidRDefault="005A44E9">
      <w:pPr>
        <w:pStyle w:val="ListParagraph"/>
        <w:numPr>
          <w:ilvl w:val="0"/>
          <w:numId w:val="337"/>
        </w:numPr>
        <w:tabs>
          <w:tab w:val="left" w:pos="8550"/>
        </w:tabs>
        <w:spacing w:after="100" w:line="276" w:lineRule="auto"/>
        <w:rPr>
          <w:b/>
        </w:rPr>
      </w:pPr>
      <w:r w:rsidRPr="00583620">
        <w:rPr>
          <w:bCs/>
        </w:rPr>
        <w:t>Enacted</w:t>
      </w:r>
      <w:r w:rsidRPr="00583620">
        <w:rPr>
          <w:b/>
        </w:rPr>
        <w:t xml:space="preserve"> </w:t>
      </w:r>
      <w:r w:rsidRPr="00583620">
        <w:t xml:space="preserve">in April 2022 the program provides partially compensated, job-protected employee leave for reasons related to the health and well-being of employees and their family members. </w:t>
      </w:r>
    </w:p>
    <w:p w14:paraId="7EC1CF7F" w14:textId="77777777" w:rsidR="005A44E9" w:rsidRPr="00583620" w:rsidRDefault="005A44E9">
      <w:pPr>
        <w:pStyle w:val="ListParagraph"/>
        <w:numPr>
          <w:ilvl w:val="0"/>
          <w:numId w:val="337"/>
        </w:numPr>
        <w:tabs>
          <w:tab w:val="left" w:pos="8550"/>
        </w:tabs>
        <w:spacing w:after="100" w:line="276" w:lineRule="auto"/>
        <w:rPr>
          <w:b/>
        </w:rPr>
      </w:pPr>
      <w:r w:rsidRPr="00583620">
        <w:rPr>
          <w:b/>
          <w:bCs/>
        </w:rPr>
        <w:t>Nearly all employers are covered</w:t>
      </w:r>
      <w:r w:rsidRPr="00583620">
        <w:t>.</w:t>
      </w:r>
    </w:p>
    <w:p w14:paraId="6C423890" w14:textId="77777777" w:rsidR="005A44E9" w:rsidRPr="00661127" w:rsidRDefault="005A44E9">
      <w:pPr>
        <w:pStyle w:val="ListParagraph"/>
        <w:numPr>
          <w:ilvl w:val="0"/>
          <w:numId w:val="337"/>
        </w:numPr>
        <w:tabs>
          <w:tab w:val="left" w:pos="8550"/>
        </w:tabs>
        <w:spacing w:after="100" w:line="276" w:lineRule="auto"/>
        <w:rPr>
          <w:b/>
        </w:rPr>
      </w:pPr>
      <w:r w:rsidRPr="00583620">
        <w:t>Program is funded through contributions from employers and employees. Employers will remit FAMLI contributions via the</w:t>
      </w:r>
      <w:r w:rsidRPr="00750F22">
        <w:t xml:space="preserve"> </w:t>
      </w:r>
      <w:hyperlink r:id="rId710" w:history="1">
        <w:r w:rsidRPr="00B60033">
          <w:rPr>
            <w:rStyle w:val="Hyperlink"/>
          </w:rPr>
          <w:t>FAMLI website</w:t>
        </w:r>
      </w:hyperlink>
      <w:r w:rsidRPr="00750F22">
        <w:t>.</w:t>
      </w:r>
    </w:p>
    <w:p w14:paraId="4380EF36" w14:textId="77777777" w:rsidR="005A44E9" w:rsidRPr="00583620" w:rsidRDefault="005A44E9">
      <w:pPr>
        <w:pStyle w:val="ListParagraph"/>
        <w:numPr>
          <w:ilvl w:val="0"/>
          <w:numId w:val="337"/>
        </w:numPr>
        <w:tabs>
          <w:tab w:val="left" w:pos="8550"/>
        </w:tabs>
        <w:spacing w:after="100" w:line="276" w:lineRule="auto"/>
        <w:rPr>
          <w:b/>
        </w:rPr>
      </w:pPr>
      <w:r w:rsidRPr="00583620">
        <w:t>Employers with fewer than 15 employees are not required to contribute</w:t>
      </w:r>
    </w:p>
    <w:p w14:paraId="7EAE6280" w14:textId="2F144F2C" w:rsidR="005A44E9" w:rsidRPr="005A44E9" w:rsidRDefault="005A44E9">
      <w:pPr>
        <w:pStyle w:val="ListParagraph"/>
        <w:numPr>
          <w:ilvl w:val="0"/>
          <w:numId w:val="337"/>
        </w:numPr>
        <w:spacing w:after="100" w:line="276" w:lineRule="auto"/>
        <w:rPr>
          <w:rFonts w:ascii="Calibri" w:hAnsi="Calibri" w:cs="Arial"/>
          <w:color w:val="595959"/>
          <w:szCs w:val="20"/>
        </w:rPr>
      </w:pPr>
      <w:r w:rsidRPr="00583620">
        <w:rPr>
          <w:rStyle w:val="BodyTextChar"/>
          <w:rFonts w:eastAsiaTheme="minorHAnsi"/>
          <w:color w:val="auto"/>
        </w:rPr>
        <w:t>The FAMLI statute and regulations allow employers to maintain an</w:t>
      </w:r>
      <w:r>
        <w:rPr>
          <w:rStyle w:val="BodyTextChar"/>
          <w:rFonts w:eastAsiaTheme="minorHAnsi"/>
        </w:rPr>
        <w:t xml:space="preserve"> </w:t>
      </w:r>
      <w:hyperlink r:id="rId711" w:history="1">
        <w:r w:rsidRPr="00B512A8">
          <w:rPr>
            <w:rStyle w:val="Hyperlink"/>
          </w:rPr>
          <w:t>equivalent private insurance plan</w:t>
        </w:r>
      </w:hyperlink>
      <w:r>
        <w:rPr>
          <w:rStyle w:val="BodyTextChar"/>
          <w:rFonts w:eastAsiaTheme="minorHAnsi"/>
        </w:rPr>
        <w:t xml:space="preserve"> </w:t>
      </w:r>
      <w:r w:rsidRPr="00583620">
        <w:rPr>
          <w:rStyle w:val="BodyTextChar"/>
          <w:rFonts w:eastAsiaTheme="minorHAnsi"/>
          <w:color w:val="auto"/>
        </w:rPr>
        <w:t xml:space="preserve">for their employees in lieu of participating in the state FAMLI plan. </w:t>
      </w:r>
      <w:r w:rsidRPr="00583620">
        <w:t xml:space="preserve">Private plans must be approved by the state and must provide benefits and a claims experience that are the same as, or better than, those of the state plan. Private Plans </w:t>
      </w:r>
      <w:r w:rsidRPr="00583620">
        <w:rPr>
          <w:rStyle w:val="BodyTextChar"/>
          <w:rFonts w:eastAsiaTheme="minorHAnsi"/>
          <w:color w:val="auto"/>
        </w:rPr>
        <w:t>must submit a DOI between September 1, 2026, and November 15, 2026.</w:t>
      </w:r>
    </w:p>
    <w:p w14:paraId="37278C3E" w14:textId="648C8A9C" w:rsidR="007E0135" w:rsidRPr="00DD7BD1" w:rsidRDefault="007E0135" w:rsidP="007E0135">
      <w:pPr>
        <w:spacing w:before="11"/>
        <w:ind w:right="-360"/>
        <w:jc w:val="center"/>
        <w:rPr>
          <w:rFonts w:ascii="Calibri" w:hAnsi="Calibri" w:cs="Calibri"/>
          <w:b/>
          <w:sz w:val="28"/>
        </w:rPr>
      </w:pPr>
      <w:r w:rsidRPr="00DD7BD1">
        <w:rPr>
          <w:rFonts w:ascii="Calibri" w:hAnsi="Calibri" w:cs="Calibri"/>
          <w:b/>
          <w:spacing w:val="-8"/>
          <w:sz w:val="28"/>
        </w:rPr>
        <w:t>State</w:t>
      </w:r>
      <w:r w:rsidRPr="00DD7BD1">
        <w:rPr>
          <w:rFonts w:ascii="Calibri" w:hAnsi="Calibri" w:cs="Calibri"/>
          <w:b/>
          <w:spacing w:val="-12"/>
          <w:sz w:val="28"/>
        </w:rPr>
        <w:t xml:space="preserve"> </w:t>
      </w:r>
      <w:r w:rsidRPr="00DD7BD1">
        <w:rPr>
          <w:rFonts w:ascii="Calibri" w:hAnsi="Calibri" w:cs="Calibri"/>
          <w:b/>
          <w:spacing w:val="-8"/>
          <w:sz w:val="28"/>
        </w:rPr>
        <w:t>Expands Deployment</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6"/>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8"/>
          <w:sz w:val="28"/>
        </w:rPr>
        <w:t>Oct</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1, 2025</w:t>
      </w:r>
    </w:p>
    <w:p w14:paraId="033BFCB2" w14:textId="77777777" w:rsidR="007E0135" w:rsidRPr="00DD7BD1" w:rsidRDefault="007E0135">
      <w:pPr>
        <w:pStyle w:val="ListParagraph"/>
        <w:widowControl w:val="0"/>
        <w:numPr>
          <w:ilvl w:val="0"/>
          <w:numId w:val="245"/>
        </w:numPr>
        <w:autoSpaceDE w:val="0"/>
        <w:autoSpaceDN w:val="0"/>
        <w:spacing w:before="5" w:after="0" w:line="247" w:lineRule="auto"/>
        <w:ind w:left="720" w:right="-360"/>
        <w:contextualSpacing w:val="0"/>
        <w:rPr>
          <w:rFonts w:ascii="Calibri" w:hAnsi="Calibri" w:cs="Calibri"/>
        </w:rPr>
      </w:pPr>
      <w:r w:rsidRPr="00DD7BD1">
        <w:rPr>
          <w:rFonts w:ascii="Calibri" w:hAnsi="Calibri" w:cs="Calibri"/>
          <w:w w:val="110"/>
        </w:rPr>
        <w:t>As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October</w:t>
      </w:r>
      <w:r w:rsidRPr="00DD7BD1">
        <w:rPr>
          <w:rFonts w:ascii="Calibri" w:hAnsi="Calibri" w:cs="Calibri"/>
          <w:spacing w:val="-11"/>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2025,</w:t>
      </w:r>
      <w:r w:rsidRPr="00DD7BD1">
        <w:rPr>
          <w:rFonts w:ascii="Calibri" w:hAnsi="Calibri" w:cs="Calibri"/>
          <w:spacing w:val="-9"/>
          <w:w w:val="110"/>
        </w:rPr>
        <w:t xml:space="preserve"> </w:t>
      </w:r>
      <w:r w:rsidRPr="00DD7BD1">
        <w:rPr>
          <w:rFonts w:ascii="Calibri" w:hAnsi="Calibri" w:cs="Calibri"/>
          <w:w w:val="110"/>
        </w:rPr>
        <w:t>Maryland’s</w:t>
      </w:r>
      <w:r w:rsidRPr="00DD7BD1">
        <w:rPr>
          <w:rFonts w:ascii="Calibri" w:hAnsi="Calibri" w:cs="Calibri"/>
          <w:spacing w:val="-8"/>
          <w:w w:val="110"/>
        </w:rPr>
        <w:t xml:space="preserve"> </w:t>
      </w:r>
      <w:r w:rsidRPr="00DD7BD1">
        <w:rPr>
          <w:rFonts w:ascii="Calibri" w:hAnsi="Calibri" w:cs="Calibri"/>
          <w:w w:val="110"/>
        </w:rPr>
        <w:t>family</w:t>
      </w:r>
      <w:r w:rsidRPr="00DD7BD1">
        <w:rPr>
          <w:rFonts w:ascii="Calibri" w:hAnsi="Calibri" w:cs="Calibri"/>
          <w:spacing w:val="-8"/>
          <w:w w:val="110"/>
        </w:rPr>
        <w:t xml:space="preserve"> </w:t>
      </w:r>
      <w:r w:rsidRPr="00DD7BD1">
        <w:rPr>
          <w:rFonts w:ascii="Calibri" w:hAnsi="Calibri" w:cs="Calibri"/>
          <w:w w:val="110"/>
        </w:rPr>
        <w:t>deployment</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law</w:t>
      </w:r>
      <w:r w:rsidRPr="00DD7BD1">
        <w:rPr>
          <w:rFonts w:ascii="Calibri" w:hAnsi="Calibri" w:cs="Calibri"/>
          <w:spacing w:val="-10"/>
          <w:w w:val="110"/>
        </w:rPr>
        <w:t xml:space="preserve"> </w:t>
      </w:r>
      <w:r w:rsidRPr="00DD7BD1">
        <w:rPr>
          <w:rFonts w:ascii="Calibri" w:hAnsi="Calibri" w:cs="Calibri"/>
          <w:w w:val="110"/>
        </w:rPr>
        <w:t>will</w:t>
      </w:r>
      <w:r w:rsidRPr="00DD7BD1">
        <w:rPr>
          <w:rFonts w:ascii="Calibri" w:hAnsi="Calibri" w:cs="Calibri"/>
          <w:spacing w:val="-10"/>
          <w:w w:val="110"/>
        </w:rPr>
        <w:t xml:space="preserve"> </w:t>
      </w:r>
      <w:r w:rsidRPr="00DD7BD1">
        <w:rPr>
          <w:rFonts w:ascii="Calibri" w:hAnsi="Calibri" w:cs="Calibri"/>
          <w:w w:val="110"/>
        </w:rPr>
        <w:t>cover</w:t>
      </w:r>
      <w:r w:rsidRPr="00DD7BD1">
        <w:rPr>
          <w:rFonts w:ascii="Calibri" w:hAnsi="Calibri" w:cs="Calibri"/>
          <w:spacing w:val="-9"/>
          <w:w w:val="110"/>
        </w:rPr>
        <w:t xml:space="preserve"> </w:t>
      </w:r>
      <w:r w:rsidRPr="00DD7BD1">
        <w:rPr>
          <w:rFonts w:ascii="Calibri" w:hAnsi="Calibri" w:cs="Calibri"/>
          <w:w w:val="110"/>
        </w:rPr>
        <w:t>deployment</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u w:val="single"/>
        </w:rPr>
        <w:t>National</w:t>
      </w:r>
      <w:r w:rsidRPr="00DD7BD1">
        <w:rPr>
          <w:rFonts w:ascii="Calibri" w:hAnsi="Calibri" w:cs="Calibri"/>
          <w:w w:val="110"/>
        </w:rPr>
        <w:t xml:space="preserve"> </w:t>
      </w:r>
      <w:r w:rsidRPr="00DD7BD1">
        <w:rPr>
          <w:rFonts w:ascii="Calibri" w:hAnsi="Calibri" w:cs="Calibri"/>
          <w:w w:val="110"/>
          <w:u w:val="single"/>
        </w:rPr>
        <w:t>Oceanic</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Atmospheric</w:t>
      </w:r>
      <w:r w:rsidRPr="00DD7BD1">
        <w:rPr>
          <w:rFonts w:ascii="Calibri" w:hAnsi="Calibri" w:cs="Calibri"/>
          <w:spacing w:val="-17"/>
          <w:w w:val="110"/>
          <w:u w:val="single"/>
        </w:rPr>
        <w:t xml:space="preserve"> </w:t>
      </w:r>
      <w:r w:rsidRPr="00DD7BD1">
        <w:rPr>
          <w:rFonts w:ascii="Calibri" w:hAnsi="Calibri" w:cs="Calibri"/>
          <w:w w:val="110"/>
          <w:u w:val="single"/>
        </w:rPr>
        <w:t>Administration</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Public</w:t>
      </w:r>
      <w:r w:rsidRPr="00DD7BD1">
        <w:rPr>
          <w:rFonts w:ascii="Calibri" w:hAnsi="Calibri" w:cs="Calibri"/>
          <w:spacing w:val="-16"/>
          <w:w w:val="110"/>
          <w:u w:val="single"/>
        </w:rPr>
        <w:t xml:space="preserve"> </w:t>
      </w:r>
      <w:r w:rsidRPr="00DD7BD1">
        <w:rPr>
          <w:rFonts w:ascii="Calibri" w:hAnsi="Calibri" w:cs="Calibri"/>
          <w:w w:val="110"/>
          <w:u w:val="single"/>
        </w:rPr>
        <w:t>Health</w:t>
      </w:r>
      <w:r w:rsidRPr="00DD7BD1">
        <w:rPr>
          <w:rFonts w:ascii="Calibri" w:hAnsi="Calibri" w:cs="Calibri"/>
          <w:spacing w:val="-17"/>
          <w:w w:val="110"/>
          <w:u w:val="single"/>
        </w:rPr>
        <w:t xml:space="preserve"> </w:t>
      </w:r>
      <w:r w:rsidRPr="00DD7BD1">
        <w:rPr>
          <w:rFonts w:ascii="Calibri" w:hAnsi="Calibri" w:cs="Calibri"/>
          <w:w w:val="110"/>
          <w:u w:val="single"/>
        </w:rPr>
        <w:t>Service</w:t>
      </w:r>
      <w:r w:rsidRPr="00DD7BD1">
        <w:rPr>
          <w:rFonts w:ascii="Calibri" w:hAnsi="Calibri" w:cs="Calibri"/>
          <w:spacing w:val="-17"/>
          <w:w w:val="110"/>
          <w:u w:val="single"/>
        </w:rPr>
        <w:t xml:space="preserve"> </w:t>
      </w:r>
      <w:r w:rsidRPr="00DD7BD1">
        <w:rPr>
          <w:rFonts w:ascii="Calibri" w:hAnsi="Calibri" w:cs="Calibri"/>
          <w:w w:val="110"/>
        </w:rPr>
        <w:t>under</w:t>
      </w:r>
      <w:r w:rsidRPr="00DD7BD1">
        <w:rPr>
          <w:rFonts w:ascii="Calibri" w:hAnsi="Calibri" w:cs="Calibri"/>
          <w:spacing w:val="2"/>
          <w:w w:val="110"/>
        </w:rPr>
        <w:t xml:space="preserve"> </w:t>
      </w:r>
      <w:hyperlink r:id="rId712">
        <w:r w:rsidRPr="00DD7BD1">
          <w:rPr>
            <w:rFonts w:ascii="Calibri" w:hAnsi="Calibri" w:cs="Calibri"/>
            <w:color w:val="0000FF"/>
            <w:w w:val="110"/>
          </w:rPr>
          <w:t>S</w:t>
        </w:r>
        <w:r w:rsidRPr="00DD7BD1">
          <w:rPr>
            <w:rFonts w:ascii="Calibri" w:hAnsi="Calibri" w:cs="Calibri"/>
            <w:color w:val="0000FF"/>
            <w:spacing w:val="-16"/>
            <w:w w:val="110"/>
          </w:rPr>
          <w:t xml:space="preserve"> </w:t>
        </w:r>
        <w:r w:rsidRPr="00DD7BD1">
          <w:rPr>
            <w:rFonts w:ascii="Calibri" w:hAnsi="Calibri" w:cs="Calibri"/>
            <w:color w:val="0000FF"/>
            <w:w w:val="110"/>
          </w:rPr>
          <w:t>279</w:t>
        </w:r>
      </w:hyperlink>
      <w:r w:rsidRPr="00DD7BD1">
        <w:rPr>
          <w:rFonts w:ascii="Calibri" w:hAnsi="Calibri" w:cs="Calibri"/>
          <w:color w:val="0000FF"/>
          <w:spacing w:val="-17"/>
          <w:w w:val="110"/>
        </w:rPr>
        <w:t xml:space="preserve"> </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(Currently,</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law</w:t>
      </w:r>
      <w:r w:rsidRPr="00DD7BD1">
        <w:rPr>
          <w:rFonts w:ascii="Calibri" w:hAnsi="Calibri" w:cs="Calibri"/>
          <w:spacing w:val="-16"/>
          <w:w w:val="110"/>
        </w:rPr>
        <w:t xml:space="preserve"> </w:t>
      </w:r>
      <w:r w:rsidRPr="00DD7BD1">
        <w:rPr>
          <w:rFonts w:ascii="Calibri" w:hAnsi="Calibri" w:cs="Calibri"/>
          <w:w w:val="110"/>
        </w:rPr>
        <w:t>only covers the armed forces.)</w:t>
      </w:r>
    </w:p>
    <w:p w14:paraId="2F59E7CC" w14:textId="77777777" w:rsidR="007E0135" w:rsidRPr="00DD7BD1" w:rsidRDefault="007E0135">
      <w:pPr>
        <w:pStyle w:val="ListParagraph"/>
        <w:widowControl w:val="0"/>
        <w:numPr>
          <w:ilvl w:val="0"/>
          <w:numId w:val="245"/>
        </w:numPr>
        <w:autoSpaceDE w:val="0"/>
        <w:autoSpaceDN w:val="0"/>
        <w:spacing w:after="0" w:line="270" w:lineRule="exact"/>
        <w:ind w:left="720" w:right="-360" w:hanging="359"/>
        <w:contextualSpacing w:val="0"/>
        <w:rPr>
          <w:rFonts w:ascii="Calibri" w:hAnsi="Calibri" w:cs="Calibri"/>
        </w:rPr>
      </w:pPr>
      <w:r w:rsidRPr="00DD7BD1">
        <w:rPr>
          <w:rFonts w:ascii="Calibri" w:hAnsi="Calibri" w:cs="Calibri"/>
        </w:rPr>
        <w:t>This</w:t>
      </w:r>
      <w:r w:rsidRPr="00DD7BD1">
        <w:rPr>
          <w:rFonts w:ascii="Calibri" w:hAnsi="Calibri" w:cs="Calibri"/>
          <w:spacing w:val="31"/>
        </w:rPr>
        <w:t xml:space="preserve"> </w:t>
      </w:r>
      <w:r w:rsidRPr="00DD7BD1">
        <w:rPr>
          <w:rFonts w:ascii="Calibri" w:hAnsi="Calibri" w:cs="Calibri"/>
        </w:rPr>
        <w:t>law</w:t>
      </w:r>
      <w:r w:rsidRPr="00DD7BD1">
        <w:rPr>
          <w:rFonts w:ascii="Calibri" w:hAnsi="Calibri" w:cs="Calibri"/>
          <w:spacing w:val="24"/>
        </w:rPr>
        <w:t xml:space="preserve"> </w:t>
      </w:r>
      <w:r w:rsidRPr="00DD7BD1">
        <w:rPr>
          <w:rFonts w:ascii="Calibri" w:hAnsi="Calibri" w:cs="Calibri"/>
        </w:rPr>
        <w:t>applies</w:t>
      </w:r>
      <w:r w:rsidRPr="00DD7BD1">
        <w:rPr>
          <w:rFonts w:ascii="Calibri" w:hAnsi="Calibri" w:cs="Calibri"/>
          <w:spacing w:val="30"/>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employers</w:t>
      </w:r>
      <w:r w:rsidRPr="00DD7BD1">
        <w:rPr>
          <w:rFonts w:ascii="Calibri" w:hAnsi="Calibri" w:cs="Calibri"/>
          <w:spacing w:val="28"/>
        </w:rPr>
        <w:t xml:space="preserve"> </w:t>
      </w:r>
      <w:r w:rsidRPr="00DD7BD1">
        <w:rPr>
          <w:rFonts w:ascii="Calibri" w:hAnsi="Calibri" w:cs="Calibri"/>
        </w:rPr>
        <w:t>with</w:t>
      </w:r>
      <w:r w:rsidRPr="00DD7BD1">
        <w:rPr>
          <w:rFonts w:ascii="Calibri" w:hAnsi="Calibri" w:cs="Calibri"/>
          <w:spacing w:val="28"/>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6"/>
        </w:rPr>
        <w:t xml:space="preserve"> </w:t>
      </w:r>
      <w:r w:rsidRPr="00DD7BD1">
        <w:rPr>
          <w:rFonts w:ascii="Calibri" w:hAnsi="Calibri" w:cs="Calibri"/>
        </w:rPr>
        <w:t>more</w:t>
      </w:r>
      <w:r w:rsidRPr="00DD7BD1">
        <w:rPr>
          <w:rFonts w:ascii="Calibri" w:hAnsi="Calibri" w:cs="Calibri"/>
          <w:spacing w:val="26"/>
        </w:rPr>
        <w:t xml:space="preserve"> </w:t>
      </w:r>
      <w:r w:rsidRPr="00DD7BD1">
        <w:rPr>
          <w:rFonts w:ascii="Calibri" w:hAnsi="Calibri" w:cs="Calibri"/>
          <w:spacing w:val="-2"/>
        </w:rPr>
        <w:t>employees</w:t>
      </w:r>
    </w:p>
    <w:p w14:paraId="60EB1F95" w14:textId="2F55C732" w:rsidR="007E0135" w:rsidRPr="00DD7BD1" w:rsidRDefault="007E0135">
      <w:pPr>
        <w:pStyle w:val="ListParagraph"/>
        <w:widowControl w:val="0"/>
        <w:numPr>
          <w:ilvl w:val="0"/>
          <w:numId w:val="245"/>
        </w:numPr>
        <w:autoSpaceDE w:val="0"/>
        <w:autoSpaceDN w:val="0"/>
        <w:spacing w:before="1" w:after="0" w:line="247" w:lineRule="auto"/>
        <w:ind w:left="720" w:right="-360"/>
        <w:contextualSpacing w:val="0"/>
        <w:rPr>
          <w:rFonts w:ascii="Calibri" w:hAnsi="Calibri" w:cs="Calibri"/>
        </w:rPr>
      </w:pPr>
      <w:r w:rsidRPr="00DD7BD1">
        <w:rPr>
          <w:rFonts w:ascii="Calibri" w:hAnsi="Calibri" w:cs="Calibri"/>
          <w:spacing w:val="-2"/>
        </w:rPr>
        <w:t>T</w:t>
      </w:r>
      <w:r w:rsidRPr="00DD7BD1">
        <w:rPr>
          <w:rFonts w:ascii="Calibri" w:hAnsi="Calibri" w:cs="Calibri"/>
          <w:w w:val="110"/>
        </w:rPr>
        <w:t>he</w:t>
      </w:r>
      <w:r w:rsidRPr="00DD7BD1">
        <w:rPr>
          <w:rFonts w:ascii="Calibri" w:hAnsi="Calibri" w:cs="Calibri"/>
          <w:spacing w:val="-9"/>
          <w:w w:val="110"/>
        </w:rPr>
        <w:t xml:space="preserve"> </w:t>
      </w:r>
      <w:r w:rsidRPr="00DD7BD1">
        <w:rPr>
          <w:rFonts w:ascii="Calibri" w:hAnsi="Calibri" w:cs="Calibri"/>
          <w:w w:val="110"/>
        </w:rPr>
        <w:t>law</w:t>
      </w:r>
      <w:r w:rsidRPr="00DD7BD1">
        <w:rPr>
          <w:rFonts w:ascii="Calibri" w:hAnsi="Calibri" w:cs="Calibri"/>
          <w:spacing w:val="-13"/>
          <w:w w:val="110"/>
        </w:rPr>
        <w:t xml:space="preserve"> </w:t>
      </w:r>
      <w:r w:rsidRPr="00DD7BD1">
        <w:rPr>
          <w:rFonts w:ascii="Calibri" w:hAnsi="Calibri" w:cs="Calibri"/>
          <w:w w:val="110"/>
        </w:rPr>
        <w:t>also</w:t>
      </w:r>
      <w:r w:rsidRPr="00DD7BD1">
        <w:rPr>
          <w:rFonts w:ascii="Calibri" w:hAnsi="Calibri" w:cs="Calibri"/>
          <w:spacing w:val="-10"/>
          <w:w w:val="110"/>
        </w:rPr>
        <w:t xml:space="preserve"> </w:t>
      </w:r>
      <w:r w:rsidRPr="00DD7BD1">
        <w:rPr>
          <w:rFonts w:ascii="Calibri" w:hAnsi="Calibri" w:cs="Calibri"/>
          <w:w w:val="110"/>
        </w:rPr>
        <w:t>provides</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8"/>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day</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leave</w:t>
      </w:r>
      <w:r w:rsidRPr="00DD7BD1">
        <w:rPr>
          <w:rFonts w:ascii="Calibri" w:hAnsi="Calibri" w:cs="Calibri"/>
          <w:spacing w:val="-9"/>
          <w:w w:val="110"/>
        </w:rPr>
        <w:t xml:space="preserve"> </w:t>
      </w: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family</w:t>
      </w:r>
      <w:r w:rsidRPr="00DD7BD1">
        <w:rPr>
          <w:rFonts w:ascii="Calibri" w:hAnsi="Calibri" w:cs="Calibri"/>
          <w:spacing w:val="-11"/>
          <w:w w:val="110"/>
        </w:rPr>
        <w:t xml:space="preserve"> </w:t>
      </w:r>
      <w:r w:rsidRPr="00DD7BD1">
        <w:rPr>
          <w:rFonts w:ascii="Calibri" w:hAnsi="Calibri" w:cs="Calibri"/>
          <w:w w:val="110"/>
        </w:rPr>
        <w:t>member</w:t>
      </w:r>
      <w:r w:rsidRPr="00DD7BD1">
        <w:rPr>
          <w:rFonts w:ascii="Calibri" w:hAnsi="Calibri" w:cs="Calibri"/>
          <w:spacing w:val="-10"/>
          <w:w w:val="110"/>
        </w:rPr>
        <w:t xml:space="preserve"> </w:t>
      </w:r>
      <w:r w:rsidRPr="00DD7BD1">
        <w:rPr>
          <w:rFonts w:ascii="Calibri" w:hAnsi="Calibri" w:cs="Calibri"/>
          <w:w w:val="110"/>
        </w:rPr>
        <w:t>is</w:t>
      </w:r>
      <w:r w:rsidRPr="00DD7BD1">
        <w:rPr>
          <w:rFonts w:ascii="Calibri" w:hAnsi="Calibri" w:cs="Calibri"/>
          <w:spacing w:val="-9"/>
          <w:w w:val="110"/>
        </w:rPr>
        <w:t xml:space="preserve"> </w:t>
      </w:r>
      <w:r w:rsidRPr="00DD7BD1">
        <w:rPr>
          <w:rFonts w:ascii="Calibri" w:hAnsi="Calibri" w:cs="Calibri"/>
          <w:w w:val="110"/>
        </w:rPr>
        <w:t>leaving</w:t>
      </w:r>
      <w:r w:rsidRPr="00DD7BD1">
        <w:rPr>
          <w:rFonts w:ascii="Calibri" w:hAnsi="Calibri" w:cs="Calibri"/>
          <w:spacing w:val="-9"/>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returning</w:t>
      </w:r>
      <w:r w:rsidRPr="00DD7BD1">
        <w:rPr>
          <w:rFonts w:ascii="Calibri" w:hAnsi="Calibri" w:cs="Calibri"/>
          <w:spacing w:val="-11"/>
          <w:w w:val="110"/>
        </w:rPr>
        <w:t xml:space="preserve"> </w:t>
      </w:r>
      <w:r w:rsidRPr="00DD7BD1">
        <w:rPr>
          <w:rFonts w:ascii="Calibri" w:hAnsi="Calibri" w:cs="Calibri"/>
          <w:w w:val="110"/>
        </w:rPr>
        <w:t>from</w:t>
      </w:r>
      <w:r w:rsidRPr="00DD7BD1">
        <w:rPr>
          <w:rFonts w:ascii="Calibri" w:hAnsi="Calibri" w:cs="Calibri"/>
          <w:spacing w:val="-9"/>
          <w:w w:val="110"/>
        </w:rPr>
        <w:t xml:space="preserve"> </w:t>
      </w:r>
      <w:r w:rsidRPr="00DD7BD1">
        <w:rPr>
          <w:rFonts w:ascii="Calibri" w:hAnsi="Calibri" w:cs="Calibri"/>
          <w:w w:val="110"/>
        </w:rPr>
        <w:t>active duty outside of the United States.</w:t>
      </w:r>
    </w:p>
    <w:p w14:paraId="13322DB5" w14:textId="3A2D0FB4" w:rsidR="007E0135" w:rsidRPr="00DD7BD1" w:rsidRDefault="007E0135" w:rsidP="007E0135">
      <w:pPr>
        <w:widowControl w:val="0"/>
        <w:autoSpaceDE w:val="0"/>
        <w:autoSpaceDN w:val="0"/>
        <w:spacing w:before="1" w:after="0" w:line="247" w:lineRule="auto"/>
        <w:ind w:right="-360"/>
        <w:rPr>
          <w:rFonts w:ascii="Calibri" w:hAnsi="Calibri" w:cs="Calibri"/>
        </w:rPr>
      </w:pPr>
      <w:r w:rsidRPr="00DD7BD1">
        <w:rPr>
          <w:rFonts w:ascii="Calibri" w:hAnsi="Calibri" w:cs="Calibri"/>
        </w:rPr>
        <w:t>ETC is including an updated State Handbook Addendum with the Aug/Sept HR WIRE publication.</w:t>
      </w:r>
    </w:p>
    <w:p w14:paraId="793B349C" w14:textId="77777777" w:rsidR="007E0135" w:rsidRPr="00DD7BD1" w:rsidRDefault="007E0135" w:rsidP="007E0135">
      <w:pPr>
        <w:widowControl w:val="0"/>
        <w:autoSpaceDE w:val="0"/>
        <w:autoSpaceDN w:val="0"/>
        <w:spacing w:before="1" w:after="0" w:line="247" w:lineRule="auto"/>
        <w:ind w:right="-360"/>
        <w:rPr>
          <w:rFonts w:ascii="Calibri" w:hAnsi="Calibri" w:cs="Calibri"/>
        </w:rPr>
      </w:pPr>
    </w:p>
    <w:p w14:paraId="42F6B937" w14:textId="53096AF1" w:rsidR="007E0135" w:rsidRPr="00DD7BD1" w:rsidRDefault="007E0135" w:rsidP="007E0135">
      <w:pPr>
        <w:pStyle w:val="Heading1"/>
        <w:spacing w:before="0" w:beforeAutospacing="0" w:after="0" w:afterAutospacing="0"/>
        <w:ind w:right="-36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State’s Mandatory Notice Requirements for Mass Layoffs or RIFs in Effect</w:t>
      </w:r>
    </w:p>
    <w:p w14:paraId="0E2C3A04"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According</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Department</w:t>
      </w:r>
      <w:r w:rsidRPr="00DD7BD1">
        <w:rPr>
          <w:rFonts w:cs="Calibri"/>
          <w:color w:val="auto"/>
          <w:spacing w:val="37"/>
          <w:szCs w:val="22"/>
        </w:rPr>
        <w:t xml:space="preserve"> </w:t>
      </w:r>
      <w:r w:rsidRPr="00DD7BD1">
        <w:rPr>
          <w:rFonts w:cs="Calibri"/>
          <w:color w:val="auto"/>
          <w:szCs w:val="22"/>
        </w:rPr>
        <w:t>of</w:t>
      </w:r>
      <w:r w:rsidRPr="00DD7BD1">
        <w:rPr>
          <w:rFonts w:cs="Calibri"/>
          <w:color w:val="auto"/>
          <w:spacing w:val="35"/>
          <w:szCs w:val="22"/>
        </w:rPr>
        <w:t xml:space="preserve"> </w:t>
      </w:r>
      <w:r w:rsidRPr="00DD7BD1">
        <w:rPr>
          <w:rFonts w:cs="Calibri"/>
          <w:color w:val="auto"/>
          <w:szCs w:val="22"/>
        </w:rPr>
        <w:t>Labor</w:t>
      </w:r>
      <w:r w:rsidRPr="00DD7BD1">
        <w:rPr>
          <w:rFonts w:cs="Calibri"/>
          <w:color w:val="auto"/>
          <w:spacing w:val="35"/>
          <w:szCs w:val="22"/>
        </w:rPr>
        <w:t xml:space="preserve"> </w:t>
      </w:r>
      <w:r w:rsidRPr="00DD7BD1">
        <w:rPr>
          <w:rFonts w:cs="Calibri"/>
          <w:color w:val="auto"/>
          <w:szCs w:val="22"/>
        </w:rPr>
        <w:t>(MDOL),</w:t>
      </w:r>
      <w:r w:rsidRPr="00DD7BD1">
        <w:rPr>
          <w:rFonts w:cs="Calibri"/>
          <w:color w:val="auto"/>
          <w:spacing w:val="39"/>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(50</w:t>
      </w:r>
      <w:r w:rsidRPr="00DD7BD1">
        <w:rPr>
          <w:rFonts w:cs="Calibri"/>
          <w:color w:val="auto"/>
          <w:spacing w:val="37"/>
          <w:szCs w:val="22"/>
        </w:rPr>
        <w:t xml:space="preserve"> </w:t>
      </w:r>
      <w:r w:rsidRPr="00DD7BD1">
        <w:rPr>
          <w:rFonts w:cs="Calibri"/>
          <w:color w:val="auto"/>
          <w:szCs w:val="22"/>
        </w:rPr>
        <w:t>or</w:t>
      </w:r>
      <w:r w:rsidRPr="00DD7BD1">
        <w:rPr>
          <w:rFonts w:cs="Calibri"/>
          <w:color w:val="auto"/>
          <w:spacing w:val="33"/>
          <w:szCs w:val="22"/>
        </w:rPr>
        <w:t xml:space="preserve"> </w:t>
      </w:r>
      <w:r w:rsidRPr="00DD7BD1">
        <w:rPr>
          <w:rFonts w:cs="Calibri"/>
          <w:color w:val="auto"/>
          <w:szCs w:val="22"/>
        </w:rPr>
        <w:t>more</w:t>
      </w:r>
      <w:r w:rsidRPr="00DD7BD1">
        <w:rPr>
          <w:rFonts w:cs="Calibri"/>
          <w:color w:val="auto"/>
          <w:spacing w:val="35"/>
          <w:szCs w:val="22"/>
        </w:rPr>
        <w:t xml:space="preserv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5"/>
          <w:szCs w:val="22"/>
        </w:rPr>
        <w:t xml:space="preserve"> </w:t>
      </w:r>
      <w:r w:rsidRPr="00DD7BD1">
        <w:rPr>
          <w:rFonts w:cs="Calibri"/>
          <w:color w:val="auto"/>
          <w:szCs w:val="22"/>
        </w:rPr>
        <w:t>have</w:t>
      </w:r>
      <w:r w:rsidRPr="00DD7BD1">
        <w:rPr>
          <w:rFonts w:cs="Calibri"/>
          <w:color w:val="auto"/>
          <w:spacing w:val="37"/>
          <w:szCs w:val="22"/>
        </w:rPr>
        <w:t xml:space="preserve"> </w:t>
      </w:r>
      <w:r w:rsidRPr="00DD7BD1">
        <w:rPr>
          <w:rFonts w:cs="Calibri"/>
          <w:color w:val="auto"/>
          <w:szCs w:val="22"/>
        </w:rPr>
        <w:t>operated</w:t>
      </w:r>
      <w:r w:rsidRPr="00DD7BD1">
        <w:rPr>
          <w:rFonts w:cs="Calibri"/>
          <w:color w:val="auto"/>
          <w:spacing w:val="40"/>
          <w:szCs w:val="22"/>
        </w:rPr>
        <w:t xml:space="preserve"> </w:t>
      </w:r>
      <w:r w:rsidRPr="00DD7BD1">
        <w:rPr>
          <w:rFonts w:cs="Calibri"/>
          <w:color w:val="auto"/>
          <w:szCs w:val="22"/>
        </w:rPr>
        <w:t xml:space="preserve">an </w:t>
      </w:r>
      <w:r w:rsidRPr="00DD7BD1">
        <w:rPr>
          <w:rFonts w:cs="Calibri"/>
          <w:color w:val="auto"/>
          <w:w w:val="110"/>
          <w:szCs w:val="22"/>
        </w:rPr>
        <w:t>industrial,</w:t>
      </w:r>
      <w:r w:rsidRPr="00DD7BD1">
        <w:rPr>
          <w:rFonts w:cs="Calibri"/>
          <w:color w:val="auto"/>
          <w:spacing w:val="-5"/>
          <w:w w:val="110"/>
          <w:szCs w:val="22"/>
        </w:rPr>
        <w:t xml:space="preserve"> </w:t>
      </w:r>
      <w:r w:rsidRPr="00DD7BD1">
        <w:rPr>
          <w:rFonts w:cs="Calibri"/>
          <w:color w:val="auto"/>
          <w:w w:val="110"/>
          <w:szCs w:val="22"/>
        </w:rPr>
        <w:t>commercial,</w:t>
      </w:r>
      <w:r w:rsidRPr="00DD7BD1">
        <w:rPr>
          <w:rFonts w:cs="Calibri"/>
          <w:color w:val="auto"/>
          <w:spacing w:val="-5"/>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business</w:t>
      </w:r>
      <w:r w:rsidRPr="00DD7BD1">
        <w:rPr>
          <w:rFonts w:cs="Calibri"/>
          <w:color w:val="auto"/>
          <w:spacing w:val="-4"/>
          <w:w w:val="110"/>
          <w:szCs w:val="22"/>
        </w:rPr>
        <w:t xml:space="preserve"> </w:t>
      </w:r>
      <w:r w:rsidRPr="00DD7BD1">
        <w:rPr>
          <w:rFonts w:cs="Calibri"/>
          <w:color w:val="auto"/>
          <w:w w:val="110"/>
          <w:szCs w:val="22"/>
        </w:rPr>
        <w:t>enterprise</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state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color w:val="auto"/>
          <w:w w:val="110"/>
          <w:szCs w:val="22"/>
        </w:rPr>
        <w:t>over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must</w:t>
      </w:r>
      <w:r w:rsidRPr="00DD7BD1">
        <w:rPr>
          <w:rFonts w:cs="Calibri"/>
          <w:color w:val="auto"/>
          <w:spacing w:val="-5"/>
          <w:w w:val="110"/>
          <w:szCs w:val="22"/>
        </w:rPr>
        <w:t xml:space="preserve"> </w:t>
      </w:r>
      <w:r w:rsidRPr="00DD7BD1">
        <w:rPr>
          <w:rFonts w:cs="Calibri"/>
          <w:color w:val="auto"/>
          <w:w w:val="110"/>
          <w:szCs w:val="22"/>
        </w:rPr>
        <w:t>now</w:t>
      </w:r>
      <w:r w:rsidRPr="00DD7BD1">
        <w:rPr>
          <w:rFonts w:cs="Calibri"/>
          <w:color w:val="auto"/>
          <w:spacing w:val="-8"/>
          <w:w w:val="110"/>
          <w:szCs w:val="22"/>
        </w:rPr>
        <w:t xml:space="preserve"> </w:t>
      </w:r>
      <w:r w:rsidRPr="00DD7BD1">
        <w:rPr>
          <w:rFonts w:cs="Calibri"/>
          <w:color w:val="auto"/>
          <w:w w:val="110"/>
          <w:szCs w:val="22"/>
        </w:rPr>
        <w:t>comply</w:t>
      </w:r>
      <w:r w:rsidRPr="00DD7BD1">
        <w:rPr>
          <w:rFonts w:cs="Calibri"/>
          <w:color w:val="auto"/>
          <w:spacing w:val="-4"/>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hyperlink r:id="rId713">
        <w:r w:rsidRPr="00DD7BD1">
          <w:rPr>
            <w:rFonts w:cs="Calibri"/>
            <w:color w:val="0000FF"/>
            <w:w w:val="110"/>
            <w:szCs w:val="22"/>
          </w:rPr>
          <w:t>Maryland</w:t>
        </w:r>
      </w:hyperlink>
      <w:r w:rsidRPr="00DD7BD1">
        <w:rPr>
          <w:rFonts w:cs="Calibri"/>
          <w:color w:val="0000FF"/>
          <w:w w:val="110"/>
          <w:szCs w:val="22"/>
        </w:rPr>
        <w:t xml:space="preserve"> </w:t>
      </w:r>
      <w:hyperlink r:id="rId714">
        <w:r w:rsidRPr="00DD7BD1">
          <w:rPr>
            <w:rFonts w:cs="Calibri"/>
            <w:color w:val="0000FF"/>
            <w:szCs w:val="22"/>
          </w:rPr>
          <w:t>Economic</w:t>
        </w:r>
        <w:r w:rsidRPr="00DD7BD1">
          <w:rPr>
            <w:rFonts w:cs="Calibri"/>
            <w:color w:val="0000FF"/>
            <w:spacing w:val="35"/>
            <w:szCs w:val="22"/>
          </w:rPr>
          <w:t xml:space="preserve"> </w:t>
        </w:r>
        <w:r w:rsidRPr="00DD7BD1">
          <w:rPr>
            <w:rFonts w:cs="Calibri"/>
            <w:color w:val="0000FF"/>
            <w:szCs w:val="22"/>
          </w:rPr>
          <w:t>Stabilization</w:t>
        </w:r>
        <w:r w:rsidRPr="00DD7BD1">
          <w:rPr>
            <w:rFonts w:cs="Calibri"/>
            <w:color w:val="0000FF"/>
            <w:spacing w:val="37"/>
            <w:szCs w:val="22"/>
          </w:rPr>
          <w:t xml:space="preserve"> </w:t>
        </w:r>
        <w:r w:rsidRPr="00DD7BD1">
          <w:rPr>
            <w:rFonts w:cs="Calibri"/>
            <w:color w:val="0000FF"/>
            <w:szCs w:val="22"/>
          </w:rPr>
          <w:t>Act</w:t>
        </w:r>
        <w:r w:rsidRPr="00DD7BD1">
          <w:rPr>
            <w:rFonts w:cs="Calibri"/>
            <w:szCs w:val="22"/>
          </w:rPr>
          <w:t>,</w:t>
        </w:r>
      </w:hyperlink>
      <w:r w:rsidRPr="00DD7BD1">
        <w:rPr>
          <w:rFonts w:cs="Calibri"/>
          <w:spacing w:val="39"/>
          <w:szCs w:val="22"/>
        </w:rPr>
        <w:t xml:space="preserve"> </w:t>
      </w:r>
      <w:r w:rsidRPr="00DD7BD1">
        <w:rPr>
          <w:rFonts w:cs="Calibri"/>
          <w:color w:val="auto"/>
          <w:szCs w:val="22"/>
        </w:rPr>
        <w:t>which</w:t>
      </w:r>
      <w:r w:rsidRPr="00DD7BD1">
        <w:rPr>
          <w:rFonts w:cs="Calibri"/>
          <w:color w:val="auto"/>
          <w:spacing w:val="40"/>
          <w:szCs w:val="22"/>
        </w:rPr>
        <w:t xml:space="preserve"> </w:t>
      </w:r>
      <w:r w:rsidRPr="00DD7BD1">
        <w:rPr>
          <w:rFonts w:cs="Calibri"/>
          <w:color w:val="auto"/>
          <w:szCs w:val="22"/>
        </w:rPr>
        <w:t>requires</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provide</w:t>
      </w:r>
      <w:r w:rsidRPr="00DD7BD1">
        <w:rPr>
          <w:rFonts w:cs="Calibri"/>
          <w:color w:val="auto"/>
          <w:spacing w:val="37"/>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b/>
          <w:color w:val="auto"/>
          <w:szCs w:val="22"/>
        </w:rPr>
        <w:t>mass</w:t>
      </w:r>
      <w:r w:rsidRPr="00DD7BD1">
        <w:rPr>
          <w:rFonts w:cs="Calibri"/>
          <w:b/>
          <w:color w:val="auto"/>
          <w:spacing w:val="39"/>
          <w:szCs w:val="22"/>
        </w:rPr>
        <w:t xml:space="preserve"> </w:t>
      </w:r>
      <w:r w:rsidRPr="00DD7BD1">
        <w:rPr>
          <w:rFonts w:cs="Calibri"/>
          <w:b/>
          <w:color w:val="auto"/>
          <w:szCs w:val="22"/>
        </w:rPr>
        <w:t>layoffs</w:t>
      </w:r>
      <w:r w:rsidRPr="00DD7BD1">
        <w:rPr>
          <w:rFonts w:cs="Calibri"/>
          <w:b/>
          <w:color w:val="auto"/>
          <w:spacing w:val="35"/>
          <w:szCs w:val="22"/>
        </w:rPr>
        <w:t xml:space="preserve"> </w:t>
      </w:r>
      <w:r w:rsidRPr="00DD7BD1">
        <w:rPr>
          <w:rFonts w:cs="Calibri"/>
          <w:color w:val="auto"/>
          <w:szCs w:val="22"/>
        </w:rPr>
        <w:t>or</w:t>
      </w:r>
      <w:r w:rsidRPr="00DD7BD1">
        <w:rPr>
          <w:rFonts w:cs="Calibri"/>
          <w:color w:val="auto"/>
          <w:spacing w:val="39"/>
          <w:szCs w:val="22"/>
        </w:rPr>
        <w:t xml:space="preserve"> </w:t>
      </w:r>
      <w:r w:rsidRPr="00DD7BD1">
        <w:rPr>
          <w:rFonts w:cs="Calibri"/>
          <w:b/>
          <w:color w:val="auto"/>
          <w:szCs w:val="22"/>
        </w:rPr>
        <w:t>reductions</w:t>
      </w:r>
      <w:r w:rsidRPr="00DD7BD1">
        <w:rPr>
          <w:rFonts w:cs="Calibri"/>
          <w:b/>
          <w:color w:val="auto"/>
          <w:spacing w:val="39"/>
          <w:szCs w:val="22"/>
        </w:rPr>
        <w:t xml:space="preserve"> </w:t>
      </w:r>
      <w:r w:rsidRPr="00DD7BD1">
        <w:rPr>
          <w:rFonts w:cs="Calibri"/>
          <w:b/>
          <w:color w:val="auto"/>
          <w:szCs w:val="22"/>
        </w:rPr>
        <w:t>in</w:t>
      </w:r>
      <w:r w:rsidRPr="00DD7BD1">
        <w:rPr>
          <w:rFonts w:cs="Calibri"/>
          <w:b/>
          <w:color w:val="auto"/>
          <w:spacing w:val="40"/>
          <w:szCs w:val="22"/>
        </w:rPr>
        <w:t xml:space="preserve"> </w:t>
      </w:r>
      <w:r w:rsidRPr="00DD7BD1">
        <w:rPr>
          <w:rFonts w:cs="Calibri"/>
          <w:b/>
          <w:color w:val="auto"/>
          <w:szCs w:val="22"/>
        </w:rPr>
        <w:t xml:space="preserve">force </w:t>
      </w:r>
      <w:r w:rsidRPr="00DD7BD1">
        <w:rPr>
          <w:rFonts w:cs="Calibri"/>
          <w:color w:val="auto"/>
          <w:w w:val="110"/>
          <w:szCs w:val="22"/>
        </w:rPr>
        <w:t>(RIFs) in certain circumstances.</w:t>
      </w:r>
    </w:p>
    <w:p w14:paraId="51BA666C"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Although</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MDOL</w:t>
      </w:r>
      <w:r w:rsidRPr="00DD7BD1">
        <w:rPr>
          <w:rFonts w:cs="Calibri"/>
          <w:color w:val="auto"/>
          <w:spacing w:val="38"/>
          <w:szCs w:val="22"/>
        </w:rPr>
        <w:t xml:space="preserve"> </w:t>
      </w:r>
      <w:r w:rsidRPr="00DD7BD1">
        <w:rPr>
          <w:rFonts w:cs="Calibri"/>
          <w:color w:val="auto"/>
          <w:szCs w:val="22"/>
        </w:rPr>
        <w:t>had</w:t>
      </w:r>
      <w:r w:rsidRPr="00DD7BD1">
        <w:rPr>
          <w:rFonts w:cs="Calibri"/>
          <w:color w:val="auto"/>
          <w:spacing w:val="36"/>
          <w:szCs w:val="22"/>
        </w:rPr>
        <w:t xml:space="preserve"> </w:t>
      </w:r>
      <w:r w:rsidRPr="00DD7BD1">
        <w:rPr>
          <w:rFonts w:cs="Calibri"/>
          <w:color w:val="auto"/>
          <w:szCs w:val="22"/>
        </w:rPr>
        <w:t>previously</w:t>
      </w:r>
      <w:r w:rsidRPr="00DD7BD1">
        <w:rPr>
          <w:rFonts w:cs="Calibri"/>
          <w:color w:val="auto"/>
          <w:spacing w:val="38"/>
          <w:szCs w:val="22"/>
        </w:rPr>
        <w:t xml:space="preserve"> </w:t>
      </w:r>
      <w:r w:rsidRPr="00DD7BD1">
        <w:rPr>
          <w:rFonts w:cs="Calibri"/>
          <w:color w:val="auto"/>
          <w:szCs w:val="22"/>
        </w:rPr>
        <w:t>taken</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position</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9"/>
          <w:szCs w:val="22"/>
        </w:rPr>
        <w:t xml:space="preserve"> </w:t>
      </w:r>
      <w:r w:rsidRPr="00DD7BD1">
        <w:rPr>
          <w:rFonts w:cs="Calibri"/>
          <w:color w:val="auto"/>
          <w:szCs w:val="22"/>
        </w:rPr>
        <w:t>it</w:t>
      </w:r>
      <w:r w:rsidRPr="00DD7BD1">
        <w:rPr>
          <w:rFonts w:cs="Calibri"/>
          <w:color w:val="auto"/>
          <w:spacing w:val="39"/>
          <w:szCs w:val="22"/>
        </w:rPr>
        <w:t xml:space="preserve"> </w:t>
      </w:r>
      <w:r w:rsidRPr="00DD7BD1">
        <w:rPr>
          <w:rFonts w:cs="Calibri"/>
          <w:color w:val="auto"/>
          <w:szCs w:val="22"/>
        </w:rPr>
        <w:t>would</w:t>
      </w:r>
      <w:r w:rsidRPr="00DD7BD1">
        <w:rPr>
          <w:rFonts w:cs="Calibri"/>
          <w:color w:val="auto"/>
          <w:spacing w:val="36"/>
          <w:szCs w:val="22"/>
        </w:rPr>
        <w:t xml:space="preserve"> </w:t>
      </w:r>
      <w:r w:rsidRPr="00DD7BD1">
        <w:rPr>
          <w:rFonts w:cs="Calibri"/>
          <w:color w:val="auto"/>
          <w:szCs w:val="22"/>
        </w:rPr>
        <w:t>not</w:t>
      </w:r>
      <w:r w:rsidRPr="00DD7BD1">
        <w:rPr>
          <w:rFonts w:cs="Calibri"/>
          <w:color w:val="auto"/>
          <w:spacing w:val="39"/>
          <w:szCs w:val="22"/>
        </w:rPr>
        <w:t xml:space="preserve"> </w:t>
      </w:r>
      <w:r w:rsidRPr="00DD7BD1">
        <w:rPr>
          <w:rFonts w:cs="Calibri"/>
          <w:color w:val="auto"/>
          <w:szCs w:val="22"/>
        </w:rPr>
        <w:t>enforce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mandatory</w:t>
      </w:r>
      <w:r w:rsidRPr="00DD7BD1">
        <w:rPr>
          <w:rFonts w:cs="Calibri"/>
          <w:color w:val="auto"/>
          <w:spacing w:val="36"/>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 xml:space="preserve">requirements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5"/>
          <w:w w:val="110"/>
          <w:szCs w:val="22"/>
        </w:rPr>
        <w:t xml:space="preserve"> </w:t>
      </w:r>
      <w:r w:rsidRPr="00DD7BD1">
        <w:rPr>
          <w:rFonts w:cs="Calibri"/>
          <w:color w:val="auto"/>
          <w:w w:val="110"/>
          <w:szCs w:val="22"/>
        </w:rPr>
        <w:t>(commonly</w:t>
      </w:r>
      <w:r w:rsidRPr="00DD7BD1">
        <w:rPr>
          <w:rFonts w:cs="Calibri"/>
          <w:color w:val="auto"/>
          <w:spacing w:val="-13"/>
          <w:w w:val="110"/>
          <w:szCs w:val="22"/>
        </w:rPr>
        <w:t xml:space="preserve"> </w:t>
      </w:r>
      <w:r w:rsidRPr="00DD7BD1">
        <w:rPr>
          <w:rFonts w:cs="Calibri"/>
          <w:color w:val="auto"/>
          <w:w w:val="110"/>
          <w:szCs w:val="22"/>
        </w:rPr>
        <w:t>referred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as</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Maryland</w:t>
      </w:r>
      <w:r w:rsidRPr="00DD7BD1">
        <w:rPr>
          <w:rFonts w:cs="Calibri"/>
          <w:color w:val="auto"/>
          <w:spacing w:val="-11"/>
          <w:w w:val="110"/>
          <w:szCs w:val="22"/>
        </w:rPr>
        <w:t xml:space="preserve"> </w:t>
      </w:r>
      <w:r w:rsidRPr="00DD7BD1">
        <w:rPr>
          <w:rFonts w:cs="Calibri"/>
          <w:color w:val="auto"/>
          <w:w w:val="110"/>
          <w:szCs w:val="22"/>
        </w:rPr>
        <w:t>Mini-WARN</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1"/>
          <w:w w:val="110"/>
          <w:szCs w:val="22"/>
        </w:rPr>
        <w:t xml:space="preserve"> </w:t>
      </w:r>
      <w:r w:rsidRPr="00DD7BD1">
        <w:rPr>
          <w:rFonts w:cs="Calibri"/>
          <w:color w:val="auto"/>
          <w:w w:val="110"/>
          <w:szCs w:val="22"/>
        </w:rPr>
        <w:t>until</w:t>
      </w:r>
      <w:r w:rsidRPr="00DD7BD1">
        <w:rPr>
          <w:rFonts w:cs="Calibri"/>
          <w:color w:val="auto"/>
          <w:spacing w:val="-13"/>
          <w:w w:val="110"/>
          <w:szCs w:val="22"/>
        </w:rPr>
        <w:t xml:space="preserve"> </w:t>
      </w:r>
      <w:r w:rsidRPr="00DD7BD1">
        <w:rPr>
          <w:rFonts w:cs="Calibri"/>
          <w:color w:val="auto"/>
          <w:w w:val="110"/>
          <w:szCs w:val="22"/>
        </w:rPr>
        <w:t>it</w:t>
      </w:r>
      <w:r w:rsidRPr="00DD7BD1">
        <w:rPr>
          <w:rFonts w:cs="Calibri"/>
          <w:color w:val="auto"/>
          <w:spacing w:val="-12"/>
          <w:w w:val="110"/>
          <w:szCs w:val="22"/>
        </w:rPr>
        <w:t xml:space="preserve"> </w:t>
      </w:r>
      <w:r w:rsidRPr="00DD7BD1">
        <w:rPr>
          <w:rFonts w:cs="Calibri"/>
          <w:color w:val="auto"/>
          <w:w w:val="110"/>
          <w:szCs w:val="22"/>
        </w:rPr>
        <w:t>had</w:t>
      </w:r>
      <w:r w:rsidRPr="00DD7BD1">
        <w:rPr>
          <w:rFonts w:cs="Calibri"/>
          <w:color w:val="auto"/>
          <w:spacing w:val="-11"/>
          <w:w w:val="110"/>
          <w:szCs w:val="22"/>
        </w:rPr>
        <w:t xml:space="preserve"> </w:t>
      </w:r>
      <w:r w:rsidRPr="00DD7BD1">
        <w:rPr>
          <w:rFonts w:cs="Calibri"/>
          <w:color w:val="auto"/>
          <w:w w:val="110"/>
          <w:szCs w:val="22"/>
        </w:rPr>
        <w:t>issued</w:t>
      </w:r>
      <w:r w:rsidRPr="00DD7BD1">
        <w:rPr>
          <w:rFonts w:cs="Calibri"/>
          <w:color w:val="auto"/>
          <w:spacing w:val="-11"/>
          <w:w w:val="110"/>
          <w:szCs w:val="22"/>
        </w:rPr>
        <w:t xml:space="preserve"> </w:t>
      </w:r>
      <w:r w:rsidRPr="00DD7BD1">
        <w:rPr>
          <w:rFonts w:cs="Calibri"/>
          <w:color w:val="auto"/>
          <w:w w:val="110"/>
          <w:szCs w:val="22"/>
        </w:rPr>
        <w:t>final</w:t>
      </w:r>
      <w:r w:rsidRPr="00DD7BD1">
        <w:rPr>
          <w:rFonts w:cs="Calibri"/>
          <w:color w:val="auto"/>
          <w:spacing w:val="-12"/>
          <w:w w:val="110"/>
          <w:szCs w:val="22"/>
        </w:rPr>
        <w:t xml:space="preserve"> </w:t>
      </w:r>
      <w:r w:rsidRPr="00DD7BD1">
        <w:rPr>
          <w:rFonts w:cs="Calibri"/>
          <w:color w:val="auto"/>
          <w:w w:val="110"/>
          <w:szCs w:val="22"/>
        </w:rPr>
        <w:t>regulations, apparently this is no longer the case.</w:t>
      </w:r>
    </w:p>
    <w:p w14:paraId="76F81532"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Maryland’s</w:t>
      </w:r>
      <w:r w:rsidRPr="00DD7BD1">
        <w:rPr>
          <w:rFonts w:ascii="Calibri" w:hAnsi="Calibri" w:cs="Calibri"/>
          <w:spacing w:val="31"/>
        </w:rPr>
        <w:t xml:space="preserve"> </w:t>
      </w:r>
      <w:r w:rsidRPr="00DD7BD1">
        <w:rPr>
          <w:rFonts w:ascii="Calibri" w:hAnsi="Calibri" w:cs="Calibri"/>
        </w:rPr>
        <w:t>Mini-WARN</w:t>
      </w:r>
      <w:r w:rsidRPr="00DD7BD1">
        <w:rPr>
          <w:rFonts w:ascii="Calibri" w:hAnsi="Calibri" w:cs="Calibri"/>
          <w:spacing w:val="29"/>
        </w:rPr>
        <w:t xml:space="preserve"> </w:t>
      </w:r>
      <w:r w:rsidRPr="00DD7BD1">
        <w:rPr>
          <w:rFonts w:ascii="Calibri" w:hAnsi="Calibri" w:cs="Calibri"/>
        </w:rPr>
        <w:t>Act</w:t>
      </w:r>
      <w:r w:rsidRPr="00DD7BD1">
        <w:rPr>
          <w:rFonts w:ascii="Calibri" w:hAnsi="Calibri" w:cs="Calibri"/>
          <w:spacing w:val="30"/>
        </w:rPr>
        <w:t xml:space="preserve"> </w:t>
      </w:r>
      <w:r w:rsidRPr="00DD7BD1">
        <w:rPr>
          <w:rFonts w:ascii="Calibri" w:hAnsi="Calibri" w:cs="Calibri"/>
        </w:rPr>
        <w:t>requires</w:t>
      </w:r>
      <w:r w:rsidRPr="00DD7BD1">
        <w:rPr>
          <w:rFonts w:ascii="Calibri" w:hAnsi="Calibri" w:cs="Calibri"/>
          <w:spacing w:val="32"/>
        </w:rPr>
        <w:t xml:space="preserve"> </w:t>
      </w: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7"/>
        </w:rPr>
        <w:t xml:space="preserve"> </w:t>
      </w:r>
      <w:r w:rsidRPr="00DD7BD1">
        <w:rPr>
          <w:rFonts w:ascii="Calibri" w:hAnsi="Calibri" w:cs="Calibri"/>
        </w:rPr>
        <w:t>more</w:t>
      </w:r>
      <w:r w:rsidRPr="00DD7BD1">
        <w:rPr>
          <w:rFonts w:ascii="Calibri" w:hAnsi="Calibri" w:cs="Calibri"/>
          <w:spacing w:val="32"/>
        </w:rPr>
        <w:t xml:space="preserve"> </w:t>
      </w:r>
      <w:r w:rsidRPr="00DD7BD1">
        <w:rPr>
          <w:rFonts w:ascii="Calibri" w:hAnsi="Calibri" w:cs="Calibri"/>
        </w:rPr>
        <w:t>employees</w:t>
      </w:r>
      <w:r w:rsidRPr="00DD7BD1">
        <w:rPr>
          <w:rFonts w:ascii="Calibri" w:hAnsi="Calibri" w:cs="Calibri"/>
          <w:spacing w:val="28"/>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provide</w:t>
      </w:r>
      <w:r w:rsidRPr="00DD7BD1">
        <w:rPr>
          <w:rFonts w:ascii="Calibri" w:hAnsi="Calibri" w:cs="Calibri"/>
          <w:spacing w:val="36"/>
        </w:rPr>
        <w:t xml:space="preserve"> </w:t>
      </w:r>
      <w:r w:rsidRPr="00DD7BD1">
        <w:rPr>
          <w:rFonts w:ascii="Calibri" w:hAnsi="Calibri" w:cs="Calibri"/>
        </w:rPr>
        <w:t>60</w:t>
      </w:r>
      <w:r w:rsidRPr="00DD7BD1">
        <w:rPr>
          <w:rFonts w:ascii="Calibri" w:hAnsi="Calibri" w:cs="Calibri"/>
          <w:spacing w:val="31"/>
        </w:rPr>
        <w:t xml:space="preserve"> </w:t>
      </w:r>
      <w:r w:rsidRPr="00DD7BD1">
        <w:rPr>
          <w:rFonts w:ascii="Calibri" w:hAnsi="Calibri" w:cs="Calibri"/>
        </w:rPr>
        <w:t>days’</w:t>
      </w:r>
      <w:r w:rsidRPr="00DD7BD1">
        <w:rPr>
          <w:rFonts w:ascii="Calibri" w:hAnsi="Calibri" w:cs="Calibri"/>
          <w:spacing w:val="29"/>
        </w:rPr>
        <w:t xml:space="preserve"> </w:t>
      </w:r>
      <w:r w:rsidRPr="00DD7BD1">
        <w:rPr>
          <w:rFonts w:ascii="Calibri" w:hAnsi="Calibri" w:cs="Calibri"/>
        </w:rPr>
        <w:t>notice</w:t>
      </w:r>
      <w:r w:rsidRPr="00DD7BD1">
        <w:rPr>
          <w:rFonts w:ascii="Calibri" w:hAnsi="Calibri" w:cs="Calibri"/>
          <w:spacing w:val="32"/>
        </w:rPr>
        <w:t xml:space="preserve"> </w:t>
      </w:r>
      <w:r w:rsidRPr="00DD7BD1">
        <w:rPr>
          <w:rFonts w:ascii="Calibri" w:hAnsi="Calibri" w:cs="Calibri"/>
          <w:spacing w:val="-5"/>
        </w:rPr>
        <w:t>of</w:t>
      </w:r>
    </w:p>
    <w:p w14:paraId="265228CF" w14:textId="77777777" w:rsidR="007E0135" w:rsidRPr="00DD7BD1" w:rsidRDefault="007E0135" w:rsidP="003A22A9">
      <w:pPr>
        <w:pStyle w:val="BodyText"/>
        <w:spacing w:after="0" w:line="240" w:lineRule="auto"/>
        <w:ind w:left="630" w:right="180" w:hanging="270"/>
        <w:jc w:val="left"/>
        <w:rPr>
          <w:rFonts w:cs="Calibri"/>
          <w:color w:val="auto"/>
          <w:szCs w:val="22"/>
        </w:rPr>
      </w:pPr>
      <w:r w:rsidRPr="00DD7BD1">
        <w:rPr>
          <w:rFonts w:cs="Calibri"/>
          <w:color w:val="auto"/>
          <w:w w:val="110"/>
          <w:szCs w:val="22"/>
        </w:rPr>
        <w:t>mass</w:t>
      </w:r>
      <w:r w:rsidRPr="00DD7BD1">
        <w:rPr>
          <w:rFonts w:cs="Calibri"/>
          <w:color w:val="auto"/>
          <w:spacing w:val="-8"/>
          <w:w w:val="110"/>
          <w:szCs w:val="22"/>
        </w:rPr>
        <w:t xml:space="preserve"> </w:t>
      </w:r>
      <w:r w:rsidRPr="00DD7BD1">
        <w:rPr>
          <w:rFonts w:cs="Calibri"/>
          <w:color w:val="auto"/>
          <w:w w:val="110"/>
          <w:szCs w:val="22"/>
        </w:rPr>
        <w:t>layoffs</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reductions</w:t>
      </w:r>
      <w:r w:rsidRPr="00DD7BD1">
        <w:rPr>
          <w:rFonts w:cs="Calibri"/>
          <w:color w:val="auto"/>
          <w:spacing w:val="-7"/>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force</w:t>
      </w:r>
      <w:r w:rsidRPr="00DD7BD1">
        <w:rPr>
          <w:rFonts w:cs="Calibri"/>
          <w:color w:val="auto"/>
          <w:spacing w:val="-8"/>
          <w:w w:val="110"/>
          <w:szCs w:val="22"/>
        </w:rPr>
        <w:t xml:space="preserve"> </w:t>
      </w:r>
      <w:r w:rsidRPr="00DD7BD1">
        <w:rPr>
          <w:rFonts w:cs="Calibri"/>
          <w:color w:val="auto"/>
          <w:w w:val="110"/>
          <w:szCs w:val="22"/>
        </w:rPr>
        <w:t>impacting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greater</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12"/>
          <w:w w:val="110"/>
          <w:szCs w:val="22"/>
        </w:rPr>
        <w:t xml:space="preserve"> </w:t>
      </w:r>
      <w:r w:rsidRPr="00DD7BD1">
        <w:rPr>
          <w:rFonts w:cs="Calibri"/>
          <w:color w:val="auto"/>
          <w:w w:val="110"/>
          <w:szCs w:val="22"/>
        </w:rPr>
        <w:t>25</w:t>
      </w:r>
      <w:r w:rsidRPr="00DD7BD1">
        <w:rPr>
          <w:rFonts w:cs="Calibri"/>
          <w:color w:val="auto"/>
          <w:spacing w:val="-11"/>
          <w:w w:val="110"/>
          <w:szCs w:val="22"/>
        </w:rPr>
        <w:t xml:space="preserve"> </w:t>
      </w:r>
      <w:r w:rsidRPr="00DD7BD1">
        <w:rPr>
          <w:rFonts w:cs="Calibri"/>
          <w:color w:val="auto"/>
          <w:w w:val="110"/>
          <w:szCs w:val="22"/>
        </w:rPr>
        <w:t>percent</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fifteen</w:t>
      </w:r>
      <w:r w:rsidRPr="00DD7BD1">
        <w:rPr>
          <w:rFonts w:cs="Calibri"/>
          <w:color w:val="auto"/>
          <w:spacing w:val="-10"/>
          <w:w w:val="110"/>
          <w:szCs w:val="22"/>
        </w:rPr>
        <w:t xml:space="preserve"> </w:t>
      </w:r>
      <w:r w:rsidRPr="00DD7BD1">
        <w:rPr>
          <w:rFonts w:cs="Calibri"/>
          <w:color w:val="auto"/>
          <w:spacing w:val="-2"/>
          <w:w w:val="110"/>
          <w:szCs w:val="22"/>
        </w:rPr>
        <w:t>employees.</w:t>
      </w:r>
    </w:p>
    <w:p w14:paraId="38F45A9A"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The</w:t>
      </w:r>
      <w:r w:rsidRPr="00DD7BD1">
        <w:rPr>
          <w:rFonts w:ascii="Calibri" w:hAnsi="Calibri" w:cs="Calibri"/>
          <w:spacing w:val="31"/>
        </w:rPr>
        <w:t xml:space="preserve"> </w:t>
      </w:r>
      <w:r w:rsidRPr="00DD7BD1">
        <w:rPr>
          <w:rFonts w:ascii="Calibri" w:hAnsi="Calibri" w:cs="Calibri"/>
        </w:rPr>
        <w:t>notice</w:t>
      </w:r>
      <w:r w:rsidRPr="00DD7BD1">
        <w:rPr>
          <w:rFonts w:ascii="Calibri" w:hAnsi="Calibri" w:cs="Calibri"/>
          <w:spacing w:val="35"/>
        </w:rPr>
        <w:t xml:space="preserve"> </w:t>
      </w:r>
      <w:r w:rsidRPr="00DD7BD1">
        <w:rPr>
          <w:rFonts w:ascii="Calibri" w:hAnsi="Calibri" w:cs="Calibri"/>
        </w:rPr>
        <w:t>provisions</w:t>
      </w:r>
      <w:r w:rsidRPr="00DD7BD1">
        <w:rPr>
          <w:rFonts w:ascii="Calibri" w:hAnsi="Calibri" w:cs="Calibri"/>
          <w:spacing w:val="31"/>
        </w:rPr>
        <w:t xml:space="preserve"> </w:t>
      </w:r>
      <w:r w:rsidRPr="00DD7BD1">
        <w:rPr>
          <w:rFonts w:ascii="Calibri" w:hAnsi="Calibri" w:cs="Calibri"/>
        </w:rPr>
        <w:t>of</w:t>
      </w:r>
      <w:r w:rsidRPr="00DD7BD1">
        <w:rPr>
          <w:rFonts w:ascii="Calibri" w:hAnsi="Calibri" w:cs="Calibri"/>
          <w:spacing w:val="29"/>
        </w:rPr>
        <w:t xml:space="preserve"> </w:t>
      </w:r>
      <w:r w:rsidRPr="00DD7BD1">
        <w:rPr>
          <w:rFonts w:ascii="Calibri" w:hAnsi="Calibri" w:cs="Calibri"/>
        </w:rPr>
        <w:t>Maryland’s</w:t>
      </w:r>
      <w:r w:rsidRPr="00DD7BD1">
        <w:rPr>
          <w:rFonts w:ascii="Calibri" w:hAnsi="Calibri" w:cs="Calibri"/>
          <w:spacing w:val="35"/>
        </w:rPr>
        <w:t xml:space="preserve"> </w:t>
      </w:r>
      <w:r w:rsidRPr="00DD7BD1">
        <w:rPr>
          <w:rFonts w:ascii="Calibri" w:hAnsi="Calibri" w:cs="Calibri"/>
        </w:rPr>
        <w:t>Mini-WARN</w:t>
      </w:r>
      <w:r w:rsidRPr="00DD7BD1">
        <w:rPr>
          <w:rFonts w:ascii="Calibri" w:hAnsi="Calibri" w:cs="Calibri"/>
          <w:spacing w:val="31"/>
        </w:rPr>
        <w:t xml:space="preserve"> </w:t>
      </w:r>
      <w:r w:rsidRPr="00DD7BD1">
        <w:rPr>
          <w:rFonts w:ascii="Calibri" w:hAnsi="Calibri" w:cs="Calibri"/>
        </w:rPr>
        <w:t>Act</w:t>
      </w:r>
      <w:r w:rsidRPr="00DD7BD1">
        <w:rPr>
          <w:rFonts w:ascii="Calibri" w:hAnsi="Calibri" w:cs="Calibri"/>
          <w:spacing w:val="33"/>
        </w:rPr>
        <w:t xml:space="preserve"> </w:t>
      </w:r>
      <w:r w:rsidRPr="00DD7BD1">
        <w:rPr>
          <w:rFonts w:ascii="Calibri" w:hAnsi="Calibri" w:cs="Calibri"/>
        </w:rPr>
        <w:t>were</w:t>
      </w:r>
      <w:r w:rsidRPr="00DD7BD1">
        <w:rPr>
          <w:rFonts w:ascii="Calibri" w:hAnsi="Calibri" w:cs="Calibri"/>
          <w:spacing w:val="31"/>
        </w:rPr>
        <w:t xml:space="preserve"> </w:t>
      </w:r>
      <w:r w:rsidRPr="00DD7BD1">
        <w:rPr>
          <w:rFonts w:ascii="Calibri" w:hAnsi="Calibri" w:cs="Calibri"/>
        </w:rPr>
        <w:t>made</w:t>
      </w:r>
      <w:r w:rsidRPr="00DD7BD1">
        <w:rPr>
          <w:rFonts w:ascii="Calibri" w:hAnsi="Calibri" w:cs="Calibri"/>
          <w:spacing w:val="31"/>
        </w:rPr>
        <w:t xml:space="preserve"> </w:t>
      </w:r>
      <w:r w:rsidRPr="00DD7BD1">
        <w:rPr>
          <w:rFonts w:ascii="Calibri" w:hAnsi="Calibri" w:cs="Calibri"/>
        </w:rPr>
        <w:t>mandatory</w:t>
      </w:r>
      <w:r w:rsidRPr="00DD7BD1">
        <w:rPr>
          <w:rFonts w:ascii="Calibri" w:hAnsi="Calibri" w:cs="Calibri"/>
          <w:spacing w:val="31"/>
        </w:rPr>
        <w:t xml:space="preserve"> </w:t>
      </w:r>
      <w:r w:rsidRPr="00DD7BD1">
        <w:rPr>
          <w:rFonts w:ascii="Calibri" w:hAnsi="Calibri" w:cs="Calibri"/>
        </w:rPr>
        <w:t>in</w:t>
      </w:r>
      <w:r w:rsidRPr="00DD7BD1">
        <w:rPr>
          <w:rFonts w:ascii="Calibri" w:hAnsi="Calibri" w:cs="Calibri"/>
          <w:spacing w:val="33"/>
        </w:rPr>
        <w:t xml:space="preserve"> </w:t>
      </w:r>
      <w:r w:rsidRPr="00DD7BD1">
        <w:rPr>
          <w:rFonts w:ascii="Calibri" w:hAnsi="Calibri" w:cs="Calibri"/>
        </w:rPr>
        <w:t>2020,</w:t>
      </w:r>
      <w:r w:rsidRPr="00DD7BD1">
        <w:rPr>
          <w:rFonts w:ascii="Calibri" w:hAnsi="Calibri" w:cs="Calibri"/>
          <w:spacing w:val="33"/>
        </w:rPr>
        <w:t xml:space="preserve"> </w:t>
      </w:r>
      <w:r w:rsidRPr="00DD7BD1">
        <w:rPr>
          <w:rFonts w:ascii="Calibri" w:hAnsi="Calibri" w:cs="Calibri"/>
        </w:rPr>
        <w:t>but</w:t>
      </w:r>
      <w:r w:rsidRPr="00DD7BD1">
        <w:rPr>
          <w:rFonts w:ascii="Calibri" w:hAnsi="Calibri" w:cs="Calibri"/>
          <w:spacing w:val="33"/>
        </w:rPr>
        <w:t xml:space="preserve"> </w:t>
      </w:r>
      <w:r w:rsidRPr="00DD7BD1">
        <w:rPr>
          <w:rFonts w:ascii="Calibri" w:hAnsi="Calibri" w:cs="Calibri"/>
        </w:rPr>
        <w:t>the</w:t>
      </w:r>
      <w:r w:rsidRPr="00DD7BD1">
        <w:rPr>
          <w:rFonts w:ascii="Calibri" w:hAnsi="Calibri" w:cs="Calibri"/>
          <w:spacing w:val="35"/>
        </w:rPr>
        <w:t xml:space="preserve"> </w:t>
      </w:r>
      <w:r w:rsidRPr="00DD7BD1">
        <w:rPr>
          <w:rFonts w:ascii="Calibri" w:hAnsi="Calibri" w:cs="Calibri"/>
        </w:rPr>
        <w:t xml:space="preserve">MDOL </w:t>
      </w:r>
      <w:r w:rsidRPr="00DD7BD1">
        <w:rPr>
          <w:rFonts w:ascii="Calibri" w:hAnsi="Calibri" w:cs="Calibri"/>
          <w:w w:val="110"/>
        </w:rPr>
        <w:t>previously announced it would not enforce the law until it had issued final</w:t>
      </w:r>
      <w:r w:rsidRPr="00DD7BD1">
        <w:rPr>
          <w:rFonts w:ascii="Calibri" w:hAnsi="Calibri" w:cs="Calibri"/>
          <w:spacing w:val="-1"/>
          <w:w w:val="110"/>
        </w:rPr>
        <w:t xml:space="preserve"> </w:t>
      </w:r>
      <w:r w:rsidRPr="00DD7BD1">
        <w:rPr>
          <w:rFonts w:ascii="Calibri" w:hAnsi="Calibri" w:cs="Calibri"/>
          <w:w w:val="110"/>
        </w:rPr>
        <w:t>regulations.</w:t>
      </w:r>
    </w:p>
    <w:p w14:paraId="114491C7"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w w:val="110"/>
        </w:rPr>
        <w:t>Although</w:t>
      </w:r>
      <w:r w:rsidRPr="00DD7BD1">
        <w:rPr>
          <w:rFonts w:ascii="Calibri" w:hAnsi="Calibri" w:cs="Calibri"/>
          <w:spacing w:val="-17"/>
          <w:w w:val="110"/>
        </w:rPr>
        <w:t xml:space="preserve"> </w:t>
      </w:r>
      <w:r w:rsidRPr="00DD7BD1">
        <w:rPr>
          <w:rFonts w:ascii="Calibri" w:hAnsi="Calibri" w:cs="Calibri"/>
          <w:w w:val="110"/>
        </w:rPr>
        <w:t>only</w:t>
      </w:r>
      <w:r w:rsidRPr="00DD7BD1">
        <w:rPr>
          <w:rFonts w:ascii="Calibri" w:hAnsi="Calibri" w:cs="Calibri"/>
          <w:spacing w:val="-17"/>
          <w:w w:val="110"/>
        </w:rPr>
        <w:t xml:space="preserve"> </w:t>
      </w:r>
      <w:r w:rsidRPr="00DD7BD1">
        <w:rPr>
          <w:rFonts w:ascii="Calibri" w:hAnsi="Calibri" w:cs="Calibri"/>
          <w:w w:val="110"/>
        </w:rPr>
        <w:t>proposed</w:t>
      </w:r>
      <w:r w:rsidRPr="00DD7BD1">
        <w:rPr>
          <w:rFonts w:ascii="Calibri" w:hAnsi="Calibri" w:cs="Calibri"/>
          <w:spacing w:val="-17"/>
          <w:w w:val="110"/>
        </w:rPr>
        <w:t xml:space="preserve"> </w:t>
      </w:r>
      <w:r w:rsidRPr="00DD7BD1">
        <w:rPr>
          <w:rFonts w:ascii="Calibri" w:hAnsi="Calibri" w:cs="Calibri"/>
          <w:w w:val="110"/>
        </w:rPr>
        <w:t>regulations</w:t>
      </w:r>
      <w:r w:rsidRPr="00DD7BD1">
        <w:rPr>
          <w:rFonts w:ascii="Calibri" w:hAnsi="Calibri" w:cs="Calibri"/>
          <w:spacing w:val="-17"/>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been</w:t>
      </w:r>
      <w:r w:rsidRPr="00DD7BD1">
        <w:rPr>
          <w:rFonts w:ascii="Calibri" w:hAnsi="Calibri" w:cs="Calibri"/>
          <w:spacing w:val="-16"/>
          <w:w w:val="110"/>
        </w:rPr>
        <w:t xml:space="preserve"> </w:t>
      </w:r>
      <w:r w:rsidRPr="00DD7BD1">
        <w:rPr>
          <w:rFonts w:ascii="Calibri" w:hAnsi="Calibri" w:cs="Calibri"/>
          <w:w w:val="110"/>
        </w:rPr>
        <w:t>issued,</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MDOL</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taking</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position</w:t>
      </w:r>
      <w:r w:rsidRPr="00DD7BD1">
        <w:rPr>
          <w:rFonts w:ascii="Calibri" w:hAnsi="Calibri" w:cs="Calibri"/>
          <w:spacing w:val="-17"/>
          <w:w w:val="110"/>
        </w:rPr>
        <w:t xml:space="preserve"> </w:t>
      </w:r>
      <w:r w:rsidRPr="00DD7BD1">
        <w:rPr>
          <w:rFonts w:ascii="Calibri" w:hAnsi="Calibri" w:cs="Calibri"/>
          <w:w w:val="110"/>
        </w:rPr>
        <w:t>that</w:t>
      </w:r>
      <w:r w:rsidRPr="00DD7BD1">
        <w:rPr>
          <w:rFonts w:ascii="Calibri" w:hAnsi="Calibri" w:cs="Calibri"/>
          <w:spacing w:val="-17"/>
          <w:w w:val="110"/>
        </w:rPr>
        <w:t xml:space="preserve"> </w:t>
      </w:r>
      <w:r w:rsidRPr="00DD7BD1">
        <w:rPr>
          <w:rFonts w:ascii="Calibri" w:hAnsi="Calibri" w:cs="Calibri"/>
          <w:w w:val="110"/>
        </w:rPr>
        <w:t>employers must comply with the act.</w:t>
      </w:r>
    </w:p>
    <w:p w14:paraId="0E992BE1" w14:textId="77777777" w:rsidR="007E0135" w:rsidRPr="00DD7BD1" w:rsidRDefault="007E0135" w:rsidP="003A22A9">
      <w:pPr>
        <w:pStyle w:val="BodyText"/>
        <w:spacing w:after="0" w:line="240" w:lineRule="auto"/>
        <w:ind w:right="180"/>
        <w:rPr>
          <w:rFonts w:cs="Calibri"/>
          <w:b/>
          <w:color w:val="auto"/>
          <w:spacing w:val="-2"/>
          <w:w w:val="110"/>
          <w:sz w:val="16"/>
          <w:szCs w:val="16"/>
          <w:highlight w:val="lightGray"/>
        </w:rPr>
      </w:pPr>
    </w:p>
    <w:p w14:paraId="7F45CC9B" w14:textId="712241A0" w:rsidR="007E0135" w:rsidRPr="00DD7BD1" w:rsidRDefault="007E0135" w:rsidP="003A22A9">
      <w:pPr>
        <w:pStyle w:val="BodyText"/>
        <w:spacing w:after="0" w:line="240" w:lineRule="auto"/>
        <w:ind w:right="180"/>
        <w:rPr>
          <w:rFonts w:cs="Calibri"/>
          <w:color w:val="auto"/>
          <w:szCs w:val="22"/>
        </w:rPr>
      </w:pPr>
      <w:r w:rsidRPr="00DD7BD1">
        <w:rPr>
          <w:rFonts w:cs="Calibri"/>
          <w:b/>
          <w:color w:val="auto"/>
          <w:spacing w:val="-2"/>
          <w:w w:val="110"/>
          <w:szCs w:val="22"/>
          <w:highlight w:val="lightGray"/>
        </w:rPr>
        <w:t>Employer</w:t>
      </w:r>
      <w:r w:rsidRPr="00DD7BD1">
        <w:rPr>
          <w:rFonts w:cs="Calibri"/>
          <w:b/>
          <w:color w:val="auto"/>
          <w:spacing w:val="-12"/>
          <w:w w:val="110"/>
          <w:szCs w:val="22"/>
          <w:highlight w:val="lightGray"/>
        </w:rPr>
        <w:t xml:space="preserve"> </w:t>
      </w:r>
      <w:r w:rsidRPr="00DD7BD1">
        <w:rPr>
          <w:rFonts w:cs="Calibri"/>
          <w:b/>
          <w:color w:val="auto"/>
          <w:spacing w:val="-2"/>
          <w:w w:val="110"/>
          <w:szCs w:val="22"/>
          <w:highlight w:val="lightGray"/>
        </w:rPr>
        <w:t>Takeaway:</w:t>
      </w:r>
      <w:r w:rsidRPr="00DD7BD1">
        <w:rPr>
          <w:rFonts w:cs="Calibri"/>
          <w:b/>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preparing</w:t>
      </w:r>
      <w:r w:rsidRPr="00DD7BD1">
        <w:rPr>
          <w:rFonts w:cs="Calibri"/>
          <w:color w:val="auto"/>
          <w:spacing w:val="-10"/>
          <w:w w:val="110"/>
          <w:szCs w:val="22"/>
        </w:rPr>
        <w:t xml:space="preserve"> </w:t>
      </w:r>
      <w:r w:rsidRPr="00DD7BD1">
        <w:rPr>
          <w:rFonts w:cs="Calibri"/>
          <w:color w:val="auto"/>
          <w:spacing w:val="-2"/>
          <w:w w:val="110"/>
          <w:szCs w:val="22"/>
        </w:rPr>
        <w:t>for</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3"/>
          <w:w w:val="110"/>
          <w:szCs w:val="22"/>
        </w:rPr>
        <w:t xml:space="preserve"> </w:t>
      </w:r>
      <w:r w:rsidRPr="00DD7BD1">
        <w:rPr>
          <w:rFonts w:cs="Calibri"/>
          <w:color w:val="auto"/>
          <w:spacing w:val="-2"/>
          <w:w w:val="110"/>
          <w:szCs w:val="22"/>
        </w:rPr>
        <w:t>mass</w:t>
      </w:r>
      <w:r w:rsidRPr="00DD7BD1">
        <w:rPr>
          <w:rFonts w:cs="Calibri"/>
          <w:color w:val="auto"/>
          <w:spacing w:val="-10"/>
          <w:w w:val="110"/>
          <w:szCs w:val="22"/>
        </w:rPr>
        <w:t xml:space="preserve"> </w:t>
      </w:r>
      <w:r w:rsidRPr="00DD7BD1">
        <w:rPr>
          <w:rFonts w:cs="Calibri"/>
          <w:color w:val="auto"/>
          <w:spacing w:val="-2"/>
          <w:w w:val="110"/>
          <w:szCs w:val="22"/>
        </w:rPr>
        <w:t>layoff</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3"/>
          <w:w w:val="110"/>
          <w:szCs w:val="22"/>
        </w:rPr>
        <w:t xml:space="preserve"> </w:t>
      </w:r>
      <w:r w:rsidRPr="00DD7BD1">
        <w:rPr>
          <w:rFonts w:cs="Calibri"/>
          <w:color w:val="auto"/>
          <w:spacing w:val="-2"/>
          <w:w w:val="110"/>
          <w:szCs w:val="22"/>
        </w:rPr>
        <w:t>a</w:t>
      </w:r>
      <w:r w:rsidRPr="00DD7BD1">
        <w:rPr>
          <w:rFonts w:cs="Calibri"/>
          <w:color w:val="auto"/>
          <w:spacing w:val="-11"/>
          <w:w w:val="110"/>
          <w:szCs w:val="22"/>
        </w:rPr>
        <w:t xml:space="preserve"> </w:t>
      </w:r>
      <w:r w:rsidRPr="00DD7BD1">
        <w:rPr>
          <w:rFonts w:cs="Calibri"/>
          <w:color w:val="auto"/>
          <w:spacing w:val="-2"/>
          <w:w w:val="110"/>
          <w:szCs w:val="22"/>
        </w:rPr>
        <w:t>reduction</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0"/>
          <w:w w:val="110"/>
          <w:szCs w:val="22"/>
        </w:rPr>
        <w:t xml:space="preserve"> </w:t>
      </w:r>
      <w:r w:rsidRPr="00DD7BD1">
        <w:rPr>
          <w:rFonts w:cs="Calibri"/>
          <w:color w:val="auto"/>
          <w:spacing w:val="-2"/>
          <w:w w:val="110"/>
          <w:szCs w:val="22"/>
        </w:rPr>
        <w:t>force</w:t>
      </w:r>
      <w:r w:rsidRPr="00DD7BD1">
        <w:rPr>
          <w:rFonts w:cs="Calibri"/>
          <w:color w:val="auto"/>
          <w:spacing w:val="-10"/>
          <w:w w:val="110"/>
          <w:szCs w:val="22"/>
        </w:rPr>
        <w:t xml:space="preserve"> </w:t>
      </w:r>
      <w:r w:rsidRPr="00DD7BD1">
        <w:rPr>
          <w:rFonts w:cs="Calibri"/>
          <w:color w:val="auto"/>
          <w:spacing w:val="-2"/>
          <w:w w:val="110"/>
          <w:szCs w:val="22"/>
        </w:rPr>
        <w:t>that</w:t>
      </w:r>
      <w:r w:rsidRPr="00DD7BD1">
        <w:rPr>
          <w:rFonts w:cs="Calibri"/>
          <w:color w:val="auto"/>
          <w:spacing w:val="-13"/>
          <w:w w:val="110"/>
          <w:szCs w:val="22"/>
        </w:rPr>
        <w:t xml:space="preserve"> </w:t>
      </w:r>
      <w:r w:rsidRPr="00DD7BD1">
        <w:rPr>
          <w:rFonts w:cs="Calibri"/>
          <w:color w:val="auto"/>
          <w:spacing w:val="-2"/>
          <w:w w:val="110"/>
          <w:szCs w:val="22"/>
        </w:rPr>
        <w:t>triggers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 xml:space="preserve">notice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Mini-WARN</w:t>
      </w:r>
      <w:r w:rsidRPr="00DD7BD1">
        <w:rPr>
          <w:rFonts w:cs="Calibri"/>
          <w:color w:val="auto"/>
          <w:spacing w:val="40"/>
          <w:szCs w:val="22"/>
        </w:rPr>
        <w:t xml:space="preserve"> </w:t>
      </w:r>
      <w:r w:rsidRPr="00DD7BD1">
        <w:rPr>
          <w:rFonts w:cs="Calibri"/>
          <w:color w:val="auto"/>
          <w:szCs w:val="22"/>
        </w:rPr>
        <w:t>Act</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be</w:t>
      </w:r>
      <w:r w:rsidRPr="00DD7BD1">
        <w:rPr>
          <w:rFonts w:cs="Calibri"/>
          <w:color w:val="auto"/>
          <w:spacing w:val="40"/>
          <w:szCs w:val="22"/>
        </w:rPr>
        <w:t xml:space="preserve"> </w:t>
      </w:r>
      <w:r w:rsidRPr="00DD7BD1">
        <w:rPr>
          <w:rFonts w:cs="Calibri"/>
          <w:color w:val="auto"/>
          <w:szCs w:val="22"/>
        </w:rPr>
        <w:t>prepared</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comply</w:t>
      </w:r>
      <w:r w:rsidRPr="00DD7BD1">
        <w:rPr>
          <w:rFonts w:cs="Calibri"/>
          <w:color w:val="auto"/>
          <w:spacing w:val="40"/>
          <w:szCs w:val="22"/>
        </w:rPr>
        <w:t xml:space="preserve"> </w:t>
      </w:r>
      <w:r w:rsidRPr="00DD7BD1">
        <w:rPr>
          <w:rFonts w:cs="Calibri"/>
          <w:color w:val="auto"/>
          <w:szCs w:val="22"/>
        </w:rPr>
        <w:t>with</w:t>
      </w:r>
      <w:r w:rsidRPr="00DD7BD1">
        <w:rPr>
          <w:rFonts w:cs="Calibri"/>
          <w:color w:val="auto"/>
          <w:spacing w:val="40"/>
          <w:szCs w:val="22"/>
        </w:rPr>
        <w:t xml:space="preserve"> </w:t>
      </w:r>
      <w:r w:rsidRPr="00DD7BD1">
        <w:rPr>
          <w:rFonts w:cs="Calibri"/>
          <w:color w:val="auto"/>
          <w:szCs w:val="22"/>
        </w:rPr>
        <w:t>those</w:t>
      </w:r>
      <w:r w:rsidRPr="00DD7BD1">
        <w:rPr>
          <w:rFonts w:cs="Calibri"/>
          <w:color w:val="auto"/>
          <w:spacing w:val="40"/>
          <w:szCs w:val="22"/>
        </w:rPr>
        <w:t xml:space="preserv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immediately.</w:t>
      </w:r>
    </w:p>
    <w:p w14:paraId="0FF0F593" w14:textId="77777777" w:rsidR="003A22A9" w:rsidRPr="00DD7BD1" w:rsidRDefault="003A22A9" w:rsidP="003A22A9">
      <w:pPr>
        <w:pStyle w:val="BodyText"/>
        <w:spacing w:after="0" w:line="240" w:lineRule="auto"/>
        <w:ind w:right="180"/>
        <w:rPr>
          <w:rFonts w:cs="Calibri"/>
          <w:color w:val="auto"/>
          <w:szCs w:val="22"/>
        </w:rPr>
      </w:pPr>
    </w:p>
    <w:p w14:paraId="33C74ECB" w14:textId="2B58733F" w:rsidR="007E0135" w:rsidRPr="00DD7BD1" w:rsidRDefault="007E0135" w:rsidP="007E0135">
      <w:pPr>
        <w:pStyle w:val="Heading1"/>
        <w:spacing w:before="0" w:beforeAutospacing="0" w:after="0" w:afterAutospacing="0"/>
        <w:ind w:right="-446"/>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State’s Amends Parental Leave Act – Eff </w:t>
      </w:r>
      <w:r w:rsidRPr="00DD7BD1">
        <w:rPr>
          <w:rFonts w:ascii="Calibri" w:hAnsi="Calibri" w:cs="Calibri"/>
          <w:bCs w:val="0"/>
          <w:color w:val="C00000"/>
          <w:spacing w:val="-8"/>
          <w:kern w:val="0"/>
          <w:sz w:val="28"/>
          <w:szCs w:val="24"/>
        </w:rPr>
        <w:t>Oct 1, 2025</w:t>
      </w:r>
    </w:p>
    <w:p w14:paraId="00269E96" w14:textId="77777777" w:rsidR="007E0135" w:rsidRPr="00DD7BD1" w:rsidRDefault="007E0135" w:rsidP="003A22A9">
      <w:pPr>
        <w:pStyle w:val="BodyText"/>
        <w:spacing w:after="0" w:line="240" w:lineRule="auto"/>
        <w:ind w:right="360"/>
        <w:rPr>
          <w:rFonts w:cs="Calibri"/>
        </w:rPr>
      </w:pPr>
      <w:r w:rsidRPr="00DD7BD1">
        <w:rPr>
          <w:rFonts w:cs="Calibri"/>
          <w:color w:val="auto"/>
          <w:w w:val="110"/>
        </w:rPr>
        <w:t>Maryland</w:t>
      </w:r>
      <w:r w:rsidRPr="00DD7BD1">
        <w:rPr>
          <w:rFonts w:cs="Calibri"/>
          <w:color w:val="auto"/>
          <w:spacing w:val="-9"/>
          <w:w w:val="110"/>
        </w:rPr>
        <w:t xml:space="preserve"> </w:t>
      </w:r>
      <w:r w:rsidRPr="00DD7BD1">
        <w:rPr>
          <w:rFonts w:cs="Calibri"/>
          <w:color w:val="auto"/>
          <w:w w:val="110"/>
        </w:rPr>
        <w:t>has</w:t>
      </w:r>
      <w:r w:rsidRPr="00DD7BD1">
        <w:rPr>
          <w:rFonts w:cs="Calibri"/>
          <w:color w:val="auto"/>
          <w:spacing w:val="-8"/>
          <w:w w:val="110"/>
        </w:rPr>
        <w:t xml:space="preserve"> </w:t>
      </w:r>
      <w:r w:rsidRPr="00DD7BD1">
        <w:rPr>
          <w:rFonts w:cs="Calibri"/>
          <w:color w:val="auto"/>
          <w:w w:val="110"/>
        </w:rPr>
        <w:t>enacted</w:t>
      </w:r>
      <w:r w:rsidRPr="00DD7BD1">
        <w:rPr>
          <w:rFonts w:cs="Calibri"/>
          <w:color w:val="auto"/>
          <w:spacing w:val="-7"/>
          <w:w w:val="110"/>
        </w:rPr>
        <w:t xml:space="preserve"> </w:t>
      </w:r>
      <w:hyperlink r:id="rId715">
        <w:r w:rsidRPr="00DD7BD1">
          <w:rPr>
            <w:rFonts w:cs="Calibri"/>
            <w:color w:val="0000FF"/>
            <w:w w:val="110"/>
            <w:u w:val="single" w:color="0000FF"/>
          </w:rPr>
          <w:t>Senate</w:t>
        </w:r>
        <w:r w:rsidRPr="00DD7BD1">
          <w:rPr>
            <w:rFonts w:cs="Calibri"/>
            <w:color w:val="0000FF"/>
            <w:spacing w:val="-6"/>
            <w:w w:val="110"/>
            <w:u w:val="single" w:color="0000FF"/>
          </w:rPr>
          <w:t xml:space="preserve"> </w:t>
        </w:r>
        <w:r w:rsidRPr="00DD7BD1">
          <w:rPr>
            <w:rFonts w:cs="Calibri"/>
            <w:color w:val="0000FF"/>
            <w:w w:val="110"/>
            <w:u w:val="single" w:color="0000FF"/>
          </w:rPr>
          <w:t>Bill</w:t>
        </w:r>
        <w:r w:rsidRPr="00DD7BD1">
          <w:rPr>
            <w:rFonts w:cs="Calibri"/>
            <w:color w:val="0000FF"/>
            <w:spacing w:val="-8"/>
            <w:w w:val="110"/>
            <w:u w:val="single" w:color="0000FF"/>
          </w:rPr>
          <w:t xml:space="preserve"> </w:t>
        </w:r>
        <w:r w:rsidRPr="00DD7BD1">
          <w:rPr>
            <w:rFonts w:cs="Calibri"/>
            <w:color w:val="0000FF"/>
            <w:w w:val="110"/>
            <w:u w:val="single" w:color="0000FF"/>
          </w:rPr>
          <w:t>(SB)</w:t>
        </w:r>
        <w:r w:rsidRPr="00DD7BD1">
          <w:rPr>
            <w:rFonts w:cs="Calibri"/>
            <w:color w:val="0000FF"/>
            <w:spacing w:val="-9"/>
            <w:w w:val="110"/>
            <w:u w:val="single" w:color="0000FF"/>
          </w:rPr>
          <w:t xml:space="preserve"> </w:t>
        </w:r>
        <w:r w:rsidRPr="00DD7BD1">
          <w:rPr>
            <w:rFonts w:cs="Calibri"/>
            <w:color w:val="0000FF"/>
            <w:w w:val="110"/>
            <w:u w:val="single" w:color="0000FF"/>
          </w:rPr>
          <w:t>785</w:t>
        </w:r>
        <w:r w:rsidRPr="00DD7BD1">
          <w:rPr>
            <w:rFonts w:cs="Calibri"/>
            <w:color w:val="585858"/>
            <w:w w:val="110"/>
          </w:rPr>
          <w:t>,</w:t>
        </w:r>
      </w:hyperlink>
      <w:r w:rsidRPr="00DD7BD1">
        <w:rPr>
          <w:rFonts w:cs="Calibri"/>
          <w:color w:val="585858"/>
          <w:spacing w:val="-7"/>
          <w:w w:val="110"/>
        </w:rPr>
        <w:t xml:space="preserve"> </w:t>
      </w:r>
      <w:r w:rsidRPr="00DD7BD1">
        <w:rPr>
          <w:rFonts w:cs="Calibri"/>
          <w:color w:val="auto"/>
          <w:w w:val="110"/>
        </w:rPr>
        <w:t>amending</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state’s</w:t>
      </w:r>
      <w:r w:rsidRPr="00DD7BD1">
        <w:rPr>
          <w:rFonts w:cs="Calibri"/>
          <w:color w:val="auto"/>
          <w:spacing w:val="-4"/>
          <w:w w:val="110"/>
        </w:rPr>
        <w:t xml:space="preserve"> </w:t>
      </w:r>
      <w:hyperlink r:id="rId716">
        <w:r w:rsidRPr="00DD7BD1">
          <w:rPr>
            <w:rFonts w:cs="Calibri"/>
            <w:color w:val="0000FF"/>
            <w:w w:val="110"/>
            <w:u w:val="single" w:color="0000FF"/>
          </w:rPr>
          <w:t>Parental</w:t>
        </w:r>
        <w:r w:rsidRPr="00DD7BD1">
          <w:rPr>
            <w:rFonts w:cs="Calibri"/>
            <w:color w:val="0000FF"/>
            <w:spacing w:val="-10"/>
            <w:w w:val="110"/>
            <w:u w:val="single" w:color="0000FF"/>
          </w:rPr>
          <w:t xml:space="preserve"> </w:t>
        </w:r>
        <w:r w:rsidRPr="00DD7BD1">
          <w:rPr>
            <w:rFonts w:cs="Calibri"/>
            <w:color w:val="0000FF"/>
            <w:w w:val="110"/>
            <w:u w:val="single" w:color="0000FF"/>
          </w:rPr>
          <w:t>Leave</w:t>
        </w:r>
        <w:r w:rsidRPr="00DD7BD1">
          <w:rPr>
            <w:rFonts w:cs="Calibri"/>
            <w:color w:val="0000FF"/>
            <w:spacing w:val="-6"/>
            <w:w w:val="110"/>
            <w:u w:val="single" w:color="0000FF"/>
          </w:rPr>
          <w:t xml:space="preserve"> </w:t>
        </w:r>
        <w:r w:rsidRPr="00DD7BD1">
          <w:rPr>
            <w:rFonts w:cs="Calibri"/>
            <w:color w:val="0000FF"/>
            <w:w w:val="110"/>
            <w:u w:val="single" w:color="0000FF"/>
          </w:rPr>
          <w:t>Act</w:t>
        </w:r>
      </w:hyperlink>
      <w:r w:rsidRPr="00DD7BD1">
        <w:rPr>
          <w:rFonts w:cs="Calibri"/>
          <w:color w:val="0000FF"/>
          <w:spacing w:val="-9"/>
          <w:w w:val="110"/>
        </w:rPr>
        <w:t xml:space="preserve"> </w:t>
      </w:r>
      <w:r w:rsidRPr="00DD7BD1">
        <w:rPr>
          <w:rFonts w:cs="Calibri"/>
          <w:color w:val="auto"/>
          <w:w w:val="110"/>
        </w:rPr>
        <w:t>(PLA)</w:t>
      </w:r>
      <w:r w:rsidRPr="00DD7BD1">
        <w:rPr>
          <w:rFonts w:cs="Calibri"/>
          <w:color w:val="auto"/>
          <w:spacing w:val="-9"/>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clarify</w:t>
      </w:r>
      <w:r w:rsidRPr="00DD7BD1">
        <w:rPr>
          <w:rFonts w:cs="Calibri"/>
          <w:color w:val="auto"/>
          <w:spacing w:val="-8"/>
          <w:w w:val="110"/>
        </w:rPr>
        <w:t xml:space="preserve"> </w:t>
      </w:r>
      <w:r w:rsidRPr="00DD7BD1">
        <w:rPr>
          <w:rFonts w:cs="Calibri"/>
          <w:color w:val="auto"/>
          <w:w w:val="110"/>
        </w:rPr>
        <w:t>that</w:t>
      </w:r>
      <w:r w:rsidRPr="00DD7BD1">
        <w:rPr>
          <w:rFonts w:cs="Calibri"/>
          <w:color w:val="auto"/>
          <w:spacing w:val="-7"/>
          <w:w w:val="110"/>
        </w:rPr>
        <w:t xml:space="preserve"> </w:t>
      </w:r>
      <w:r w:rsidRPr="00DD7BD1">
        <w:rPr>
          <w:rFonts w:cs="Calibri"/>
          <w:color w:val="auto"/>
          <w:w w:val="110"/>
        </w:rPr>
        <w:t>it</w:t>
      </w:r>
      <w:r w:rsidRPr="00DD7BD1">
        <w:rPr>
          <w:rFonts w:cs="Calibri"/>
          <w:color w:val="auto"/>
          <w:spacing w:val="-7"/>
          <w:w w:val="110"/>
        </w:rPr>
        <w:t xml:space="preserve"> </w:t>
      </w:r>
      <w:r w:rsidRPr="00DD7BD1">
        <w:rPr>
          <w:rFonts w:cs="Calibri"/>
          <w:color w:val="auto"/>
          <w:w w:val="110"/>
        </w:rPr>
        <w:t>does</w:t>
      </w:r>
      <w:r w:rsidRPr="00DD7BD1">
        <w:rPr>
          <w:rFonts w:cs="Calibri"/>
          <w:color w:val="auto"/>
          <w:spacing w:val="-8"/>
          <w:w w:val="110"/>
        </w:rPr>
        <w:t xml:space="preserve"> </w:t>
      </w:r>
      <w:r w:rsidRPr="00DD7BD1">
        <w:rPr>
          <w:rFonts w:cs="Calibri"/>
          <w:color w:val="auto"/>
          <w:w w:val="110"/>
        </w:rPr>
        <w:t>not apply to employers while they are covered by the federal</w:t>
      </w:r>
      <w:r w:rsidRPr="00DD7BD1">
        <w:rPr>
          <w:rFonts w:cs="Calibri"/>
          <w:color w:val="auto"/>
          <w:spacing w:val="-1"/>
          <w:w w:val="110"/>
        </w:rPr>
        <w:t xml:space="preserve"> </w:t>
      </w:r>
      <w:r w:rsidRPr="00DD7BD1">
        <w:rPr>
          <w:rFonts w:cs="Calibri"/>
          <w:color w:val="auto"/>
          <w:w w:val="110"/>
        </w:rPr>
        <w:t>Family and Medical Leave Act</w:t>
      </w:r>
      <w:r w:rsidRPr="00DD7BD1">
        <w:rPr>
          <w:rFonts w:cs="Calibri"/>
          <w:color w:val="auto"/>
          <w:spacing w:val="-3"/>
          <w:w w:val="110"/>
        </w:rPr>
        <w:t xml:space="preserve"> </w:t>
      </w:r>
      <w:r w:rsidRPr="00DD7BD1">
        <w:rPr>
          <w:rFonts w:cs="Calibri"/>
          <w:color w:val="auto"/>
          <w:w w:val="110"/>
        </w:rPr>
        <w:t>(FMLA). The amendment takes effect Oct. 1, 2025.</w:t>
      </w:r>
    </w:p>
    <w:p w14:paraId="649E95FD"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PLA and FMLA</w:t>
      </w:r>
    </w:p>
    <w:p w14:paraId="32ECFF4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PLA</w:t>
      </w:r>
      <w:r w:rsidRPr="00DD7BD1">
        <w:rPr>
          <w:rFonts w:cs="Calibri"/>
          <w:color w:val="auto"/>
          <w:spacing w:val="-11"/>
          <w:w w:val="110"/>
        </w:rPr>
        <w:t xml:space="preserve"> </w:t>
      </w:r>
      <w:r w:rsidRPr="00DD7BD1">
        <w:rPr>
          <w:rFonts w:cs="Calibri"/>
          <w:color w:val="auto"/>
          <w:spacing w:val="-2"/>
          <w:w w:val="110"/>
        </w:rPr>
        <w:t>applies</w:t>
      </w:r>
      <w:r w:rsidRPr="00DD7BD1">
        <w:rPr>
          <w:rFonts w:cs="Calibri"/>
          <w:color w:val="auto"/>
          <w:spacing w:val="-10"/>
          <w:w w:val="110"/>
        </w:rPr>
        <w:t xml:space="preserve"> </w:t>
      </w:r>
      <w:r w:rsidRPr="00DD7BD1">
        <w:rPr>
          <w:rFonts w:cs="Calibri"/>
          <w:color w:val="auto"/>
          <w:spacing w:val="-2"/>
          <w:w w:val="110"/>
        </w:rPr>
        <w:t>to</w:t>
      </w:r>
      <w:r w:rsidRPr="00DD7BD1">
        <w:rPr>
          <w:rFonts w:cs="Calibri"/>
          <w:color w:val="auto"/>
          <w:spacing w:val="-12"/>
          <w:w w:val="110"/>
        </w:rPr>
        <w:t xml:space="preserve"> </w:t>
      </w:r>
      <w:r w:rsidRPr="00DD7BD1">
        <w:rPr>
          <w:rFonts w:cs="Calibri"/>
          <w:color w:val="auto"/>
          <w:spacing w:val="-2"/>
          <w:w w:val="110"/>
        </w:rPr>
        <w:t>employers</w:t>
      </w:r>
      <w:r w:rsidRPr="00DD7BD1">
        <w:rPr>
          <w:rFonts w:cs="Calibri"/>
          <w:color w:val="auto"/>
          <w:spacing w:val="-12"/>
          <w:w w:val="110"/>
        </w:rPr>
        <w:t xml:space="preserve"> </w:t>
      </w:r>
      <w:r w:rsidRPr="00DD7BD1">
        <w:rPr>
          <w:rFonts w:cs="Calibri"/>
          <w:color w:val="auto"/>
          <w:spacing w:val="-2"/>
          <w:w w:val="110"/>
        </w:rPr>
        <w:t>with</w:t>
      </w:r>
      <w:r w:rsidRPr="00DD7BD1">
        <w:rPr>
          <w:rFonts w:cs="Calibri"/>
          <w:color w:val="auto"/>
          <w:spacing w:val="-13"/>
          <w:w w:val="110"/>
        </w:rPr>
        <w:t xml:space="preserve"> </w:t>
      </w:r>
      <w:r w:rsidRPr="00DD7BD1">
        <w:rPr>
          <w:rFonts w:cs="Calibri"/>
          <w:color w:val="auto"/>
          <w:spacing w:val="-2"/>
          <w:w w:val="110"/>
        </w:rPr>
        <w:t>15-49</w:t>
      </w:r>
      <w:r w:rsidRPr="00DD7BD1">
        <w:rPr>
          <w:rFonts w:cs="Calibri"/>
          <w:color w:val="auto"/>
          <w:spacing w:val="-13"/>
          <w:w w:val="110"/>
        </w:rPr>
        <w:t xml:space="preserve"> </w:t>
      </w:r>
      <w:r w:rsidRPr="00DD7BD1">
        <w:rPr>
          <w:rFonts w:cs="Calibri"/>
          <w:color w:val="auto"/>
          <w:spacing w:val="-2"/>
          <w:w w:val="110"/>
        </w:rPr>
        <w:t>employees</w:t>
      </w:r>
      <w:r w:rsidRPr="00DD7BD1">
        <w:rPr>
          <w:rFonts w:cs="Calibri"/>
          <w:color w:val="auto"/>
          <w:spacing w:val="-12"/>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state</w:t>
      </w:r>
      <w:r w:rsidRPr="00DD7BD1">
        <w:rPr>
          <w:rFonts w:cs="Calibri"/>
          <w:color w:val="auto"/>
          <w:spacing w:val="-13"/>
          <w:w w:val="110"/>
        </w:rPr>
        <w:t xml:space="preserve"> </w:t>
      </w:r>
      <w:r w:rsidRPr="00DD7BD1">
        <w:rPr>
          <w:rFonts w:cs="Calibri"/>
          <w:color w:val="auto"/>
          <w:spacing w:val="-2"/>
          <w:w w:val="110"/>
        </w:rPr>
        <w:t>during</w:t>
      </w:r>
      <w:r w:rsidRPr="00DD7BD1">
        <w:rPr>
          <w:rFonts w:cs="Calibri"/>
          <w:color w:val="auto"/>
          <w:spacing w:val="-13"/>
          <w:w w:val="110"/>
        </w:rPr>
        <w:t xml:space="preserve"> </w:t>
      </w:r>
      <w:r w:rsidRPr="00DD7BD1">
        <w:rPr>
          <w:rFonts w:cs="Calibri"/>
          <w:color w:val="auto"/>
          <w:spacing w:val="-2"/>
          <w:w w:val="110"/>
        </w:rPr>
        <w:t>20</w:t>
      </w:r>
      <w:r w:rsidRPr="00DD7BD1">
        <w:rPr>
          <w:rFonts w:cs="Calibri"/>
          <w:color w:val="auto"/>
          <w:spacing w:val="-13"/>
          <w:w w:val="110"/>
        </w:rPr>
        <w:t xml:space="preserve"> </w:t>
      </w:r>
      <w:r w:rsidRPr="00DD7BD1">
        <w:rPr>
          <w:rFonts w:cs="Calibri"/>
          <w:color w:val="auto"/>
          <w:spacing w:val="-2"/>
          <w:w w:val="110"/>
        </w:rPr>
        <w:t>or</w:t>
      </w:r>
      <w:r w:rsidRPr="00DD7BD1">
        <w:rPr>
          <w:rFonts w:cs="Calibri"/>
          <w:color w:val="auto"/>
          <w:spacing w:val="-14"/>
          <w:w w:val="110"/>
        </w:rPr>
        <w:t xml:space="preserve"> </w:t>
      </w:r>
      <w:r w:rsidRPr="00DD7BD1">
        <w:rPr>
          <w:rFonts w:cs="Calibri"/>
          <w:color w:val="auto"/>
          <w:spacing w:val="-2"/>
          <w:w w:val="110"/>
        </w:rPr>
        <w:t>more</w:t>
      </w:r>
      <w:r w:rsidRPr="00DD7BD1">
        <w:rPr>
          <w:rFonts w:cs="Calibri"/>
          <w:color w:val="auto"/>
          <w:spacing w:val="-13"/>
          <w:w w:val="110"/>
        </w:rPr>
        <w:t xml:space="preserve"> </w:t>
      </w:r>
      <w:r w:rsidRPr="00DD7BD1">
        <w:rPr>
          <w:rFonts w:cs="Calibri"/>
          <w:color w:val="auto"/>
          <w:spacing w:val="-2"/>
          <w:w w:val="110"/>
        </w:rPr>
        <w:t>calendar</w:t>
      </w:r>
      <w:r w:rsidRPr="00DD7BD1">
        <w:rPr>
          <w:rFonts w:cs="Calibri"/>
          <w:color w:val="auto"/>
          <w:spacing w:val="-11"/>
          <w:w w:val="110"/>
        </w:rPr>
        <w:t xml:space="preserve"> </w:t>
      </w:r>
      <w:r w:rsidRPr="00DD7BD1">
        <w:rPr>
          <w:rFonts w:cs="Calibri"/>
          <w:color w:val="auto"/>
          <w:spacing w:val="-2"/>
          <w:w w:val="110"/>
        </w:rPr>
        <w:t>weeks</w:t>
      </w:r>
      <w:r w:rsidRPr="00DD7BD1">
        <w:rPr>
          <w:rFonts w:cs="Calibri"/>
          <w:color w:val="auto"/>
          <w:spacing w:val="-14"/>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current</w:t>
      </w:r>
      <w:r w:rsidRPr="00DD7BD1">
        <w:rPr>
          <w:rFonts w:cs="Calibri"/>
          <w:color w:val="auto"/>
          <w:spacing w:val="-14"/>
          <w:w w:val="110"/>
        </w:rPr>
        <w:t xml:space="preserve"> </w:t>
      </w:r>
      <w:r w:rsidRPr="00DD7BD1">
        <w:rPr>
          <w:rFonts w:cs="Calibri"/>
          <w:color w:val="auto"/>
          <w:spacing w:val="-2"/>
          <w:w w:val="110"/>
        </w:rPr>
        <w:t>or preceding</w:t>
      </w:r>
      <w:r w:rsidRPr="00DD7BD1">
        <w:rPr>
          <w:rFonts w:cs="Calibri"/>
          <w:color w:val="auto"/>
          <w:spacing w:val="-9"/>
          <w:w w:val="110"/>
        </w:rPr>
        <w:t xml:space="preserve"> </w:t>
      </w:r>
      <w:r w:rsidRPr="00DD7BD1">
        <w:rPr>
          <w:rFonts w:cs="Calibri"/>
          <w:color w:val="auto"/>
          <w:spacing w:val="-2"/>
          <w:w w:val="110"/>
        </w:rPr>
        <w:t>calendar</w:t>
      </w:r>
      <w:r w:rsidRPr="00DD7BD1">
        <w:rPr>
          <w:rFonts w:cs="Calibri"/>
          <w:color w:val="auto"/>
          <w:spacing w:val="-10"/>
          <w:w w:val="110"/>
        </w:rPr>
        <w:t xml:space="preserve"> </w:t>
      </w:r>
      <w:r w:rsidRPr="00DD7BD1">
        <w:rPr>
          <w:rFonts w:cs="Calibri"/>
          <w:color w:val="auto"/>
          <w:spacing w:val="-2"/>
          <w:w w:val="110"/>
        </w:rPr>
        <w:t>year.</w:t>
      </w:r>
      <w:r w:rsidRPr="00DD7BD1">
        <w:rPr>
          <w:rFonts w:cs="Calibri"/>
          <w:color w:val="auto"/>
          <w:spacing w:val="-10"/>
          <w:w w:val="110"/>
        </w:rPr>
        <w:t xml:space="preserve"> </w:t>
      </w:r>
      <w:r w:rsidRPr="00DD7BD1">
        <w:rPr>
          <w:rFonts w:cs="Calibri"/>
          <w:color w:val="auto"/>
          <w:spacing w:val="-2"/>
          <w:w w:val="110"/>
        </w:rPr>
        <w:t>It</w:t>
      </w:r>
      <w:r w:rsidRPr="00DD7BD1">
        <w:rPr>
          <w:rFonts w:cs="Calibri"/>
          <w:color w:val="auto"/>
          <w:spacing w:val="-8"/>
          <w:w w:val="110"/>
        </w:rPr>
        <w:t xml:space="preserve"> </w:t>
      </w:r>
      <w:r w:rsidRPr="00DD7BD1">
        <w:rPr>
          <w:rFonts w:cs="Calibri"/>
          <w:color w:val="auto"/>
          <w:spacing w:val="-2"/>
          <w:w w:val="110"/>
        </w:rPr>
        <w:t>requires</w:t>
      </w:r>
      <w:r w:rsidRPr="00DD7BD1">
        <w:rPr>
          <w:rFonts w:cs="Calibri"/>
          <w:color w:val="auto"/>
          <w:spacing w:val="-8"/>
          <w:w w:val="110"/>
        </w:rPr>
        <w:t xml:space="preserve"> </w:t>
      </w:r>
      <w:r w:rsidRPr="00DD7BD1">
        <w:rPr>
          <w:rFonts w:cs="Calibri"/>
          <w:color w:val="auto"/>
          <w:spacing w:val="-2"/>
          <w:w w:val="110"/>
        </w:rPr>
        <w:t>them</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8"/>
          <w:w w:val="110"/>
        </w:rPr>
        <w:t xml:space="preserve"> </w:t>
      </w:r>
      <w:r w:rsidRPr="00DD7BD1">
        <w:rPr>
          <w:rFonts w:cs="Calibri"/>
          <w:color w:val="auto"/>
          <w:spacing w:val="-2"/>
          <w:w w:val="110"/>
        </w:rPr>
        <w:t>provide</w:t>
      </w:r>
      <w:r w:rsidRPr="00DD7BD1">
        <w:rPr>
          <w:rFonts w:cs="Calibri"/>
          <w:color w:val="auto"/>
          <w:spacing w:val="-9"/>
          <w:w w:val="110"/>
        </w:rPr>
        <w:t xml:space="preserve"> </w:t>
      </w:r>
      <w:r w:rsidRPr="00DD7BD1">
        <w:rPr>
          <w:rFonts w:cs="Calibri"/>
          <w:color w:val="auto"/>
          <w:spacing w:val="-2"/>
          <w:w w:val="110"/>
        </w:rPr>
        <w:t>employees</w:t>
      </w:r>
      <w:r w:rsidRPr="00DD7BD1">
        <w:rPr>
          <w:rFonts w:cs="Calibri"/>
          <w:color w:val="auto"/>
          <w:spacing w:val="-8"/>
          <w:w w:val="110"/>
        </w:rPr>
        <w:t xml:space="preserve"> </w:t>
      </w:r>
      <w:r w:rsidRPr="00DD7BD1">
        <w:rPr>
          <w:rFonts w:cs="Calibri"/>
          <w:color w:val="auto"/>
          <w:spacing w:val="-2"/>
          <w:w w:val="110"/>
        </w:rPr>
        <w:t>with</w:t>
      </w:r>
      <w:r w:rsidRPr="00DD7BD1">
        <w:rPr>
          <w:rFonts w:cs="Calibri"/>
          <w:color w:val="auto"/>
          <w:spacing w:val="-9"/>
          <w:w w:val="110"/>
        </w:rPr>
        <w:t xml:space="preserve"> </w:t>
      </w:r>
      <w:r w:rsidRPr="00DD7BD1">
        <w:rPr>
          <w:rFonts w:cs="Calibri"/>
          <w:color w:val="auto"/>
          <w:spacing w:val="-2"/>
          <w:w w:val="110"/>
        </w:rPr>
        <w:t>up</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six</w:t>
      </w:r>
      <w:r w:rsidRPr="00DD7BD1">
        <w:rPr>
          <w:rFonts w:cs="Calibri"/>
          <w:color w:val="auto"/>
          <w:spacing w:val="-6"/>
          <w:w w:val="110"/>
        </w:rPr>
        <w:t xml:space="preserve"> </w:t>
      </w:r>
      <w:r w:rsidRPr="00DD7BD1">
        <w:rPr>
          <w:rFonts w:cs="Calibri"/>
          <w:color w:val="auto"/>
          <w:spacing w:val="-2"/>
          <w:w w:val="110"/>
        </w:rPr>
        <w:t>weeks</w:t>
      </w:r>
      <w:r w:rsidRPr="00DD7BD1">
        <w:rPr>
          <w:rFonts w:cs="Calibri"/>
          <w:color w:val="auto"/>
          <w:spacing w:val="-11"/>
          <w:w w:val="110"/>
        </w:rPr>
        <w:t xml:space="preserve"> </w:t>
      </w:r>
      <w:r w:rsidRPr="00DD7BD1">
        <w:rPr>
          <w:rFonts w:cs="Calibri"/>
          <w:color w:val="auto"/>
          <w:spacing w:val="-2"/>
          <w:w w:val="110"/>
        </w:rPr>
        <w:t>of</w:t>
      </w:r>
      <w:r w:rsidRPr="00DD7BD1">
        <w:rPr>
          <w:rFonts w:cs="Calibri"/>
          <w:color w:val="auto"/>
          <w:spacing w:val="-10"/>
          <w:w w:val="110"/>
        </w:rPr>
        <w:t xml:space="preserve"> </w:t>
      </w:r>
      <w:r w:rsidRPr="00DD7BD1">
        <w:rPr>
          <w:rFonts w:cs="Calibri"/>
          <w:color w:val="auto"/>
          <w:spacing w:val="-2"/>
          <w:w w:val="110"/>
        </w:rPr>
        <w:t>unpaid</w:t>
      </w:r>
      <w:r w:rsidRPr="00DD7BD1">
        <w:rPr>
          <w:rFonts w:cs="Calibri"/>
          <w:color w:val="auto"/>
          <w:spacing w:val="-9"/>
          <w:w w:val="110"/>
        </w:rPr>
        <w:t xml:space="preserve"> </w:t>
      </w:r>
      <w:r w:rsidRPr="00DD7BD1">
        <w:rPr>
          <w:rFonts w:cs="Calibri"/>
          <w:color w:val="auto"/>
          <w:spacing w:val="-2"/>
          <w:w w:val="110"/>
        </w:rPr>
        <w:t>leave</w:t>
      </w:r>
      <w:r w:rsidRPr="00DD7BD1">
        <w:rPr>
          <w:rFonts w:cs="Calibri"/>
          <w:color w:val="auto"/>
          <w:spacing w:val="-13"/>
          <w:w w:val="110"/>
        </w:rPr>
        <w:t xml:space="preserve"> </w:t>
      </w:r>
      <w:r w:rsidRPr="00DD7BD1">
        <w:rPr>
          <w:rFonts w:cs="Calibri"/>
          <w:color w:val="auto"/>
          <w:spacing w:val="-2"/>
          <w:w w:val="110"/>
        </w:rPr>
        <w:t>annually</w:t>
      </w:r>
      <w:r w:rsidRPr="00DD7BD1">
        <w:rPr>
          <w:rFonts w:cs="Calibri"/>
          <w:color w:val="auto"/>
          <w:spacing w:val="-5"/>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 xml:space="preserve">the </w:t>
      </w:r>
      <w:r w:rsidRPr="00DD7BD1">
        <w:rPr>
          <w:rFonts w:cs="Calibri"/>
          <w:color w:val="auto"/>
          <w:w w:val="110"/>
        </w:rPr>
        <w:t>birth,</w:t>
      </w:r>
      <w:r w:rsidRPr="00DD7BD1">
        <w:rPr>
          <w:rFonts w:cs="Calibri"/>
          <w:color w:val="auto"/>
          <w:spacing w:val="-17"/>
          <w:w w:val="110"/>
        </w:rPr>
        <w:t xml:space="preserve"> </w:t>
      </w:r>
      <w:r w:rsidRPr="00DD7BD1">
        <w:rPr>
          <w:rFonts w:cs="Calibri"/>
          <w:color w:val="auto"/>
          <w:w w:val="110"/>
        </w:rPr>
        <w:t>adoption</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7"/>
          <w:w w:val="110"/>
        </w:rPr>
        <w:t xml:space="preserve"> </w:t>
      </w:r>
      <w:r w:rsidRPr="00DD7BD1">
        <w:rPr>
          <w:rFonts w:cs="Calibri"/>
          <w:color w:val="auto"/>
          <w:w w:val="110"/>
        </w:rPr>
        <w:t>foster</w:t>
      </w:r>
      <w:r w:rsidRPr="00DD7BD1">
        <w:rPr>
          <w:rFonts w:cs="Calibri"/>
          <w:color w:val="auto"/>
          <w:spacing w:val="-17"/>
          <w:w w:val="110"/>
        </w:rPr>
        <w:t xml:space="preserve"> </w:t>
      </w:r>
      <w:r w:rsidRPr="00DD7BD1">
        <w:rPr>
          <w:rFonts w:cs="Calibri"/>
          <w:color w:val="auto"/>
          <w:w w:val="110"/>
        </w:rPr>
        <w:t>placement</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a</w:t>
      </w:r>
      <w:r w:rsidRPr="00DD7BD1">
        <w:rPr>
          <w:rFonts w:cs="Calibri"/>
          <w:color w:val="auto"/>
          <w:spacing w:val="-17"/>
          <w:w w:val="110"/>
        </w:rPr>
        <w:t xml:space="preserve"> </w:t>
      </w:r>
      <w:r w:rsidRPr="00DD7BD1">
        <w:rPr>
          <w:rFonts w:cs="Calibri"/>
          <w:color w:val="auto"/>
          <w:w w:val="110"/>
        </w:rPr>
        <w:t>child.</w:t>
      </w:r>
      <w:r w:rsidRPr="00DD7BD1">
        <w:rPr>
          <w:rFonts w:cs="Calibri"/>
          <w:color w:val="auto"/>
          <w:spacing w:val="-17"/>
          <w:w w:val="110"/>
        </w:rPr>
        <w:t xml:space="preserve"> </w:t>
      </w:r>
      <w:r w:rsidRPr="00DD7BD1">
        <w:rPr>
          <w:rFonts w:cs="Calibri"/>
          <w:color w:val="auto"/>
          <w:w w:val="110"/>
        </w:rPr>
        <w:t>Employers</w:t>
      </w:r>
      <w:r w:rsidRPr="00DD7BD1">
        <w:rPr>
          <w:rFonts w:cs="Calibri"/>
          <w:color w:val="auto"/>
          <w:spacing w:val="-17"/>
          <w:w w:val="110"/>
        </w:rPr>
        <w:t xml:space="preserve"> </w:t>
      </w:r>
      <w:r w:rsidRPr="00DD7BD1">
        <w:rPr>
          <w:rFonts w:cs="Calibri"/>
          <w:color w:val="auto"/>
          <w:w w:val="110"/>
        </w:rPr>
        <w:t>must</w:t>
      </w:r>
      <w:r w:rsidRPr="00DD7BD1">
        <w:rPr>
          <w:rFonts w:cs="Calibri"/>
          <w:color w:val="auto"/>
          <w:spacing w:val="-17"/>
          <w:w w:val="110"/>
        </w:rPr>
        <w:t xml:space="preserve"> </w:t>
      </w:r>
      <w:r w:rsidRPr="00DD7BD1">
        <w:rPr>
          <w:rFonts w:cs="Calibri"/>
          <w:color w:val="auto"/>
          <w:w w:val="110"/>
        </w:rPr>
        <w:t>also</w:t>
      </w:r>
      <w:r w:rsidRPr="00DD7BD1">
        <w:rPr>
          <w:rFonts w:cs="Calibri"/>
          <w:color w:val="auto"/>
          <w:spacing w:val="-16"/>
          <w:w w:val="110"/>
        </w:rPr>
        <w:t xml:space="preserve"> </w:t>
      </w:r>
      <w:r w:rsidRPr="00DD7BD1">
        <w:rPr>
          <w:rFonts w:cs="Calibri"/>
          <w:color w:val="auto"/>
          <w:w w:val="110"/>
        </w:rPr>
        <w:t>continue</w:t>
      </w:r>
      <w:r w:rsidRPr="00DD7BD1">
        <w:rPr>
          <w:rFonts w:cs="Calibri"/>
          <w:color w:val="auto"/>
          <w:spacing w:val="-17"/>
          <w:w w:val="110"/>
        </w:rPr>
        <w:t xml:space="preserve"> </w:t>
      </w:r>
      <w:r w:rsidRPr="00DD7BD1">
        <w:rPr>
          <w:rFonts w:cs="Calibri"/>
          <w:color w:val="auto"/>
          <w:w w:val="110"/>
        </w:rPr>
        <w:t>employees’</w:t>
      </w:r>
      <w:r w:rsidRPr="00DD7BD1">
        <w:rPr>
          <w:rFonts w:cs="Calibri"/>
          <w:color w:val="auto"/>
          <w:spacing w:val="-17"/>
          <w:w w:val="110"/>
        </w:rPr>
        <w:t xml:space="preserve"> </w:t>
      </w:r>
      <w:r w:rsidRPr="00DD7BD1">
        <w:rPr>
          <w:rFonts w:cs="Calibri"/>
          <w:color w:val="auto"/>
          <w:w w:val="110"/>
        </w:rPr>
        <w:t>health</w:t>
      </w:r>
      <w:r w:rsidRPr="00DD7BD1">
        <w:rPr>
          <w:rFonts w:cs="Calibri"/>
          <w:color w:val="auto"/>
          <w:spacing w:val="-17"/>
          <w:w w:val="110"/>
        </w:rPr>
        <w:t xml:space="preserve"> </w:t>
      </w:r>
      <w:r w:rsidRPr="00DD7BD1">
        <w:rPr>
          <w:rFonts w:cs="Calibri"/>
          <w:color w:val="auto"/>
          <w:w w:val="110"/>
        </w:rPr>
        <w:t>insurance</w:t>
      </w:r>
      <w:r w:rsidRPr="00DD7BD1">
        <w:rPr>
          <w:rFonts w:cs="Calibri"/>
          <w:color w:val="auto"/>
          <w:spacing w:val="-17"/>
          <w:w w:val="110"/>
        </w:rPr>
        <w:t xml:space="preserve"> </w:t>
      </w:r>
      <w:r w:rsidRPr="00DD7BD1">
        <w:rPr>
          <w:rFonts w:cs="Calibri"/>
          <w:color w:val="auto"/>
          <w:w w:val="110"/>
        </w:rPr>
        <w:t>while</w:t>
      </w:r>
      <w:r w:rsidRPr="00DD7BD1">
        <w:rPr>
          <w:rFonts w:cs="Calibri"/>
          <w:color w:val="auto"/>
          <w:spacing w:val="-16"/>
          <w:w w:val="110"/>
        </w:rPr>
        <w:t xml:space="preserve"> </w:t>
      </w:r>
      <w:r w:rsidRPr="00DD7BD1">
        <w:rPr>
          <w:rFonts w:cs="Calibri"/>
          <w:color w:val="auto"/>
          <w:w w:val="110"/>
        </w:rPr>
        <w:t>they are on leave.</w:t>
      </w:r>
    </w:p>
    <w:p w14:paraId="490A0C07" w14:textId="77777777" w:rsidR="007E0135" w:rsidRPr="00DD7BD1" w:rsidRDefault="007E0135" w:rsidP="003A22A9">
      <w:pPr>
        <w:pStyle w:val="BodyText"/>
        <w:spacing w:after="0" w:line="240" w:lineRule="auto"/>
        <w:ind w:right="360"/>
        <w:rPr>
          <w:rFonts w:cs="Calibri"/>
          <w:color w:val="auto"/>
          <w:sz w:val="16"/>
          <w:szCs w:val="16"/>
        </w:rPr>
      </w:pPr>
    </w:p>
    <w:p w14:paraId="217C3C17" w14:textId="77777777" w:rsidR="007E0135" w:rsidRPr="00DD7BD1" w:rsidRDefault="007E0135" w:rsidP="003A22A9">
      <w:pPr>
        <w:pStyle w:val="BodyText"/>
        <w:spacing w:after="0" w:line="240" w:lineRule="auto"/>
        <w:ind w:right="360"/>
        <w:rPr>
          <w:rFonts w:cs="Calibri"/>
          <w:color w:val="auto"/>
        </w:rPr>
      </w:pPr>
      <w:r w:rsidRPr="00DD7BD1">
        <w:rPr>
          <w:rFonts w:cs="Calibri"/>
          <w:color w:val="auto"/>
          <w:w w:val="110"/>
        </w:rPr>
        <w:t>The FMLA requires employers with 50 or more employees during 20 or more calendar weeks in the current or preceding</w:t>
      </w:r>
      <w:r w:rsidRPr="00DD7BD1">
        <w:rPr>
          <w:rFonts w:cs="Calibri"/>
          <w:color w:val="auto"/>
          <w:spacing w:val="-8"/>
          <w:w w:val="110"/>
        </w:rPr>
        <w:t xml:space="preserve"> </w:t>
      </w:r>
      <w:r w:rsidRPr="00DD7BD1">
        <w:rPr>
          <w:rFonts w:cs="Calibri"/>
          <w:color w:val="auto"/>
          <w:w w:val="110"/>
        </w:rPr>
        <w:t>calendar</w:t>
      </w:r>
      <w:r w:rsidRPr="00DD7BD1">
        <w:rPr>
          <w:rFonts w:cs="Calibri"/>
          <w:color w:val="auto"/>
          <w:spacing w:val="-11"/>
          <w:w w:val="110"/>
        </w:rPr>
        <w:t xml:space="preserve"> </w:t>
      </w:r>
      <w:r w:rsidRPr="00DD7BD1">
        <w:rPr>
          <w:rFonts w:cs="Calibri"/>
          <w:color w:val="auto"/>
          <w:w w:val="110"/>
        </w:rPr>
        <w:t>year</w:t>
      </w:r>
      <w:r w:rsidRPr="00DD7BD1">
        <w:rPr>
          <w:rFonts w:cs="Calibri"/>
          <w:color w:val="auto"/>
          <w:spacing w:val="-11"/>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provide</w:t>
      </w:r>
      <w:r w:rsidRPr="00DD7BD1">
        <w:rPr>
          <w:rFonts w:cs="Calibri"/>
          <w:color w:val="auto"/>
          <w:spacing w:val="-8"/>
          <w:w w:val="110"/>
        </w:rPr>
        <w:t xml:space="preserve"> </w:t>
      </w:r>
      <w:r w:rsidRPr="00DD7BD1">
        <w:rPr>
          <w:rFonts w:cs="Calibri"/>
          <w:color w:val="auto"/>
          <w:w w:val="110"/>
        </w:rPr>
        <w:t>up</w:t>
      </w:r>
      <w:r w:rsidRPr="00DD7BD1">
        <w:rPr>
          <w:rFonts w:cs="Calibri"/>
          <w:color w:val="auto"/>
          <w:spacing w:val="-8"/>
          <w:w w:val="110"/>
        </w:rPr>
        <w:t xml:space="preserve"> </w:t>
      </w:r>
      <w:r w:rsidRPr="00DD7BD1">
        <w:rPr>
          <w:rFonts w:cs="Calibri"/>
          <w:color w:val="auto"/>
          <w:w w:val="110"/>
        </w:rPr>
        <w:t>to</w:t>
      </w:r>
      <w:r w:rsidRPr="00DD7BD1">
        <w:rPr>
          <w:rFonts w:cs="Calibri"/>
          <w:color w:val="auto"/>
          <w:spacing w:val="-10"/>
          <w:w w:val="110"/>
        </w:rPr>
        <w:t xml:space="preserve"> </w:t>
      </w:r>
      <w:r w:rsidRPr="00DD7BD1">
        <w:rPr>
          <w:rFonts w:cs="Calibri"/>
          <w:color w:val="auto"/>
          <w:w w:val="110"/>
        </w:rPr>
        <w:t>12</w:t>
      </w:r>
      <w:r w:rsidRPr="00DD7BD1">
        <w:rPr>
          <w:rFonts w:cs="Calibri"/>
          <w:color w:val="auto"/>
          <w:spacing w:val="-8"/>
          <w:w w:val="110"/>
        </w:rPr>
        <w:t xml:space="preserve"> </w:t>
      </w:r>
      <w:r w:rsidRPr="00DD7BD1">
        <w:rPr>
          <w:rFonts w:cs="Calibri"/>
          <w:color w:val="auto"/>
          <w:w w:val="110"/>
        </w:rPr>
        <w:t>weeks</w:t>
      </w:r>
      <w:r w:rsidRPr="00DD7BD1">
        <w:rPr>
          <w:rFonts w:cs="Calibri"/>
          <w:color w:val="auto"/>
          <w:spacing w:val="-8"/>
          <w:w w:val="110"/>
        </w:rPr>
        <w:t xml:space="preserve"> </w:t>
      </w:r>
      <w:r w:rsidRPr="00DD7BD1">
        <w:rPr>
          <w:rFonts w:cs="Calibri"/>
          <w:color w:val="auto"/>
          <w:w w:val="110"/>
        </w:rPr>
        <w:t>of</w:t>
      </w:r>
      <w:r w:rsidRPr="00DD7BD1">
        <w:rPr>
          <w:rFonts w:cs="Calibri"/>
          <w:color w:val="auto"/>
          <w:spacing w:val="-11"/>
          <w:w w:val="110"/>
        </w:rPr>
        <w:t xml:space="preserve"> </w:t>
      </w:r>
      <w:r w:rsidRPr="00DD7BD1">
        <w:rPr>
          <w:rFonts w:cs="Calibri"/>
          <w:color w:val="auto"/>
          <w:w w:val="110"/>
        </w:rPr>
        <w:t>unpaid</w:t>
      </w:r>
      <w:r w:rsidRPr="00DD7BD1">
        <w:rPr>
          <w:rFonts w:cs="Calibri"/>
          <w:color w:val="auto"/>
          <w:spacing w:val="-8"/>
          <w:w w:val="110"/>
        </w:rPr>
        <w:t xml:space="preserve"> </w:t>
      </w:r>
      <w:r w:rsidRPr="00DD7BD1">
        <w:rPr>
          <w:rFonts w:cs="Calibri"/>
          <w:color w:val="auto"/>
          <w:w w:val="110"/>
        </w:rPr>
        <w:t>leave</w:t>
      </w:r>
      <w:r w:rsidRPr="00DD7BD1">
        <w:rPr>
          <w:rFonts w:cs="Calibri"/>
          <w:color w:val="auto"/>
          <w:spacing w:val="-8"/>
          <w:w w:val="110"/>
        </w:rPr>
        <w:t xml:space="preserve"> </w:t>
      </w:r>
      <w:r w:rsidRPr="00DD7BD1">
        <w:rPr>
          <w:rFonts w:cs="Calibri"/>
          <w:color w:val="auto"/>
          <w:w w:val="110"/>
        </w:rPr>
        <w:t>annually</w:t>
      </w:r>
      <w:r w:rsidRPr="00DD7BD1">
        <w:rPr>
          <w:rFonts w:cs="Calibri"/>
          <w:color w:val="auto"/>
          <w:spacing w:val="-8"/>
          <w:w w:val="110"/>
        </w:rPr>
        <w:t xml:space="preserve"> </w:t>
      </w:r>
      <w:r w:rsidRPr="00DD7BD1">
        <w:rPr>
          <w:rFonts w:cs="Calibri"/>
          <w:color w:val="auto"/>
          <w:w w:val="110"/>
        </w:rPr>
        <w:t>for</w:t>
      </w:r>
      <w:r w:rsidRPr="00DD7BD1">
        <w:rPr>
          <w:rFonts w:cs="Calibri"/>
          <w:color w:val="auto"/>
          <w:spacing w:val="-9"/>
          <w:w w:val="110"/>
        </w:rPr>
        <w:t xml:space="preserve"> </w:t>
      </w:r>
      <w:r w:rsidRPr="00DD7BD1">
        <w:rPr>
          <w:rFonts w:cs="Calibri"/>
          <w:color w:val="auto"/>
          <w:w w:val="110"/>
        </w:rPr>
        <w:t>reasons</w:t>
      </w:r>
      <w:r w:rsidRPr="00DD7BD1">
        <w:rPr>
          <w:rFonts w:cs="Calibri"/>
          <w:color w:val="auto"/>
          <w:spacing w:val="-8"/>
          <w:w w:val="110"/>
        </w:rPr>
        <w:t xml:space="preserve"> </w:t>
      </w:r>
      <w:r w:rsidRPr="00DD7BD1">
        <w:rPr>
          <w:rFonts w:cs="Calibri"/>
          <w:color w:val="auto"/>
          <w:w w:val="110"/>
        </w:rPr>
        <w:t>including</w:t>
      </w:r>
      <w:r w:rsidRPr="00DD7BD1">
        <w:rPr>
          <w:rFonts w:cs="Calibri"/>
          <w:color w:val="auto"/>
          <w:spacing w:val="-8"/>
          <w:w w:val="110"/>
        </w:rPr>
        <w:t xml:space="preserve"> </w:t>
      </w:r>
      <w:r w:rsidRPr="00DD7BD1">
        <w:rPr>
          <w:rFonts w:cs="Calibri"/>
          <w:color w:val="auto"/>
          <w:w w:val="110"/>
        </w:rPr>
        <w:t>those</w:t>
      </w:r>
      <w:r w:rsidRPr="00DD7BD1">
        <w:rPr>
          <w:rFonts w:cs="Calibri"/>
          <w:color w:val="auto"/>
          <w:spacing w:val="-8"/>
          <w:w w:val="110"/>
        </w:rPr>
        <w:t xml:space="preserve"> </w:t>
      </w:r>
      <w:r w:rsidRPr="00DD7BD1">
        <w:rPr>
          <w:rFonts w:cs="Calibri"/>
          <w:color w:val="auto"/>
          <w:w w:val="110"/>
        </w:rPr>
        <w:t>covered</w:t>
      </w:r>
      <w:r w:rsidRPr="00DD7BD1">
        <w:rPr>
          <w:rFonts w:cs="Calibri"/>
          <w:color w:val="auto"/>
          <w:spacing w:val="-8"/>
          <w:w w:val="110"/>
        </w:rPr>
        <w:t xml:space="preserve"> </w:t>
      </w:r>
      <w:r w:rsidRPr="00DD7BD1">
        <w:rPr>
          <w:rFonts w:cs="Calibri"/>
          <w:color w:val="auto"/>
          <w:w w:val="110"/>
        </w:rPr>
        <w:t>by the</w:t>
      </w:r>
      <w:r w:rsidRPr="00DD7BD1">
        <w:rPr>
          <w:rFonts w:cs="Calibri"/>
          <w:color w:val="auto"/>
          <w:spacing w:val="-2"/>
          <w:w w:val="110"/>
        </w:rPr>
        <w:t xml:space="preserve"> </w:t>
      </w:r>
      <w:r w:rsidRPr="00DD7BD1">
        <w:rPr>
          <w:rFonts w:cs="Calibri"/>
          <w:color w:val="auto"/>
          <w:w w:val="110"/>
        </w:rPr>
        <w:t>PLA.</w:t>
      </w:r>
      <w:r w:rsidRPr="00DD7BD1">
        <w:rPr>
          <w:rFonts w:cs="Calibri"/>
          <w:color w:val="auto"/>
          <w:spacing w:val="-5"/>
          <w:w w:val="110"/>
        </w:rPr>
        <w:t xml:space="preserve"> </w:t>
      </w:r>
      <w:r w:rsidRPr="00DD7BD1">
        <w:rPr>
          <w:rFonts w:cs="Calibri"/>
          <w:color w:val="auto"/>
          <w:w w:val="110"/>
        </w:rPr>
        <w:t>Like</w:t>
      </w:r>
      <w:r w:rsidRPr="00DD7BD1">
        <w:rPr>
          <w:rFonts w:cs="Calibri"/>
          <w:color w:val="auto"/>
          <w:spacing w:val="-2"/>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the</w:t>
      </w:r>
      <w:r w:rsidRPr="00DD7BD1">
        <w:rPr>
          <w:rFonts w:cs="Calibri"/>
          <w:color w:val="auto"/>
          <w:spacing w:val="-2"/>
          <w:w w:val="110"/>
        </w:rPr>
        <w:t xml:space="preserve"> </w:t>
      </w:r>
      <w:r w:rsidRPr="00DD7BD1">
        <w:rPr>
          <w:rFonts w:cs="Calibri"/>
          <w:color w:val="auto"/>
          <w:w w:val="110"/>
        </w:rPr>
        <w:t>FMLA</w:t>
      </w:r>
      <w:r w:rsidRPr="00DD7BD1">
        <w:rPr>
          <w:rFonts w:cs="Calibri"/>
          <w:color w:val="auto"/>
          <w:spacing w:val="-2"/>
          <w:w w:val="110"/>
        </w:rPr>
        <w:t xml:space="preserve"> </w:t>
      </w:r>
      <w:r w:rsidRPr="00DD7BD1">
        <w:rPr>
          <w:rFonts w:cs="Calibri"/>
          <w:color w:val="auto"/>
          <w:w w:val="110"/>
        </w:rPr>
        <w:t>also requires</w:t>
      </w:r>
      <w:r w:rsidRPr="00DD7BD1">
        <w:rPr>
          <w:rFonts w:cs="Calibri"/>
          <w:color w:val="auto"/>
          <w:spacing w:val="-2"/>
          <w:w w:val="110"/>
        </w:rPr>
        <w:t xml:space="preserve"> </w:t>
      </w:r>
      <w:r w:rsidRPr="00DD7BD1">
        <w:rPr>
          <w:rFonts w:cs="Calibri"/>
          <w:color w:val="auto"/>
          <w:w w:val="110"/>
        </w:rPr>
        <w:t>employers</w:t>
      </w:r>
      <w:r w:rsidRPr="00DD7BD1">
        <w:rPr>
          <w:rFonts w:cs="Calibri"/>
          <w:color w:val="auto"/>
          <w:spacing w:val="-2"/>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continue</w:t>
      </w:r>
      <w:r w:rsidRPr="00DD7BD1">
        <w:rPr>
          <w:rFonts w:cs="Calibri"/>
          <w:color w:val="auto"/>
          <w:spacing w:val="-4"/>
          <w:w w:val="110"/>
        </w:rPr>
        <w:t xml:space="preserve"> </w:t>
      </w:r>
      <w:r w:rsidRPr="00DD7BD1">
        <w:rPr>
          <w:rFonts w:cs="Calibri"/>
          <w:color w:val="auto"/>
          <w:w w:val="110"/>
        </w:rPr>
        <w:t>health</w:t>
      </w:r>
      <w:r w:rsidRPr="00DD7BD1">
        <w:rPr>
          <w:rFonts w:cs="Calibri"/>
          <w:color w:val="auto"/>
          <w:spacing w:val="-2"/>
          <w:w w:val="110"/>
        </w:rPr>
        <w:t xml:space="preserve"> </w:t>
      </w:r>
      <w:r w:rsidRPr="00DD7BD1">
        <w:rPr>
          <w:rFonts w:cs="Calibri"/>
          <w:color w:val="auto"/>
          <w:w w:val="110"/>
        </w:rPr>
        <w:t>insurance</w:t>
      </w:r>
      <w:r w:rsidRPr="00DD7BD1">
        <w:rPr>
          <w:rFonts w:cs="Calibri"/>
          <w:color w:val="auto"/>
          <w:spacing w:val="-2"/>
          <w:w w:val="110"/>
        </w:rPr>
        <w:t xml:space="preserve"> </w:t>
      </w:r>
      <w:r w:rsidRPr="00DD7BD1">
        <w:rPr>
          <w:rFonts w:cs="Calibri"/>
          <w:color w:val="auto"/>
          <w:w w:val="110"/>
        </w:rPr>
        <w:t>benefits</w:t>
      </w:r>
      <w:r w:rsidRPr="00DD7BD1">
        <w:rPr>
          <w:rFonts w:cs="Calibri"/>
          <w:color w:val="auto"/>
          <w:spacing w:val="-2"/>
          <w:w w:val="110"/>
        </w:rPr>
        <w:t xml:space="preserve"> </w:t>
      </w:r>
      <w:r w:rsidRPr="00DD7BD1">
        <w:rPr>
          <w:rFonts w:cs="Calibri"/>
          <w:color w:val="auto"/>
          <w:w w:val="110"/>
        </w:rPr>
        <w:t>for</w:t>
      </w:r>
      <w:r w:rsidRPr="00DD7BD1">
        <w:rPr>
          <w:rFonts w:cs="Calibri"/>
          <w:color w:val="auto"/>
          <w:spacing w:val="-2"/>
          <w:w w:val="110"/>
        </w:rPr>
        <w:t xml:space="preserve"> </w:t>
      </w:r>
      <w:r w:rsidRPr="00DD7BD1">
        <w:rPr>
          <w:rFonts w:cs="Calibri"/>
          <w:color w:val="auto"/>
          <w:w w:val="110"/>
        </w:rPr>
        <w:t>employees</w:t>
      </w:r>
      <w:r w:rsidRPr="00DD7BD1">
        <w:rPr>
          <w:rFonts w:cs="Calibri"/>
          <w:color w:val="auto"/>
          <w:spacing w:val="-3"/>
          <w:w w:val="110"/>
        </w:rPr>
        <w:t xml:space="preserve"> </w:t>
      </w:r>
      <w:r w:rsidRPr="00DD7BD1">
        <w:rPr>
          <w:rFonts w:cs="Calibri"/>
          <w:color w:val="auto"/>
          <w:w w:val="110"/>
        </w:rPr>
        <w:t xml:space="preserve">on </w:t>
      </w:r>
      <w:r w:rsidRPr="00DD7BD1">
        <w:rPr>
          <w:rFonts w:cs="Calibri"/>
          <w:color w:val="auto"/>
          <w:spacing w:val="-2"/>
          <w:w w:val="110"/>
        </w:rPr>
        <w:t>leave.</w:t>
      </w:r>
    </w:p>
    <w:p w14:paraId="361A0623" w14:textId="77777777" w:rsidR="007E0135" w:rsidRPr="00DD7BD1" w:rsidRDefault="007E0135" w:rsidP="003A22A9">
      <w:pPr>
        <w:pStyle w:val="Heading4"/>
        <w:spacing w:before="0"/>
        <w:ind w:right="360"/>
        <w:rPr>
          <w:rFonts w:ascii="Calibri" w:eastAsia="Times New Roman" w:hAnsi="Calibri" w:cs="Calibri"/>
          <w:b/>
          <w:bCs/>
          <w:i w:val="0"/>
          <w:iCs w:val="0"/>
          <w:color w:val="auto"/>
          <w:sz w:val="16"/>
          <w:szCs w:val="16"/>
        </w:rPr>
      </w:pPr>
    </w:p>
    <w:p w14:paraId="1F6A4701"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SB 785</w:t>
      </w:r>
    </w:p>
    <w:p w14:paraId="4B32C67B" w14:textId="77777777" w:rsidR="007E0135" w:rsidRPr="00DD7BD1" w:rsidRDefault="007E0135" w:rsidP="003A22A9">
      <w:pPr>
        <w:pStyle w:val="BodyText"/>
        <w:spacing w:after="0" w:line="240" w:lineRule="auto"/>
        <w:ind w:right="360"/>
        <w:rPr>
          <w:rFonts w:cs="Calibri"/>
          <w:color w:val="auto"/>
          <w:spacing w:val="-2"/>
          <w:w w:val="115"/>
        </w:rPr>
      </w:pP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bill</w:t>
      </w:r>
      <w:r w:rsidRPr="00DD7BD1">
        <w:rPr>
          <w:rFonts w:cs="Calibri"/>
          <w:color w:val="auto"/>
          <w:spacing w:val="-8"/>
          <w:w w:val="110"/>
        </w:rPr>
        <w:t xml:space="preserve"> </w:t>
      </w:r>
      <w:r w:rsidRPr="00DD7BD1">
        <w:rPr>
          <w:rFonts w:cs="Calibri"/>
          <w:color w:val="auto"/>
          <w:w w:val="110"/>
        </w:rPr>
        <w:t>was</w:t>
      </w:r>
      <w:r w:rsidRPr="00DD7BD1">
        <w:rPr>
          <w:rFonts w:cs="Calibri"/>
          <w:color w:val="auto"/>
          <w:spacing w:val="-6"/>
          <w:w w:val="110"/>
        </w:rPr>
        <w:t xml:space="preserve"> </w:t>
      </w:r>
      <w:r w:rsidRPr="00DD7BD1">
        <w:rPr>
          <w:rFonts w:cs="Calibri"/>
          <w:color w:val="auto"/>
          <w:w w:val="110"/>
        </w:rPr>
        <w:t>introduced</w:t>
      </w:r>
      <w:r w:rsidRPr="00DD7BD1">
        <w:rPr>
          <w:rFonts w:cs="Calibri"/>
          <w:color w:val="auto"/>
          <w:spacing w:val="-9"/>
          <w:w w:val="110"/>
        </w:rPr>
        <w:t xml:space="preserve"> </w:t>
      </w:r>
      <w:r w:rsidRPr="00DD7BD1">
        <w:rPr>
          <w:rFonts w:cs="Calibri"/>
          <w:color w:val="auto"/>
          <w:w w:val="110"/>
        </w:rPr>
        <w:t>as</w:t>
      </w:r>
      <w:r w:rsidRPr="00DD7BD1">
        <w:rPr>
          <w:rFonts w:cs="Calibri"/>
          <w:color w:val="auto"/>
          <w:spacing w:val="-6"/>
          <w:w w:val="110"/>
        </w:rPr>
        <w:t xml:space="preserve"> </w:t>
      </w:r>
      <w:r w:rsidRPr="00DD7BD1">
        <w:rPr>
          <w:rFonts w:cs="Calibri"/>
          <w:color w:val="auto"/>
          <w:w w:val="110"/>
        </w:rPr>
        <w:t>a</w:t>
      </w:r>
      <w:r w:rsidRPr="00DD7BD1">
        <w:rPr>
          <w:rFonts w:cs="Calibri"/>
          <w:color w:val="auto"/>
          <w:spacing w:val="-9"/>
          <w:w w:val="110"/>
        </w:rPr>
        <w:t xml:space="preserve"> </w:t>
      </w:r>
      <w:r w:rsidRPr="00DD7BD1">
        <w:rPr>
          <w:rFonts w:cs="Calibri"/>
          <w:color w:val="auto"/>
          <w:w w:val="110"/>
        </w:rPr>
        <w:t>technical</w:t>
      </w:r>
      <w:r w:rsidRPr="00DD7BD1">
        <w:rPr>
          <w:rFonts w:cs="Calibri"/>
          <w:color w:val="auto"/>
          <w:spacing w:val="-8"/>
          <w:w w:val="110"/>
        </w:rPr>
        <w:t xml:space="preserve"> </w:t>
      </w:r>
      <w:r w:rsidRPr="00DD7BD1">
        <w:rPr>
          <w:rFonts w:cs="Calibri"/>
          <w:color w:val="auto"/>
          <w:w w:val="110"/>
        </w:rPr>
        <w:t>correction</w:t>
      </w:r>
      <w:r w:rsidRPr="00DD7BD1">
        <w:rPr>
          <w:rFonts w:cs="Calibri"/>
          <w:color w:val="auto"/>
          <w:spacing w:val="-6"/>
          <w:w w:val="110"/>
        </w:rPr>
        <w:t xml:space="preserve"> </w:t>
      </w:r>
      <w:r w:rsidRPr="00DD7BD1">
        <w:rPr>
          <w:rFonts w:cs="Calibri"/>
          <w:color w:val="auto"/>
          <w:w w:val="110"/>
        </w:rPr>
        <w:t>to</w:t>
      </w:r>
      <w:r w:rsidRPr="00DD7BD1">
        <w:rPr>
          <w:rFonts w:cs="Calibri"/>
          <w:color w:val="auto"/>
          <w:spacing w:val="-6"/>
          <w:w w:val="110"/>
        </w:rPr>
        <w:t xml:space="preserve"> </w:t>
      </w:r>
      <w:r w:rsidRPr="00DD7BD1">
        <w:rPr>
          <w:rFonts w:cs="Calibri"/>
          <w:color w:val="auto"/>
          <w:w w:val="110"/>
        </w:rPr>
        <w:t>rectify</w:t>
      </w:r>
      <w:r w:rsidRPr="00DD7BD1">
        <w:rPr>
          <w:rFonts w:cs="Calibri"/>
          <w:color w:val="auto"/>
          <w:spacing w:val="-8"/>
          <w:w w:val="110"/>
        </w:rPr>
        <w:t xml:space="preserve"> </w:t>
      </w:r>
      <w:r w:rsidRPr="00DD7BD1">
        <w:rPr>
          <w:rFonts w:cs="Calibri"/>
          <w:color w:val="auto"/>
          <w:w w:val="110"/>
        </w:rPr>
        <w:t>an</w:t>
      </w:r>
      <w:r w:rsidRPr="00DD7BD1">
        <w:rPr>
          <w:rFonts w:cs="Calibri"/>
          <w:color w:val="auto"/>
          <w:spacing w:val="-9"/>
          <w:w w:val="110"/>
        </w:rPr>
        <w:t xml:space="preserve"> </w:t>
      </w:r>
      <w:r w:rsidRPr="00DD7BD1">
        <w:rPr>
          <w:rFonts w:cs="Calibri"/>
          <w:color w:val="auto"/>
          <w:w w:val="110"/>
        </w:rPr>
        <w:t>unintended</w:t>
      </w:r>
      <w:r w:rsidRPr="00DD7BD1">
        <w:rPr>
          <w:rFonts w:cs="Calibri"/>
          <w:color w:val="auto"/>
          <w:spacing w:val="-8"/>
          <w:w w:val="110"/>
        </w:rPr>
        <w:t xml:space="preserve"> </w:t>
      </w:r>
      <w:r w:rsidRPr="00DD7BD1">
        <w:rPr>
          <w:rFonts w:cs="Calibri"/>
          <w:color w:val="auto"/>
          <w:w w:val="110"/>
        </w:rPr>
        <w:t>consequence</w:t>
      </w:r>
      <w:r w:rsidRPr="00DD7BD1">
        <w:rPr>
          <w:rFonts w:cs="Calibri"/>
          <w:color w:val="auto"/>
          <w:spacing w:val="-9"/>
          <w:w w:val="110"/>
        </w:rPr>
        <w:t xml:space="preserve"> </w:t>
      </w:r>
      <w:r w:rsidRPr="00DD7BD1">
        <w:rPr>
          <w:rFonts w:cs="Calibri"/>
          <w:color w:val="auto"/>
          <w:w w:val="110"/>
        </w:rPr>
        <w:t>of</w:t>
      </w:r>
      <w:r w:rsidRPr="00DD7BD1">
        <w:rPr>
          <w:rFonts w:cs="Calibri"/>
          <w:color w:val="auto"/>
          <w:spacing w:val="-7"/>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PLA:</w:t>
      </w:r>
      <w:r w:rsidRPr="00DD7BD1">
        <w:rPr>
          <w:rFonts w:cs="Calibri"/>
          <w:color w:val="auto"/>
          <w:spacing w:val="-10"/>
          <w:w w:val="110"/>
        </w:rPr>
        <w:t xml:space="preserve"> </w:t>
      </w:r>
      <w:r w:rsidRPr="00DD7BD1">
        <w:rPr>
          <w:rFonts w:cs="Calibri"/>
          <w:color w:val="auto"/>
          <w:w w:val="110"/>
        </w:rPr>
        <w:t>that</w:t>
      </w:r>
      <w:r w:rsidRPr="00DD7BD1">
        <w:rPr>
          <w:rFonts w:cs="Calibri"/>
          <w:color w:val="auto"/>
          <w:spacing w:val="-9"/>
          <w:w w:val="110"/>
        </w:rPr>
        <w:t xml:space="preserve"> </w:t>
      </w:r>
      <w:r w:rsidRPr="00DD7BD1">
        <w:rPr>
          <w:rFonts w:cs="Calibri"/>
          <w:color w:val="auto"/>
          <w:w w:val="110"/>
        </w:rPr>
        <w:t>employers could</w:t>
      </w:r>
      <w:r w:rsidRPr="00DD7BD1">
        <w:rPr>
          <w:rFonts w:cs="Calibri"/>
          <w:color w:val="auto"/>
          <w:spacing w:val="-7"/>
          <w:w w:val="110"/>
        </w:rPr>
        <w:t xml:space="preserve"> </w:t>
      </w:r>
      <w:r w:rsidRPr="00DD7BD1">
        <w:rPr>
          <w:rFonts w:cs="Calibri"/>
          <w:color w:val="auto"/>
          <w:w w:val="110"/>
        </w:rPr>
        <w:t>be</w:t>
      </w:r>
      <w:r w:rsidRPr="00DD7BD1">
        <w:rPr>
          <w:rFonts w:cs="Calibri"/>
          <w:color w:val="auto"/>
          <w:spacing w:val="-6"/>
          <w:w w:val="110"/>
        </w:rPr>
        <w:t xml:space="preserve"> </w:t>
      </w:r>
      <w:r w:rsidRPr="00DD7BD1">
        <w:rPr>
          <w:rFonts w:cs="Calibri"/>
          <w:color w:val="auto"/>
          <w:w w:val="110"/>
        </w:rPr>
        <w:t>subject</w:t>
      </w:r>
      <w:r w:rsidRPr="00DD7BD1">
        <w:rPr>
          <w:rFonts w:cs="Calibri"/>
          <w:color w:val="auto"/>
          <w:spacing w:val="-3"/>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both</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3"/>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FMLA</w:t>
      </w:r>
      <w:r w:rsidRPr="00DD7BD1">
        <w:rPr>
          <w:rFonts w:cs="Calibri"/>
          <w:color w:val="auto"/>
          <w:spacing w:val="-7"/>
          <w:w w:val="110"/>
        </w:rPr>
        <w:t xml:space="preserve"> </w:t>
      </w:r>
      <w:r w:rsidRPr="00DD7BD1">
        <w:rPr>
          <w:rFonts w:cs="Calibri"/>
          <w:color w:val="auto"/>
          <w:w w:val="110"/>
        </w:rPr>
        <w:t>simultaneously</w:t>
      </w:r>
      <w:r w:rsidRPr="00DD7BD1">
        <w:rPr>
          <w:rFonts w:cs="Calibri"/>
          <w:color w:val="auto"/>
          <w:spacing w:val="-2"/>
          <w:w w:val="110"/>
        </w:rPr>
        <w:t xml:space="preserve"> </w:t>
      </w:r>
      <w:r w:rsidRPr="00DD7BD1">
        <w:rPr>
          <w:rFonts w:cs="Calibri"/>
          <w:color w:val="auto"/>
          <w:w w:val="110"/>
        </w:rPr>
        <w:t>in</w:t>
      </w:r>
      <w:r w:rsidRPr="00DD7BD1">
        <w:rPr>
          <w:rFonts w:cs="Calibri"/>
          <w:color w:val="auto"/>
          <w:spacing w:val="-3"/>
          <w:w w:val="110"/>
        </w:rPr>
        <w:t xml:space="preserve"> </w:t>
      </w:r>
      <w:r w:rsidRPr="00DD7BD1">
        <w:rPr>
          <w:rFonts w:cs="Calibri"/>
          <w:color w:val="auto"/>
          <w:w w:val="110"/>
        </w:rPr>
        <w:t>a</w:t>
      </w:r>
      <w:r w:rsidRPr="00DD7BD1">
        <w:rPr>
          <w:rFonts w:cs="Calibri"/>
          <w:color w:val="auto"/>
          <w:spacing w:val="-5"/>
          <w:w w:val="110"/>
        </w:rPr>
        <w:t xml:space="preserve"> </w:t>
      </w:r>
      <w:r w:rsidRPr="00DD7BD1">
        <w:rPr>
          <w:rFonts w:cs="Calibri"/>
          <w:color w:val="auto"/>
          <w:w w:val="110"/>
        </w:rPr>
        <w:t>calendar</w:t>
      </w:r>
      <w:r w:rsidRPr="00DD7BD1">
        <w:rPr>
          <w:rFonts w:cs="Calibri"/>
          <w:color w:val="auto"/>
          <w:spacing w:val="-5"/>
          <w:w w:val="110"/>
        </w:rPr>
        <w:t xml:space="preserve"> </w:t>
      </w:r>
      <w:r w:rsidRPr="00DD7BD1">
        <w:rPr>
          <w:rFonts w:cs="Calibri"/>
          <w:color w:val="auto"/>
          <w:w w:val="110"/>
        </w:rPr>
        <w:t>year</w:t>
      </w:r>
      <w:r w:rsidRPr="00DD7BD1">
        <w:rPr>
          <w:rFonts w:cs="Calibri"/>
          <w:color w:val="auto"/>
          <w:spacing w:val="-3"/>
          <w:w w:val="110"/>
        </w:rPr>
        <w:t xml:space="preserve"> </w:t>
      </w:r>
      <w:r w:rsidRPr="00DD7BD1">
        <w:rPr>
          <w:rFonts w:cs="Calibri"/>
          <w:color w:val="auto"/>
          <w:w w:val="110"/>
        </w:rPr>
        <w:t>during</w:t>
      </w:r>
      <w:r w:rsidRPr="00DD7BD1">
        <w:rPr>
          <w:rFonts w:cs="Calibri"/>
          <w:color w:val="auto"/>
          <w:spacing w:val="-2"/>
          <w:w w:val="110"/>
        </w:rPr>
        <w:t xml:space="preserve"> </w:t>
      </w:r>
      <w:r w:rsidRPr="00DD7BD1">
        <w:rPr>
          <w:rFonts w:cs="Calibri"/>
          <w:color w:val="auto"/>
          <w:w w:val="110"/>
        </w:rPr>
        <w:t>which</w:t>
      </w:r>
      <w:r w:rsidRPr="00DD7BD1">
        <w:rPr>
          <w:rFonts w:cs="Calibri"/>
          <w:color w:val="auto"/>
          <w:spacing w:val="-3"/>
          <w:w w:val="110"/>
        </w:rPr>
        <w:t xml:space="preserve"> </w:t>
      </w:r>
      <w:r w:rsidRPr="00DD7BD1">
        <w:rPr>
          <w:rFonts w:cs="Calibri"/>
          <w:color w:val="auto"/>
          <w:w w:val="110"/>
        </w:rPr>
        <w:t>they</w:t>
      </w:r>
      <w:r w:rsidRPr="00DD7BD1">
        <w:rPr>
          <w:rFonts w:cs="Calibri"/>
          <w:color w:val="auto"/>
          <w:spacing w:val="-2"/>
          <w:w w:val="110"/>
        </w:rPr>
        <w:t xml:space="preserve"> </w:t>
      </w:r>
      <w:r w:rsidRPr="00DD7BD1">
        <w:rPr>
          <w:rFonts w:cs="Calibri"/>
          <w:color w:val="auto"/>
          <w:w w:val="110"/>
        </w:rPr>
        <w:t>reach</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6"/>
          <w:w w:val="110"/>
        </w:rPr>
        <w:t xml:space="preserve"> </w:t>
      </w:r>
      <w:r w:rsidRPr="00DD7BD1">
        <w:rPr>
          <w:rFonts w:cs="Calibri"/>
          <w:color w:val="auto"/>
          <w:w w:val="110"/>
        </w:rPr>
        <w:t>50- employee</w:t>
      </w:r>
      <w:r w:rsidRPr="00DD7BD1">
        <w:rPr>
          <w:rFonts w:cs="Calibri"/>
          <w:color w:val="auto"/>
          <w:spacing w:val="-12"/>
          <w:w w:val="110"/>
        </w:rPr>
        <w:t xml:space="preserve"> </w:t>
      </w:r>
      <w:r w:rsidRPr="00DD7BD1">
        <w:rPr>
          <w:rFonts w:cs="Calibri"/>
          <w:color w:val="auto"/>
          <w:w w:val="110"/>
        </w:rPr>
        <w:t>FMLA</w:t>
      </w:r>
      <w:r w:rsidRPr="00DD7BD1">
        <w:rPr>
          <w:rFonts w:cs="Calibri"/>
          <w:color w:val="auto"/>
          <w:spacing w:val="-13"/>
          <w:w w:val="110"/>
        </w:rPr>
        <w:t xml:space="preserve"> </w:t>
      </w:r>
      <w:r w:rsidRPr="00DD7BD1">
        <w:rPr>
          <w:rFonts w:cs="Calibri"/>
          <w:color w:val="auto"/>
          <w:w w:val="110"/>
        </w:rPr>
        <w:t>threshold,</w:t>
      </w:r>
      <w:r w:rsidRPr="00DD7BD1">
        <w:rPr>
          <w:rFonts w:cs="Calibri"/>
          <w:color w:val="auto"/>
          <w:spacing w:val="-11"/>
          <w:w w:val="110"/>
        </w:rPr>
        <w:t xml:space="preserve"> </w:t>
      </w:r>
      <w:r w:rsidRPr="00DD7BD1">
        <w:rPr>
          <w:rFonts w:cs="Calibri"/>
          <w:color w:val="auto"/>
          <w:w w:val="110"/>
        </w:rPr>
        <w:t>because</w:t>
      </w:r>
      <w:r w:rsidRPr="00DD7BD1">
        <w:rPr>
          <w:rFonts w:cs="Calibri"/>
          <w:color w:val="auto"/>
          <w:spacing w:val="-13"/>
          <w:w w:val="110"/>
        </w:rPr>
        <w:t xml:space="preserve"> </w:t>
      </w:r>
      <w:r w:rsidRPr="00DD7BD1">
        <w:rPr>
          <w:rFonts w:cs="Calibri"/>
          <w:color w:val="auto"/>
          <w:w w:val="110"/>
        </w:rPr>
        <w:t>they</w:t>
      </w:r>
      <w:r w:rsidRPr="00DD7BD1">
        <w:rPr>
          <w:rFonts w:cs="Calibri"/>
          <w:color w:val="auto"/>
          <w:spacing w:val="-10"/>
          <w:w w:val="110"/>
        </w:rPr>
        <w:t xml:space="preserve"> </w:t>
      </w:r>
      <w:r w:rsidRPr="00DD7BD1">
        <w:rPr>
          <w:rFonts w:cs="Calibri"/>
          <w:color w:val="auto"/>
          <w:w w:val="110"/>
        </w:rPr>
        <w:t>could</w:t>
      </w:r>
      <w:r w:rsidRPr="00DD7BD1">
        <w:rPr>
          <w:rFonts w:cs="Calibri"/>
          <w:color w:val="auto"/>
          <w:spacing w:val="-16"/>
          <w:w w:val="110"/>
        </w:rPr>
        <w:t xml:space="preserve"> </w:t>
      </w:r>
      <w:r w:rsidRPr="00DD7BD1">
        <w:rPr>
          <w:rFonts w:cs="Calibri"/>
          <w:color w:val="auto"/>
          <w:w w:val="110"/>
        </w:rPr>
        <w:t>have</w:t>
      </w:r>
      <w:r w:rsidRPr="00DD7BD1">
        <w:rPr>
          <w:rFonts w:cs="Calibri"/>
          <w:color w:val="auto"/>
          <w:spacing w:val="-13"/>
          <w:w w:val="110"/>
        </w:rPr>
        <w:t xml:space="preserve"> </w:t>
      </w:r>
      <w:r w:rsidRPr="00DD7BD1">
        <w:rPr>
          <w:rFonts w:cs="Calibri"/>
          <w:color w:val="auto"/>
          <w:w w:val="110"/>
        </w:rPr>
        <w:t>employed</w:t>
      </w:r>
      <w:r w:rsidRPr="00DD7BD1">
        <w:rPr>
          <w:rFonts w:cs="Calibri"/>
          <w:color w:val="auto"/>
          <w:spacing w:val="-12"/>
          <w:w w:val="110"/>
        </w:rPr>
        <w:t xml:space="preserve"> </w:t>
      </w:r>
      <w:r w:rsidRPr="00DD7BD1">
        <w:rPr>
          <w:rFonts w:cs="Calibri"/>
          <w:color w:val="auto"/>
          <w:w w:val="110"/>
        </w:rPr>
        <w:t>15-49</w:t>
      </w:r>
      <w:r w:rsidRPr="00DD7BD1">
        <w:rPr>
          <w:rFonts w:cs="Calibri"/>
          <w:color w:val="auto"/>
          <w:spacing w:val="-13"/>
          <w:w w:val="110"/>
        </w:rPr>
        <w:t xml:space="preserve"> </w:t>
      </w:r>
      <w:r w:rsidRPr="00DD7BD1">
        <w:rPr>
          <w:rFonts w:cs="Calibri"/>
          <w:color w:val="auto"/>
          <w:w w:val="110"/>
        </w:rPr>
        <w:t>employees</w:t>
      </w:r>
      <w:r w:rsidRPr="00DD7BD1">
        <w:rPr>
          <w:rFonts w:cs="Calibri"/>
          <w:color w:val="auto"/>
          <w:spacing w:val="-12"/>
          <w:w w:val="110"/>
        </w:rPr>
        <w:t xml:space="preserve"> </w:t>
      </w:r>
      <w:r w:rsidRPr="00DD7BD1">
        <w:rPr>
          <w:rFonts w:cs="Calibri"/>
          <w:color w:val="auto"/>
          <w:w w:val="110"/>
        </w:rPr>
        <w:t>for</w:t>
      </w:r>
      <w:r w:rsidRPr="00DD7BD1">
        <w:rPr>
          <w:rFonts w:cs="Calibri"/>
          <w:color w:val="auto"/>
          <w:spacing w:val="-14"/>
          <w:w w:val="110"/>
        </w:rPr>
        <w:t xml:space="preserve"> </w:t>
      </w:r>
      <w:r w:rsidRPr="00DD7BD1">
        <w:rPr>
          <w:rFonts w:cs="Calibri"/>
          <w:color w:val="auto"/>
          <w:w w:val="110"/>
        </w:rPr>
        <w:t>at</w:t>
      </w:r>
      <w:r w:rsidRPr="00DD7BD1">
        <w:rPr>
          <w:rFonts w:cs="Calibri"/>
          <w:color w:val="auto"/>
          <w:spacing w:val="-13"/>
          <w:w w:val="110"/>
        </w:rPr>
        <w:t xml:space="preserve"> </w:t>
      </w:r>
      <w:r w:rsidRPr="00DD7BD1">
        <w:rPr>
          <w:rFonts w:cs="Calibri"/>
          <w:color w:val="auto"/>
          <w:w w:val="110"/>
        </w:rPr>
        <w:t>least</w:t>
      </w:r>
      <w:r w:rsidRPr="00DD7BD1">
        <w:rPr>
          <w:rFonts w:cs="Calibri"/>
          <w:color w:val="auto"/>
          <w:spacing w:val="-13"/>
          <w:w w:val="110"/>
        </w:rPr>
        <w:t xml:space="preserve"> </w:t>
      </w:r>
      <w:r w:rsidRPr="00DD7BD1">
        <w:rPr>
          <w:rFonts w:cs="Calibri"/>
          <w:color w:val="auto"/>
          <w:w w:val="110"/>
        </w:rPr>
        <w:t>20</w:t>
      </w:r>
      <w:r w:rsidRPr="00DD7BD1">
        <w:rPr>
          <w:rFonts w:cs="Calibri"/>
          <w:color w:val="auto"/>
          <w:spacing w:val="-13"/>
          <w:w w:val="110"/>
        </w:rPr>
        <w:t xml:space="preserve"> </w:t>
      </w:r>
      <w:r w:rsidRPr="00DD7BD1">
        <w:rPr>
          <w:rFonts w:cs="Calibri"/>
          <w:color w:val="auto"/>
          <w:w w:val="110"/>
        </w:rPr>
        <w:t>weeks</w:t>
      </w:r>
      <w:r w:rsidRPr="00DD7BD1">
        <w:rPr>
          <w:rFonts w:cs="Calibri"/>
          <w:color w:val="auto"/>
          <w:spacing w:val="-12"/>
          <w:w w:val="110"/>
        </w:rPr>
        <w:t xml:space="preserve"> </w:t>
      </w:r>
      <w:r w:rsidRPr="00DD7BD1">
        <w:rPr>
          <w:rFonts w:cs="Calibri"/>
          <w:color w:val="auto"/>
          <w:w w:val="110"/>
        </w:rPr>
        <w:t>in</w:t>
      </w:r>
      <w:r w:rsidRPr="00DD7BD1">
        <w:rPr>
          <w:rFonts w:cs="Calibri"/>
          <w:color w:val="auto"/>
          <w:spacing w:val="-13"/>
          <w:w w:val="110"/>
        </w:rPr>
        <w:t xml:space="preserve"> </w:t>
      </w:r>
      <w:r w:rsidRPr="00DD7BD1">
        <w:rPr>
          <w:rFonts w:cs="Calibri"/>
          <w:color w:val="auto"/>
          <w:w w:val="110"/>
        </w:rPr>
        <w:t>that</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1"/>
          <w:w w:val="110"/>
        </w:rPr>
        <w:t xml:space="preserve"> </w:t>
      </w:r>
      <w:r w:rsidRPr="00DD7BD1">
        <w:rPr>
          <w:rFonts w:cs="Calibri"/>
          <w:color w:val="auto"/>
          <w:w w:val="110"/>
        </w:rPr>
        <w:t xml:space="preserve">the </w:t>
      </w:r>
      <w:r w:rsidRPr="00DD7BD1">
        <w:rPr>
          <w:rFonts w:cs="Calibri"/>
          <w:color w:val="auto"/>
        </w:rPr>
        <w:t xml:space="preserve">preceding year. Under the PLA as currently worded, the employer might, therefore, be required to provide leave to an </w:t>
      </w:r>
      <w:r w:rsidRPr="00DD7BD1">
        <w:rPr>
          <w:rFonts w:cs="Calibri"/>
          <w:color w:val="auto"/>
          <w:spacing w:val="-2"/>
          <w:w w:val="115"/>
        </w:rPr>
        <w:t>employee</w:t>
      </w:r>
      <w:r w:rsidRPr="00DD7BD1">
        <w:rPr>
          <w:rFonts w:cs="Calibri"/>
          <w:color w:val="auto"/>
          <w:spacing w:val="-14"/>
          <w:w w:val="115"/>
        </w:rPr>
        <w:t xml:space="preserve"> </w:t>
      </w:r>
      <w:r w:rsidRPr="00DD7BD1">
        <w:rPr>
          <w:rFonts w:cs="Calibri"/>
          <w:color w:val="auto"/>
          <w:spacing w:val="-2"/>
          <w:w w:val="115"/>
        </w:rPr>
        <w:t>under</w:t>
      </w:r>
      <w:r w:rsidRPr="00DD7BD1">
        <w:rPr>
          <w:rFonts w:cs="Calibri"/>
          <w:color w:val="auto"/>
          <w:spacing w:val="-15"/>
          <w:w w:val="115"/>
        </w:rPr>
        <w:t xml:space="preserve"> </w:t>
      </w:r>
      <w:r w:rsidRPr="00DD7BD1">
        <w:rPr>
          <w:rFonts w:cs="Calibri"/>
          <w:color w:val="auto"/>
          <w:spacing w:val="-2"/>
          <w:w w:val="115"/>
        </w:rPr>
        <w:t>both</w:t>
      </w:r>
      <w:r w:rsidRPr="00DD7BD1">
        <w:rPr>
          <w:rFonts w:cs="Calibri"/>
          <w:color w:val="auto"/>
          <w:spacing w:val="-12"/>
          <w:w w:val="115"/>
        </w:rPr>
        <w:t xml:space="preserve"> </w:t>
      </w:r>
      <w:r w:rsidRPr="00DD7BD1">
        <w:rPr>
          <w:rFonts w:cs="Calibri"/>
          <w:color w:val="auto"/>
          <w:spacing w:val="-2"/>
          <w:w w:val="115"/>
        </w:rPr>
        <w:t>that</w:t>
      </w:r>
      <w:r w:rsidRPr="00DD7BD1">
        <w:rPr>
          <w:rFonts w:cs="Calibri"/>
          <w:color w:val="auto"/>
          <w:spacing w:val="-13"/>
          <w:w w:val="115"/>
        </w:rPr>
        <w:t xml:space="preserve"> </w:t>
      </w:r>
      <w:r w:rsidRPr="00DD7BD1">
        <w:rPr>
          <w:rFonts w:cs="Calibri"/>
          <w:color w:val="auto"/>
          <w:spacing w:val="-2"/>
          <w:w w:val="115"/>
        </w:rPr>
        <w:t>law</w:t>
      </w:r>
      <w:r w:rsidRPr="00DD7BD1">
        <w:rPr>
          <w:rFonts w:cs="Calibri"/>
          <w:color w:val="auto"/>
          <w:spacing w:val="-13"/>
          <w:w w:val="115"/>
        </w:rPr>
        <w:t xml:space="preserve"> </w:t>
      </w:r>
      <w:r w:rsidRPr="00DD7BD1">
        <w:rPr>
          <w:rFonts w:cs="Calibri"/>
          <w:color w:val="auto"/>
          <w:spacing w:val="-2"/>
          <w:w w:val="115"/>
        </w:rPr>
        <w:t>and</w:t>
      </w:r>
      <w:r w:rsidRPr="00DD7BD1">
        <w:rPr>
          <w:rFonts w:cs="Calibri"/>
          <w:color w:val="auto"/>
          <w:spacing w:val="-14"/>
          <w:w w:val="115"/>
        </w:rPr>
        <w:t xml:space="preserve"> </w:t>
      </w:r>
      <w:r w:rsidRPr="00DD7BD1">
        <w:rPr>
          <w:rFonts w:cs="Calibri"/>
          <w:color w:val="auto"/>
          <w:spacing w:val="-2"/>
          <w:w w:val="115"/>
        </w:rPr>
        <w:t>the</w:t>
      </w:r>
      <w:r w:rsidRPr="00DD7BD1">
        <w:rPr>
          <w:rFonts w:cs="Calibri"/>
          <w:color w:val="auto"/>
          <w:spacing w:val="-15"/>
          <w:w w:val="115"/>
        </w:rPr>
        <w:t xml:space="preserve"> </w:t>
      </w:r>
      <w:r w:rsidRPr="00DD7BD1">
        <w:rPr>
          <w:rFonts w:cs="Calibri"/>
          <w:color w:val="auto"/>
          <w:spacing w:val="-2"/>
          <w:w w:val="115"/>
        </w:rPr>
        <w:t>FMLA.</w:t>
      </w:r>
    </w:p>
    <w:p w14:paraId="75F543B5" w14:textId="77777777" w:rsidR="007E0135" w:rsidRPr="00DD7BD1" w:rsidRDefault="007E0135" w:rsidP="003A22A9">
      <w:pPr>
        <w:pStyle w:val="BodyText"/>
        <w:spacing w:after="0" w:line="240" w:lineRule="auto"/>
        <w:ind w:right="360"/>
        <w:rPr>
          <w:rFonts w:cs="Calibri"/>
          <w:color w:val="auto"/>
          <w:sz w:val="16"/>
          <w:szCs w:val="16"/>
        </w:rPr>
      </w:pPr>
    </w:p>
    <w:p w14:paraId="5D336D9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rPr>
        <w:t>To</w:t>
      </w:r>
      <w:r w:rsidRPr="00DD7BD1">
        <w:rPr>
          <w:rFonts w:cs="Calibri"/>
          <w:color w:val="auto"/>
          <w:spacing w:val="22"/>
        </w:rPr>
        <w:t xml:space="preserve"> </w:t>
      </w:r>
      <w:r w:rsidRPr="00DD7BD1">
        <w:rPr>
          <w:rFonts w:cs="Calibri"/>
          <w:color w:val="auto"/>
        </w:rPr>
        <w:t>avoid</w:t>
      </w:r>
      <w:r w:rsidRPr="00DD7BD1">
        <w:rPr>
          <w:rFonts w:cs="Calibri"/>
          <w:color w:val="auto"/>
          <w:spacing w:val="24"/>
        </w:rPr>
        <w:t xml:space="preserve"> </w:t>
      </w:r>
      <w:r w:rsidRPr="00DD7BD1">
        <w:rPr>
          <w:rFonts w:cs="Calibri"/>
          <w:color w:val="auto"/>
        </w:rPr>
        <w:t>this</w:t>
      </w:r>
      <w:r w:rsidRPr="00DD7BD1">
        <w:rPr>
          <w:rFonts w:cs="Calibri"/>
          <w:color w:val="auto"/>
          <w:spacing w:val="22"/>
        </w:rPr>
        <w:t xml:space="preserve"> </w:t>
      </w:r>
      <w:r w:rsidRPr="00DD7BD1">
        <w:rPr>
          <w:rFonts w:cs="Calibri"/>
          <w:color w:val="auto"/>
        </w:rPr>
        <w:t>result,</w:t>
      </w:r>
      <w:r w:rsidRPr="00DD7BD1">
        <w:rPr>
          <w:rFonts w:cs="Calibri"/>
          <w:color w:val="auto"/>
          <w:spacing w:val="18"/>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bill</w:t>
      </w:r>
      <w:r w:rsidRPr="00DD7BD1">
        <w:rPr>
          <w:rFonts w:cs="Calibri"/>
          <w:color w:val="auto"/>
          <w:spacing w:val="22"/>
        </w:rPr>
        <w:t xml:space="preserve"> </w:t>
      </w:r>
      <w:r w:rsidRPr="00DD7BD1">
        <w:rPr>
          <w:rFonts w:cs="Calibri"/>
          <w:color w:val="auto"/>
        </w:rPr>
        <w:t>amends</w:t>
      </w:r>
      <w:r w:rsidRPr="00DD7BD1">
        <w:rPr>
          <w:rFonts w:cs="Calibri"/>
          <w:color w:val="auto"/>
          <w:spacing w:val="22"/>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definition</w:t>
      </w:r>
      <w:r w:rsidRPr="00DD7BD1">
        <w:rPr>
          <w:rFonts w:cs="Calibri"/>
          <w:color w:val="auto"/>
          <w:spacing w:val="20"/>
        </w:rPr>
        <w:t xml:space="preserve"> </w:t>
      </w:r>
      <w:r w:rsidRPr="00DD7BD1">
        <w:rPr>
          <w:rFonts w:cs="Calibri"/>
          <w:color w:val="auto"/>
        </w:rPr>
        <w:t>of</w:t>
      </w:r>
      <w:r w:rsidRPr="00DD7BD1">
        <w:rPr>
          <w:rFonts w:cs="Calibri"/>
          <w:color w:val="auto"/>
          <w:spacing w:val="24"/>
        </w:rPr>
        <w:t xml:space="preserve"> </w:t>
      </w:r>
      <w:r w:rsidRPr="00DD7BD1">
        <w:rPr>
          <w:rFonts w:cs="Calibri"/>
          <w:color w:val="auto"/>
        </w:rPr>
        <w:t>“employer”</w:t>
      </w:r>
      <w:r w:rsidRPr="00DD7BD1">
        <w:rPr>
          <w:rFonts w:cs="Calibri"/>
          <w:color w:val="auto"/>
          <w:spacing w:val="20"/>
        </w:rPr>
        <w:t xml:space="preserve"> </w:t>
      </w:r>
      <w:r w:rsidRPr="00DD7BD1">
        <w:rPr>
          <w:rFonts w:cs="Calibri"/>
          <w:color w:val="auto"/>
        </w:rPr>
        <w:t>under</w:t>
      </w:r>
      <w:r w:rsidRPr="00DD7BD1">
        <w:rPr>
          <w:rFonts w:cs="Calibri"/>
          <w:color w:val="auto"/>
          <w:spacing w:val="18"/>
        </w:rPr>
        <w:t xml:space="preserve"> </w:t>
      </w:r>
      <w:r w:rsidRPr="00DD7BD1">
        <w:rPr>
          <w:rFonts w:cs="Calibri"/>
          <w:color w:val="auto"/>
        </w:rPr>
        <w:t>the</w:t>
      </w:r>
      <w:r w:rsidRPr="00DD7BD1">
        <w:rPr>
          <w:rFonts w:cs="Calibri"/>
          <w:color w:val="auto"/>
          <w:spacing w:val="24"/>
        </w:rPr>
        <w:t xml:space="preserve"> </w:t>
      </w:r>
      <w:r w:rsidRPr="00DD7BD1">
        <w:rPr>
          <w:rFonts w:cs="Calibri"/>
          <w:color w:val="auto"/>
        </w:rPr>
        <w:t>PLA</w:t>
      </w:r>
      <w:r w:rsidRPr="00DD7BD1">
        <w:rPr>
          <w:rFonts w:cs="Calibri"/>
          <w:color w:val="auto"/>
          <w:spacing w:val="24"/>
        </w:rPr>
        <w:t xml:space="preserve"> </w:t>
      </w:r>
      <w:r w:rsidRPr="00DD7BD1">
        <w:rPr>
          <w:rFonts w:cs="Calibri"/>
          <w:color w:val="auto"/>
        </w:rPr>
        <w:t>to</w:t>
      </w:r>
      <w:r w:rsidRPr="00DD7BD1">
        <w:rPr>
          <w:rFonts w:cs="Calibri"/>
          <w:color w:val="auto"/>
          <w:spacing w:val="20"/>
        </w:rPr>
        <w:t xml:space="preserve"> </w:t>
      </w:r>
      <w:r w:rsidRPr="00DD7BD1">
        <w:rPr>
          <w:rFonts w:cs="Calibri"/>
          <w:color w:val="auto"/>
        </w:rPr>
        <w:t>exclude</w:t>
      </w:r>
      <w:r w:rsidRPr="00DD7BD1">
        <w:rPr>
          <w:rFonts w:cs="Calibri"/>
          <w:color w:val="auto"/>
          <w:spacing w:val="20"/>
        </w:rPr>
        <w:t xml:space="preserve"> </w:t>
      </w:r>
      <w:r w:rsidRPr="00DD7BD1">
        <w:rPr>
          <w:rFonts w:cs="Calibri"/>
          <w:color w:val="auto"/>
        </w:rPr>
        <w:t>employers</w:t>
      </w:r>
      <w:r w:rsidRPr="00DD7BD1">
        <w:rPr>
          <w:rFonts w:cs="Calibri"/>
          <w:color w:val="auto"/>
          <w:spacing w:val="26"/>
        </w:rPr>
        <w:t xml:space="preserve"> </w:t>
      </w:r>
      <w:r w:rsidRPr="00DD7BD1">
        <w:rPr>
          <w:rFonts w:cs="Calibri"/>
          <w:color w:val="auto"/>
        </w:rPr>
        <w:t>who</w:t>
      </w:r>
      <w:r w:rsidRPr="00DD7BD1">
        <w:rPr>
          <w:rFonts w:cs="Calibri"/>
          <w:color w:val="auto"/>
          <w:spacing w:val="20"/>
        </w:rPr>
        <w:t xml:space="preserve"> </w:t>
      </w:r>
      <w:r w:rsidRPr="00DD7BD1">
        <w:rPr>
          <w:rFonts w:cs="Calibri"/>
          <w:color w:val="auto"/>
        </w:rPr>
        <w:t>are</w:t>
      </w:r>
      <w:r w:rsidRPr="00DD7BD1">
        <w:rPr>
          <w:rFonts w:cs="Calibri"/>
          <w:color w:val="auto"/>
          <w:spacing w:val="18"/>
        </w:rPr>
        <w:t xml:space="preserve"> </w:t>
      </w:r>
      <w:r w:rsidRPr="00DD7BD1">
        <w:rPr>
          <w:rFonts w:cs="Calibri"/>
          <w:color w:val="auto"/>
        </w:rPr>
        <w:t xml:space="preserve">covered </w:t>
      </w:r>
      <w:r w:rsidRPr="00DD7BD1">
        <w:rPr>
          <w:rFonts w:cs="Calibri"/>
          <w:color w:val="auto"/>
          <w:spacing w:val="-2"/>
          <w:w w:val="110"/>
        </w:rPr>
        <w:t>by</w:t>
      </w:r>
      <w:r w:rsidRPr="00DD7BD1">
        <w:rPr>
          <w:rFonts w:cs="Calibri"/>
          <w:color w:val="auto"/>
          <w:spacing w:val="-7"/>
          <w:w w:val="110"/>
        </w:rPr>
        <w:t xml:space="preserve"> </w:t>
      </w:r>
      <w:r w:rsidRPr="00DD7BD1">
        <w:rPr>
          <w:rFonts w:cs="Calibri"/>
          <w:color w:val="auto"/>
          <w:spacing w:val="-2"/>
          <w:w w:val="110"/>
        </w:rPr>
        <w:t>the</w:t>
      </w:r>
      <w:r w:rsidRPr="00DD7BD1">
        <w:rPr>
          <w:rFonts w:cs="Calibri"/>
          <w:color w:val="auto"/>
          <w:spacing w:val="-11"/>
          <w:w w:val="110"/>
        </w:rPr>
        <w:t xml:space="preserve"> </w:t>
      </w:r>
      <w:r w:rsidRPr="00DD7BD1">
        <w:rPr>
          <w:rFonts w:cs="Calibri"/>
          <w:color w:val="auto"/>
          <w:spacing w:val="-2"/>
          <w:w w:val="110"/>
        </w:rPr>
        <w:t>FMLA</w:t>
      </w:r>
      <w:r w:rsidRPr="00DD7BD1">
        <w:rPr>
          <w:rFonts w:cs="Calibri"/>
          <w:color w:val="auto"/>
          <w:spacing w:val="-8"/>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8"/>
          <w:w w:val="110"/>
        </w:rPr>
        <w:t xml:space="preserve"> </w:t>
      </w:r>
      <w:r w:rsidRPr="00DD7BD1">
        <w:rPr>
          <w:rFonts w:cs="Calibri"/>
          <w:color w:val="auto"/>
          <w:spacing w:val="-2"/>
          <w:w w:val="110"/>
        </w:rPr>
        <w:t>current</w:t>
      </w:r>
      <w:r w:rsidRPr="00DD7BD1">
        <w:rPr>
          <w:rFonts w:cs="Calibri"/>
          <w:color w:val="auto"/>
          <w:spacing w:val="-8"/>
          <w:w w:val="110"/>
        </w:rPr>
        <w:t xml:space="preserve"> </w:t>
      </w:r>
      <w:r w:rsidRPr="00DD7BD1">
        <w:rPr>
          <w:rFonts w:cs="Calibri"/>
          <w:color w:val="auto"/>
          <w:spacing w:val="-2"/>
          <w:w w:val="110"/>
        </w:rPr>
        <w:t>calendar</w:t>
      </w:r>
      <w:r w:rsidRPr="00DD7BD1">
        <w:rPr>
          <w:rFonts w:cs="Calibri"/>
          <w:color w:val="auto"/>
          <w:spacing w:val="-8"/>
          <w:w w:val="110"/>
        </w:rPr>
        <w:t xml:space="preserve"> </w:t>
      </w:r>
      <w:r w:rsidRPr="00DD7BD1">
        <w:rPr>
          <w:rFonts w:cs="Calibri"/>
          <w:color w:val="auto"/>
          <w:spacing w:val="-2"/>
          <w:w w:val="110"/>
        </w:rPr>
        <w:t>year.</w:t>
      </w:r>
      <w:r w:rsidRPr="00DD7BD1">
        <w:rPr>
          <w:rFonts w:cs="Calibri"/>
          <w:color w:val="auto"/>
          <w:spacing w:val="-8"/>
          <w:w w:val="110"/>
        </w:rPr>
        <w:t xml:space="preserve"> </w:t>
      </w:r>
      <w:r w:rsidRPr="00DD7BD1">
        <w:rPr>
          <w:rFonts w:cs="Calibri"/>
          <w:color w:val="auto"/>
          <w:spacing w:val="-2"/>
          <w:w w:val="110"/>
        </w:rPr>
        <w:t>Eligible</w:t>
      </w:r>
      <w:r w:rsidRPr="00DD7BD1">
        <w:rPr>
          <w:rFonts w:cs="Calibri"/>
          <w:color w:val="auto"/>
          <w:spacing w:val="-11"/>
          <w:w w:val="110"/>
        </w:rPr>
        <w:t xml:space="preserve"> </w:t>
      </w:r>
      <w:r w:rsidRPr="00DD7BD1">
        <w:rPr>
          <w:rFonts w:cs="Calibri"/>
          <w:color w:val="auto"/>
          <w:spacing w:val="-2"/>
          <w:w w:val="110"/>
        </w:rPr>
        <w:t>employees</w:t>
      </w:r>
      <w:r w:rsidRPr="00DD7BD1">
        <w:rPr>
          <w:rFonts w:cs="Calibri"/>
          <w:color w:val="auto"/>
          <w:spacing w:val="-10"/>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these</w:t>
      </w:r>
      <w:r w:rsidRPr="00DD7BD1">
        <w:rPr>
          <w:rFonts w:cs="Calibri"/>
          <w:color w:val="auto"/>
          <w:spacing w:val="-11"/>
          <w:w w:val="110"/>
        </w:rPr>
        <w:t xml:space="preserve"> </w:t>
      </w:r>
      <w:r w:rsidRPr="00DD7BD1">
        <w:rPr>
          <w:rFonts w:cs="Calibri"/>
          <w:color w:val="auto"/>
          <w:spacing w:val="-2"/>
          <w:w w:val="110"/>
        </w:rPr>
        <w:t>employers</w:t>
      </w:r>
      <w:r w:rsidRPr="00DD7BD1">
        <w:rPr>
          <w:rFonts w:cs="Calibri"/>
          <w:color w:val="auto"/>
          <w:spacing w:val="-10"/>
          <w:w w:val="110"/>
        </w:rPr>
        <w:t xml:space="preserve"> </w:t>
      </w:r>
      <w:r w:rsidRPr="00DD7BD1">
        <w:rPr>
          <w:rFonts w:cs="Calibri"/>
          <w:color w:val="auto"/>
          <w:spacing w:val="-2"/>
          <w:w w:val="110"/>
        </w:rPr>
        <w:t>will</w:t>
      </w:r>
      <w:r w:rsidRPr="00DD7BD1">
        <w:rPr>
          <w:rFonts w:cs="Calibri"/>
          <w:color w:val="auto"/>
          <w:spacing w:val="-10"/>
          <w:w w:val="110"/>
        </w:rPr>
        <w:t xml:space="preserve"> </w:t>
      </w:r>
      <w:r w:rsidRPr="00DD7BD1">
        <w:rPr>
          <w:rFonts w:cs="Calibri"/>
          <w:color w:val="auto"/>
          <w:spacing w:val="-2"/>
          <w:w w:val="110"/>
        </w:rPr>
        <w:t>be</w:t>
      </w:r>
      <w:r w:rsidRPr="00DD7BD1">
        <w:rPr>
          <w:rFonts w:cs="Calibri"/>
          <w:color w:val="auto"/>
          <w:spacing w:val="-8"/>
          <w:w w:val="110"/>
        </w:rPr>
        <w:t xml:space="preserve"> </w:t>
      </w:r>
      <w:r w:rsidRPr="00DD7BD1">
        <w:rPr>
          <w:rFonts w:cs="Calibri"/>
          <w:color w:val="auto"/>
          <w:spacing w:val="-2"/>
          <w:w w:val="110"/>
        </w:rPr>
        <w:t>able</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7"/>
          <w:w w:val="110"/>
        </w:rPr>
        <w:t xml:space="preserve"> </w:t>
      </w:r>
      <w:r w:rsidRPr="00DD7BD1">
        <w:rPr>
          <w:rFonts w:cs="Calibri"/>
          <w:color w:val="auto"/>
          <w:spacing w:val="-2"/>
          <w:w w:val="110"/>
        </w:rPr>
        <w:t>take</w:t>
      </w:r>
      <w:r w:rsidRPr="00DD7BD1">
        <w:rPr>
          <w:rFonts w:cs="Calibri"/>
          <w:color w:val="auto"/>
          <w:spacing w:val="-11"/>
          <w:w w:val="110"/>
        </w:rPr>
        <w:t xml:space="preserve"> </w:t>
      </w:r>
      <w:r w:rsidRPr="00DD7BD1">
        <w:rPr>
          <w:rFonts w:cs="Calibri"/>
          <w:color w:val="auto"/>
          <w:spacing w:val="-2"/>
          <w:w w:val="110"/>
        </w:rPr>
        <w:t>qualifying</w:t>
      </w:r>
      <w:r w:rsidRPr="00DD7BD1">
        <w:rPr>
          <w:rFonts w:cs="Calibri"/>
          <w:color w:val="auto"/>
          <w:spacing w:val="-7"/>
          <w:w w:val="110"/>
        </w:rPr>
        <w:t xml:space="preserve"> </w:t>
      </w:r>
      <w:r w:rsidRPr="00DD7BD1">
        <w:rPr>
          <w:rFonts w:cs="Calibri"/>
          <w:color w:val="auto"/>
          <w:spacing w:val="-2"/>
          <w:w w:val="110"/>
        </w:rPr>
        <w:t xml:space="preserve">leave </w:t>
      </w:r>
      <w:r w:rsidRPr="00DD7BD1">
        <w:rPr>
          <w:rFonts w:cs="Calibri"/>
          <w:color w:val="auto"/>
          <w:w w:val="110"/>
        </w:rPr>
        <w:t>under the FMLA</w:t>
      </w:r>
      <w:r w:rsidRPr="00DD7BD1">
        <w:rPr>
          <w:rFonts w:cs="Calibri"/>
          <w:color w:val="auto"/>
          <w:spacing w:val="-1"/>
          <w:w w:val="110"/>
        </w:rPr>
        <w:t xml:space="preserve"> </w:t>
      </w:r>
      <w:r w:rsidRPr="00DD7BD1">
        <w:rPr>
          <w:rFonts w:cs="Calibri"/>
          <w:color w:val="auto"/>
          <w:w w:val="110"/>
        </w:rPr>
        <w:t>but not the PLA.</w:t>
      </w:r>
    </w:p>
    <w:p w14:paraId="190016FE" w14:textId="77777777" w:rsidR="007E0135" w:rsidRPr="00DD7BD1" w:rsidRDefault="007E0135" w:rsidP="003A22A9">
      <w:pPr>
        <w:pStyle w:val="BodyText"/>
        <w:spacing w:after="0" w:line="240" w:lineRule="auto"/>
        <w:ind w:right="360"/>
        <w:rPr>
          <w:rFonts w:cs="Calibri"/>
          <w:color w:val="auto"/>
          <w:sz w:val="16"/>
          <w:szCs w:val="16"/>
        </w:rPr>
      </w:pPr>
    </w:p>
    <w:p w14:paraId="337EDFA6" w14:textId="77777777" w:rsidR="007E0135" w:rsidRPr="00DD7BD1" w:rsidRDefault="007E0135" w:rsidP="003A22A9">
      <w:pPr>
        <w:pStyle w:val="BodyText"/>
        <w:spacing w:after="0" w:line="240" w:lineRule="auto"/>
        <w:ind w:right="360"/>
        <w:rPr>
          <w:rFonts w:cs="Calibri"/>
          <w:color w:val="auto"/>
          <w:sz w:val="24"/>
        </w:rPr>
      </w:pPr>
      <w:r w:rsidRPr="00DD7BD1">
        <w:rPr>
          <w:rFonts w:cs="Calibri"/>
          <w:color w:val="auto"/>
          <w:w w:val="110"/>
        </w:rPr>
        <w:t>ETC’s</w:t>
      </w:r>
      <w:r w:rsidRPr="00DD7BD1">
        <w:rPr>
          <w:rFonts w:cs="Calibri"/>
          <w:color w:val="auto"/>
          <w:spacing w:val="38"/>
          <w:w w:val="110"/>
        </w:rPr>
        <w:t xml:space="preserve"> </w:t>
      </w:r>
      <w:r w:rsidRPr="00DD7BD1">
        <w:rPr>
          <w:rFonts w:cs="Calibri"/>
          <w:color w:val="auto"/>
          <w:w w:val="110"/>
        </w:rPr>
        <w:t>State</w:t>
      </w:r>
      <w:r w:rsidRPr="00DD7BD1">
        <w:rPr>
          <w:rFonts w:cs="Calibri"/>
          <w:color w:val="auto"/>
          <w:spacing w:val="37"/>
          <w:w w:val="110"/>
        </w:rPr>
        <w:t xml:space="preserve"> </w:t>
      </w:r>
      <w:r w:rsidRPr="00DD7BD1">
        <w:rPr>
          <w:rFonts w:cs="Calibri"/>
          <w:color w:val="auto"/>
          <w:w w:val="110"/>
        </w:rPr>
        <w:t>Handbook</w:t>
      </w:r>
      <w:r w:rsidRPr="00DD7BD1">
        <w:rPr>
          <w:rFonts w:cs="Calibri"/>
          <w:color w:val="auto"/>
          <w:spacing w:val="35"/>
          <w:w w:val="110"/>
        </w:rPr>
        <w:t xml:space="preserve"> </w:t>
      </w:r>
      <w:r w:rsidRPr="00DD7BD1">
        <w:rPr>
          <w:rFonts w:cs="Calibri"/>
          <w:color w:val="auto"/>
          <w:w w:val="110"/>
        </w:rPr>
        <w:t>Addendum</w:t>
      </w:r>
      <w:r w:rsidRPr="00DD7BD1">
        <w:rPr>
          <w:rFonts w:cs="Calibri"/>
          <w:color w:val="auto"/>
          <w:spacing w:val="40"/>
          <w:w w:val="110"/>
        </w:rPr>
        <w:t xml:space="preserve"> </w:t>
      </w:r>
      <w:r w:rsidRPr="00DD7BD1">
        <w:rPr>
          <w:rFonts w:cs="Calibri"/>
          <w:color w:val="auto"/>
          <w:w w:val="110"/>
        </w:rPr>
        <w:t>covers</w:t>
      </w:r>
      <w:r w:rsidRPr="00DD7BD1">
        <w:rPr>
          <w:rFonts w:cs="Calibri"/>
          <w:color w:val="auto"/>
          <w:spacing w:val="40"/>
          <w:w w:val="110"/>
        </w:rPr>
        <w:t xml:space="preserve"> </w:t>
      </w:r>
      <w:r w:rsidRPr="00DD7BD1">
        <w:rPr>
          <w:rFonts w:cs="Calibri"/>
          <w:color w:val="auto"/>
          <w:w w:val="110"/>
        </w:rPr>
        <w:t>the</w:t>
      </w:r>
      <w:r w:rsidRPr="00DD7BD1">
        <w:rPr>
          <w:rFonts w:cs="Calibri"/>
          <w:color w:val="auto"/>
          <w:spacing w:val="35"/>
          <w:w w:val="110"/>
        </w:rPr>
        <w:t xml:space="preserve"> </w:t>
      </w:r>
      <w:r w:rsidRPr="00DD7BD1">
        <w:rPr>
          <w:rFonts w:cs="Calibri"/>
          <w:color w:val="auto"/>
          <w:w w:val="110"/>
        </w:rPr>
        <w:t>policy</w:t>
      </w:r>
      <w:r w:rsidRPr="00DD7BD1">
        <w:rPr>
          <w:rFonts w:cs="Calibri"/>
          <w:color w:val="auto"/>
          <w:spacing w:val="37"/>
          <w:w w:val="110"/>
        </w:rPr>
        <w:t xml:space="preserve"> </w:t>
      </w:r>
      <w:r w:rsidRPr="00DD7BD1">
        <w:rPr>
          <w:rFonts w:cs="Calibri"/>
          <w:color w:val="auto"/>
          <w:w w:val="110"/>
        </w:rPr>
        <w:t>requirements;</w:t>
      </w:r>
      <w:r w:rsidRPr="00DD7BD1">
        <w:rPr>
          <w:rFonts w:cs="Calibri"/>
          <w:color w:val="auto"/>
          <w:spacing w:val="38"/>
          <w:w w:val="110"/>
        </w:rPr>
        <w:t xml:space="preserve"> </w:t>
      </w:r>
      <w:r w:rsidRPr="00DD7BD1">
        <w:rPr>
          <w:rFonts w:cs="Calibri"/>
          <w:color w:val="auto"/>
          <w:w w:val="110"/>
        </w:rPr>
        <w:t>however,</w:t>
      </w:r>
      <w:r w:rsidRPr="00DD7BD1">
        <w:rPr>
          <w:rFonts w:cs="Calibri"/>
          <w:color w:val="auto"/>
          <w:spacing w:val="40"/>
          <w:w w:val="110"/>
        </w:rPr>
        <w:t xml:space="preserve"> </w:t>
      </w:r>
      <w:r w:rsidRPr="00DD7BD1">
        <w:rPr>
          <w:rFonts w:cs="Calibri"/>
          <w:color w:val="auto"/>
          <w:w w:val="110"/>
        </w:rPr>
        <w:t>an</w:t>
      </w:r>
      <w:r w:rsidRPr="00DD7BD1">
        <w:rPr>
          <w:rFonts w:cs="Calibri"/>
          <w:color w:val="auto"/>
          <w:spacing w:val="35"/>
          <w:w w:val="110"/>
        </w:rPr>
        <w:t xml:space="preserve"> </w:t>
      </w:r>
      <w:r w:rsidRPr="00DD7BD1">
        <w:rPr>
          <w:rFonts w:cs="Calibri"/>
          <w:color w:val="auto"/>
          <w:w w:val="110"/>
        </w:rPr>
        <w:t>updated</w:t>
      </w:r>
      <w:r w:rsidRPr="00DD7BD1">
        <w:rPr>
          <w:rFonts w:cs="Calibri"/>
          <w:color w:val="auto"/>
          <w:spacing w:val="37"/>
          <w:w w:val="110"/>
        </w:rPr>
        <w:t xml:space="preserve"> </w:t>
      </w:r>
      <w:r w:rsidRPr="00DD7BD1">
        <w:rPr>
          <w:rFonts w:cs="Calibri"/>
          <w:color w:val="auto"/>
          <w:w w:val="110"/>
        </w:rPr>
        <w:t>Addendum</w:t>
      </w:r>
      <w:r w:rsidRPr="00DD7BD1">
        <w:rPr>
          <w:rFonts w:cs="Calibri"/>
          <w:color w:val="auto"/>
          <w:spacing w:val="37"/>
          <w:w w:val="110"/>
        </w:rPr>
        <w:t xml:space="preserve"> </w:t>
      </w:r>
      <w:r w:rsidRPr="00DD7BD1">
        <w:rPr>
          <w:rFonts w:cs="Calibri"/>
          <w:color w:val="auto"/>
          <w:w w:val="110"/>
        </w:rPr>
        <w:t>is</w:t>
      </w:r>
      <w:r w:rsidRPr="00DD7BD1">
        <w:rPr>
          <w:rFonts w:cs="Calibri"/>
          <w:color w:val="auto"/>
          <w:spacing w:val="38"/>
          <w:w w:val="110"/>
        </w:rPr>
        <w:t xml:space="preserve"> </w:t>
      </w:r>
      <w:r w:rsidRPr="00DD7BD1">
        <w:rPr>
          <w:rFonts w:cs="Calibri"/>
          <w:color w:val="auto"/>
          <w:w w:val="110"/>
        </w:rPr>
        <w:t>being published to offer additional commentary for Employers.</w:t>
      </w:r>
    </w:p>
    <w:p w14:paraId="2556A0D3"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2"/>
          <w:szCs w:val="22"/>
        </w:rPr>
      </w:pPr>
    </w:p>
    <w:p w14:paraId="07647701"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Montgomery County Increases Minimum Wage – Eff July 1, 2025</w:t>
      </w:r>
    </w:p>
    <w:p w14:paraId="0AC50252" w14:textId="14851147" w:rsidR="007E0135" w:rsidRPr="00DD7BD1" w:rsidRDefault="007E0135" w:rsidP="007E0135">
      <w:pPr>
        <w:pStyle w:val="BodyText"/>
        <w:spacing w:after="0" w:line="240" w:lineRule="auto"/>
        <w:ind w:right="-180"/>
        <w:rPr>
          <w:rFonts w:cs="Calibri"/>
        </w:rPr>
      </w:pPr>
      <w:r w:rsidRPr="00DD7BD1">
        <w:rPr>
          <w:rFonts w:cs="Calibri"/>
          <w:color w:val="auto"/>
          <w:spacing w:val="-2"/>
          <w:w w:val="110"/>
        </w:rPr>
        <w:t>On</w:t>
      </w:r>
      <w:r w:rsidRPr="00DD7BD1">
        <w:rPr>
          <w:rFonts w:cs="Calibri"/>
          <w:color w:val="auto"/>
          <w:spacing w:val="-7"/>
          <w:w w:val="110"/>
        </w:rPr>
        <w:t xml:space="preserve"> </w:t>
      </w:r>
      <w:r w:rsidRPr="00DD7BD1">
        <w:rPr>
          <w:rFonts w:cs="Calibri"/>
          <w:color w:val="auto"/>
          <w:spacing w:val="-2"/>
          <w:w w:val="110"/>
        </w:rPr>
        <w:t>July</w:t>
      </w:r>
      <w:r w:rsidRPr="00DD7BD1">
        <w:rPr>
          <w:rFonts w:cs="Calibri"/>
          <w:color w:val="auto"/>
          <w:spacing w:val="-9"/>
          <w:w w:val="110"/>
        </w:rPr>
        <w:t xml:space="preserve"> </w:t>
      </w:r>
      <w:r w:rsidRPr="00DD7BD1">
        <w:rPr>
          <w:rFonts w:cs="Calibri"/>
          <w:color w:val="auto"/>
          <w:spacing w:val="-2"/>
          <w:w w:val="110"/>
        </w:rPr>
        <w:t>1,</w:t>
      </w:r>
      <w:r w:rsidRPr="00DD7BD1">
        <w:rPr>
          <w:rFonts w:cs="Calibri"/>
          <w:color w:val="auto"/>
          <w:spacing w:val="-8"/>
          <w:w w:val="110"/>
        </w:rPr>
        <w:t xml:space="preserve"> </w:t>
      </w:r>
      <w:r w:rsidRPr="00DD7BD1">
        <w:rPr>
          <w:rFonts w:cs="Calibri"/>
          <w:color w:val="auto"/>
          <w:spacing w:val="-2"/>
          <w:w w:val="110"/>
        </w:rPr>
        <w:t>2025,</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minimum</w:t>
      </w:r>
      <w:r w:rsidRPr="00DD7BD1">
        <w:rPr>
          <w:rFonts w:cs="Calibri"/>
          <w:color w:val="auto"/>
          <w:spacing w:val="-6"/>
          <w:w w:val="110"/>
        </w:rPr>
        <w:t xml:space="preserve"> </w:t>
      </w:r>
      <w:r w:rsidRPr="00DD7BD1">
        <w:rPr>
          <w:rFonts w:cs="Calibri"/>
          <w:color w:val="auto"/>
          <w:spacing w:val="-2"/>
          <w:w w:val="110"/>
        </w:rPr>
        <w:t>hourly</w:t>
      </w:r>
      <w:r w:rsidRPr="00DD7BD1">
        <w:rPr>
          <w:rFonts w:cs="Calibri"/>
          <w:color w:val="auto"/>
          <w:spacing w:val="-7"/>
          <w:w w:val="110"/>
        </w:rPr>
        <w:t xml:space="preserve"> </w:t>
      </w:r>
      <w:r w:rsidRPr="00DD7BD1">
        <w:rPr>
          <w:rFonts w:cs="Calibri"/>
          <w:color w:val="auto"/>
          <w:spacing w:val="-2"/>
          <w:w w:val="110"/>
        </w:rPr>
        <w:t>wage</w:t>
      </w:r>
      <w:r w:rsidRPr="00DD7BD1">
        <w:rPr>
          <w:rFonts w:cs="Calibri"/>
          <w:color w:val="auto"/>
          <w:spacing w:val="-10"/>
          <w:w w:val="110"/>
        </w:rPr>
        <w:t xml:space="preserve"> </w:t>
      </w:r>
      <w:r w:rsidRPr="00DD7BD1">
        <w:rPr>
          <w:rFonts w:cs="Calibri"/>
          <w:color w:val="auto"/>
          <w:spacing w:val="-2"/>
          <w:w w:val="110"/>
        </w:rPr>
        <w:t>in</w:t>
      </w:r>
      <w:r w:rsidRPr="00DD7BD1">
        <w:rPr>
          <w:rFonts w:cs="Calibri"/>
          <w:color w:val="auto"/>
          <w:spacing w:val="-8"/>
          <w:w w:val="110"/>
        </w:rPr>
        <w:t xml:space="preserve"> </w:t>
      </w:r>
      <w:r w:rsidRPr="00DD7BD1">
        <w:rPr>
          <w:rFonts w:cs="Calibri"/>
          <w:color w:val="auto"/>
          <w:spacing w:val="-2"/>
          <w:w w:val="110"/>
        </w:rPr>
        <w:t>Montgomery</w:t>
      </w:r>
      <w:r w:rsidRPr="00DD7BD1">
        <w:rPr>
          <w:rFonts w:cs="Calibri"/>
          <w:color w:val="auto"/>
          <w:spacing w:val="-9"/>
          <w:w w:val="110"/>
        </w:rPr>
        <w:t xml:space="preserve"> </w:t>
      </w:r>
      <w:r w:rsidRPr="00DD7BD1">
        <w:rPr>
          <w:rFonts w:cs="Calibri"/>
          <w:color w:val="auto"/>
          <w:spacing w:val="-2"/>
          <w:w w:val="110"/>
        </w:rPr>
        <w:t>County</w:t>
      </w:r>
      <w:r w:rsidRPr="00DD7BD1">
        <w:rPr>
          <w:rFonts w:cs="Calibri"/>
          <w:color w:val="auto"/>
          <w:spacing w:val="-6"/>
          <w:w w:val="110"/>
        </w:rPr>
        <w:t xml:space="preserve"> </w:t>
      </w:r>
      <w:r w:rsidRPr="00DD7BD1">
        <w:rPr>
          <w:rFonts w:cs="Calibri"/>
          <w:color w:val="auto"/>
          <w:spacing w:val="-2"/>
          <w:w w:val="110"/>
        </w:rPr>
        <w:t>increased.</w:t>
      </w:r>
      <w:r w:rsidRPr="00DD7BD1">
        <w:rPr>
          <w:rFonts w:cs="Calibri"/>
          <w:color w:val="auto"/>
          <w:spacing w:val="-8"/>
          <w:w w:val="110"/>
        </w:rPr>
        <w:t xml:space="preserve"> </w:t>
      </w:r>
      <w:r w:rsidRPr="00DD7BD1">
        <w:rPr>
          <w:rFonts w:cs="Calibri"/>
          <w:color w:val="auto"/>
          <w:spacing w:val="-2"/>
          <w:w w:val="110"/>
        </w:rPr>
        <w:t>More</w:t>
      </w:r>
      <w:r w:rsidRPr="00DD7BD1">
        <w:rPr>
          <w:rFonts w:cs="Calibri"/>
          <w:color w:val="auto"/>
          <w:spacing w:val="-7"/>
          <w:w w:val="110"/>
        </w:rPr>
        <w:t xml:space="preserve"> </w:t>
      </w:r>
      <w:r w:rsidRPr="00DD7BD1">
        <w:rPr>
          <w:rFonts w:cs="Calibri"/>
          <w:color w:val="auto"/>
          <w:spacing w:val="-2"/>
          <w:w w:val="110"/>
        </w:rPr>
        <w:t>information</w:t>
      </w:r>
      <w:r w:rsidRPr="00DD7BD1">
        <w:rPr>
          <w:rFonts w:cs="Calibri"/>
          <w:color w:val="auto"/>
          <w:spacing w:val="-10"/>
          <w:w w:val="110"/>
        </w:rPr>
        <w:t xml:space="preserve"> </w:t>
      </w:r>
      <w:r w:rsidRPr="00DD7BD1">
        <w:rPr>
          <w:rFonts w:cs="Calibri"/>
          <w:color w:val="auto"/>
          <w:spacing w:val="-2"/>
          <w:w w:val="110"/>
        </w:rPr>
        <w:t>can</w:t>
      </w:r>
      <w:r w:rsidRPr="00DD7BD1">
        <w:rPr>
          <w:rFonts w:cs="Calibri"/>
          <w:color w:val="auto"/>
          <w:spacing w:val="-7"/>
          <w:w w:val="110"/>
        </w:rPr>
        <w:t xml:space="preserve"> </w:t>
      </w:r>
      <w:r w:rsidRPr="00DD7BD1">
        <w:rPr>
          <w:rFonts w:cs="Calibri"/>
          <w:color w:val="auto"/>
          <w:spacing w:val="-2"/>
          <w:w w:val="110"/>
        </w:rPr>
        <w:t>be</w:t>
      </w:r>
      <w:r w:rsidRPr="00DD7BD1">
        <w:rPr>
          <w:rFonts w:cs="Calibri"/>
          <w:color w:val="auto"/>
          <w:spacing w:val="-6"/>
          <w:w w:val="110"/>
        </w:rPr>
        <w:t xml:space="preserve"> </w:t>
      </w:r>
      <w:r w:rsidRPr="00DD7BD1">
        <w:rPr>
          <w:rFonts w:cs="Calibri"/>
          <w:color w:val="auto"/>
          <w:spacing w:val="-2"/>
          <w:w w:val="110"/>
        </w:rPr>
        <w:t>found</w:t>
      </w:r>
      <w:r w:rsidRPr="00DD7BD1">
        <w:rPr>
          <w:rFonts w:cs="Calibri"/>
          <w:color w:val="auto"/>
          <w:spacing w:val="-7"/>
          <w:w w:val="110"/>
        </w:rPr>
        <w:t xml:space="preserve"> </w:t>
      </w:r>
      <w:hyperlink r:id="rId717">
        <w:r w:rsidRPr="00DD7BD1">
          <w:rPr>
            <w:rFonts w:cs="Calibri"/>
            <w:color w:val="0000FF"/>
            <w:spacing w:val="-4"/>
            <w:w w:val="110"/>
            <w:u w:val="single" w:color="0000FF"/>
          </w:rPr>
          <w:t>here</w:t>
        </w:r>
      </w:hyperlink>
      <w:r w:rsidRPr="00DD7BD1">
        <w:rPr>
          <w:rFonts w:cs="Calibri"/>
          <w:color w:val="2D74B5"/>
          <w:spacing w:val="-4"/>
          <w:w w:val="110"/>
        </w:rPr>
        <w:t>.</w:t>
      </w:r>
    </w:p>
    <w:p w14:paraId="6B2A4D09" w14:textId="77777777" w:rsidR="007E0135" w:rsidRPr="00DD7BD1" w:rsidRDefault="007E0135" w:rsidP="007E0135">
      <w:pPr>
        <w:pStyle w:val="ListParagraph"/>
        <w:widowControl w:val="0"/>
        <w:autoSpaceDE w:val="0"/>
        <w:autoSpaceDN w:val="0"/>
        <w:spacing w:before="1" w:after="0" w:line="247" w:lineRule="auto"/>
        <w:ind w:right="-360"/>
        <w:contextualSpacing w:val="0"/>
        <w:rPr>
          <w:rFonts w:ascii="Calibri" w:hAnsi="Calibri" w:cs="Calibri"/>
        </w:rPr>
      </w:pPr>
    </w:p>
    <w:p w14:paraId="77B2D534" w14:textId="1E69EE63" w:rsidR="00402F96" w:rsidRPr="00DD7BD1" w:rsidRDefault="00402F96" w:rsidP="00402F96">
      <w:pPr>
        <w:jc w:val="center"/>
        <w:rPr>
          <w:rFonts w:ascii="Calibri" w:hAnsi="Calibri" w:cs="Calibri"/>
          <w:b/>
          <w:bCs/>
          <w:color w:val="C00000"/>
          <w:sz w:val="28"/>
          <w:szCs w:val="28"/>
          <w:shd w:val="clear" w:color="auto" w:fill="FFFFFF"/>
          <w:lang w:val="en"/>
        </w:rPr>
      </w:pPr>
      <w:bookmarkStart w:id="100" w:name="_Hlk213054707"/>
      <w:r w:rsidRPr="00DD7BD1">
        <w:rPr>
          <w:rFonts w:ascii="Calibri" w:hAnsi="Calibri" w:cs="Calibri"/>
          <w:b/>
          <w:bCs/>
          <w:sz w:val="28"/>
          <w:szCs w:val="28"/>
          <w:shd w:val="clear" w:color="auto" w:fill="FFFFFF"/>
          <w:lang w:val="en"/>
        </w:rPr>
        <w:t xml:space="preserve">State Amends Parental Leave Act </w:t>
      </w:r>
      <w:r w:rsidRPr="00DD7BD1">
        <w:rPr>
          <w:rFonts w:ascii="Calibri" w:hAnsi="Calibri" w:cs="Calibri"/>
          <w:b/>
          <w:bCs/>
          <w:color w:val="C00000"/>
          <w:sz w:val="28"/>
          <w:szCs w:val="28"/>
          <w:shd w:val="clear" w:color="auto" w:fill="FFFFFF"/>
          <w:lang w:val="en"/>
        </w:rPr>
        <w:t>– Eff October 1, 2025</w:t>
      </w:r>
    </w:p>
    <w:p w14:paraId="22AA249A" w14:textId="77777777" w:rsidR="00402F96" w:rsidRPr="00DD7BD1" w:rsidRDefault="00402F96" w:rsidP="00402F96">
      <w:pPr>
        <w:pStyle w:val="BodyText"/>
        <w:rPr>
          <w:rFonts w:cs="Calibri"/>
          <w:color w:val="auto"/>
          <w:szCs w:val="22"/>
        </w:rPr>
      </w:pPr>
      <w:r w:rsidRPr="00DD7BD1">
        <w:rPr>
          <w:rFonts w:cs="Calibri"/>
          <w:color w:val="auto"/>
          <w:szCs w:val="22"/>
        </w:rPr>
        <w:t xml:space="preserve">Maryland has enacted </w:t>
      </w:r>
      <w:hyperlink r:id="rId718" w:history="1">
        <w:r w:rsidRPr="00DD7BD1">
          <w:rPr>
            <w:rStyle w:val="Hyperlink"/>
            <w:rFonts w:cs="Calibri"/>
            <w:szCs w:val="22"/>
          </w:rPr>
          <w:t>Senate Bill (SB) 785</w:t>
        </w:r>
      </w:hyperlink>
      <w:r w:rsidRPr="00DD7BD1">
        <w:rPr>
          <w:rFonts w:cs="Calibri"/>
          <w:szCs w:val="22"/>
        </w:rPr>
        <w:t xml:space="preserve">, </w:t>
      </w:r>
      <w:r w:rsidRPr="00DD7BD1">
        <w:rPr>
          <w:rFonts w:cs="Calibri"/>
          <w:color w:val="auto"/>
          <w:szCs w:val="22"/>
        </w:rPr>
        <w:t xml:space="preserve">amending the state’s </w:t>
      </w:r>
      <w:hyperlink r:id="rId719" w:history="1">
        <w:r w:rsidRPr="00DD7BD1">
          <w:rPr>
            <w:rStyle w:val="Hyperlink"/>
            <w:rFonts w:cs="Calibri"/>
            <w:szCs w:val="22"/>
          </w:rPr>
          <w:t>Parental Leave Act</w:t>
        </w:r>
      </w:hyperlink>
      <w:r w:rsidRPr="00DD7BD1">
        <w:rPr>
          <w:rFonts w:cs="Calibri"/>
          <w:szCs w:val="22"/>
        </w:rPr>
        <w:t xml:space="preserve"> </w:t>
      </w:r>
      <w:r w:rsidRPr="00DD7BD1">
        <w:rPr>
          <w:rFonts w:cs="Calibri"/>
          <w:color w:val="auto"/>
          <w:szCs w:val="22"/>
        </w:rPr>
        <w:t xml:space="preserve">(PLA) to clarify that it does not apply to employers while they are covered by the federal Family and Medical Leave Act (FMLA). </w:t>
      </w:r>
    </w:p>
    <w:p w14:paraId="744AF365" w14:textId="77777777" w:rsidR="00402F96" w:rsidRPr="00DD7BD1" w:rsidRDefault="00402F96" w:rsidP="00402F96">
      <w:pPr>
        <w:pStyle w:val="BodyText"/>
        <w:rPr>
          <w:rFonts w:cs="Calibri"/>
          <w:color w:val="auto"/>
          <w:szCs w:val="22"/>
        </w:rPr>
      </w:pPr>
      <w:r w:rsidRPr="00DD7BD1">
        <w:rPr>
          <w:rFonts w:cs="Calibri"/>
          <w:color w:val="auto"/>
          <w:szCs w:val="22"/>
        </w:rPr>
        <w:t xml:space="preserve">The amendment takes effect Oct. 1, 2025. </w:t>
      </w:r>
    </w:p>
    <w:p w14:paraId="7A686685"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PLA and FMLA</w:t>
      </w:r>
    </w:p>
    <w:p w14:paraId="1231EDD6" w14:textId="77777777" w:rsidR="00402F96" w:rsidRPr="00DD7BD1" w:rsidRDefault="00402F96" w:rsidP="00402F96">
      <w:pPr>
        <w:pStyle w:val="BodyText"/>
        <w:rPr>
          <w:rFonts w:cs="Calibri"/>
          <w:color w:val="auto"/>
          <w:szCs w:val="22"/>
        </w:rPr>
      </w:pPr>
      <w:r w:rsidRPr="00DD7BD1">
        <w:rPr>
          <w:rFonts w:cs="Calibri"/>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DD7BD1" w:rsidRDefault="00402F96" w:rsidP="00402F96">
      <w:pPr>
        <w:pStyle w:val="BodyText"/>
        <w:rPr>
          <w:rFonts w:cs="Calibri"/>
          <w:color w:val="auto"/>
          <w:szCs w:val="22"/>
        </w:rPr>
      </w:pPr>
      <w:r w:rsidRPr="00DD7BD1">
        <w:rPr>
          <w:rFonts w:cs="Calibri"/>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SB 785</w:t>
      </w:r>
    </w:p>
    <w:p w14:paraId="03E7145A" w14:textId="77777777" w:rsidR="00402F96" w:rsidRPr="00DD7BD1" w:rsidRDefault="00402F96" w:rsidP="00402F96">
      <w:pPr>
        <w:pStyle w:val="BodyText"/>
        <w:rPr>
          <w:rFonts w:cs="Calibri"/>
          <w:color w:val="auto"/>
          <w:szCs w:val="22"/>
        </w:rPr>
      </w:pPr>
      <w:r w:rsidRPr="00DD7BD1">
        <w:rPr>
          <w:rFonts w:cs="Calibri"/>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DD7BD1" w:rsidRDefault="00402F96" w:rsidP="00402F96">
      <w:pPr>
        <w:pStyle w:val="BodyText"/>
        <w:rPr>
          <w:rFonts w:cs="Calibri"/>
          <w:color w:val="auto"/>
          <w:szCs w:val="22"/>
        </w:rPr>
      </w:pPr>
      <w:r w:rsidRPr="00DD7BD1">
        <w:rPr>
          <w:rFonts w:cs="Calibri"/>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100"/>
    <w:p w14:paraId="60A2CBB0" w14:textId="77777777" w:rsidR="00EC2A47" w:rsidRPr="00DD7BD1" w:rsidRDefault="00EC2A47" w:rsidP="00EC2A47">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sz w:val="28"/>
          <w:szCs w:val="28"/>
          <w:shd w:val="clear" w:color="auto" w:fill="FFFFFF"/>
        </w:rPr>
        <w:t xml:space="preserve">Family and Medical Leave Insurance Program – </w:t>
      </w:r>
      <w:r w:rsidRPr="00DD7BD1">
        <w:rPr>
          <w:rFonts w:ascii="Calibri" w:hAnsi="Calibri" w:cs="Calibri"/>
          <w:b/>
          <w:bCs/>
          <w:color w:val="C00000"/>
          <w:sz w:val="28"/>
          <w:szCs w:val="28"/>
          <w:shd w:val="clear" w:color="auto" w:fill="FFFFFF"/>
        </w:rPr>
        <w:t>Jan 1, 2027 &amp; Jan 2028</w:t>
      </w:r>
    </w:p>
    <w:p w14:paraId="02D5D6EC" w14:textId="5100C26A" w:rsidR="00EC2A47" w:rsidRPr="00DD7BD1" w:rsidRDefault="00EC2A47" w:rsidP="00EC2A47">
      <w:pPr>
        <w:rPr>
          <w:rFonts w:ascii="Calibri" w:hAnsi="Calibri" w:cs="Calibri"/>
          <w:shd w:val="clear" w:color="auto" w:fill="FFFFFF"/>
        </w:rPr>
      </w:pPr>
      <w:r w:rsidRPr="00DD7BD1">
        <w:rPr>
          <w:rFonts w:ascii="Calibri" w:hAnsi="Calibri" w:cs="Calibri"/>
          <w:b/>
          <w:bCs/>
          <w:u w:val="single"/>
          <w:shd w:val="clear" w:color="auto" w:fill="FFFFFF"/>
        </w:rPr>
        <w:t>UPDATE:</w:t>
      </w:r>
      <w:r w:rsidRPr="00DD7BD1">
        <w:rPr>
          <w:rFonts w:ascii="Calibri" w:hAnsi="Calibri" w:cs="Calibri"/>
          <w:shd w:val="clear" w:color="auto" w:fill="FFFFFF"/>
        </w:rPr>
        <w:t xml:space="preserve"> Amendments to the law have delayed the start of the program several times, so that employer and employee payroll contributions will now begin </w:t>
      </w:r>
      <w:r w:rsidRPr="00DD7BD1">
        <w:rPr>
          <w:rFonts w:ascii="Calibri" w:hAnsi="Calibri" w:cs="Calibri"/>
          <w:bCs/>
          <w:color w:val="C00000"/>
          <w:shd w:val="clear" w:color="auto" w:fill="FFFFFF"/>
        </w:rPr>
        <w:t>Jan. 1, 2027</w:t>
      </w:r>
      <w:r w:rsidRPr="00DD7BD1">
        <w:rPr>
          <w:rFonts w:ascii="Calibri" w:hAnsi="Calibri" w:cs="Calibri"/>
          <w:shd w:val="clear" w:color="auto" w:fill="FFFFFF"/>
        </w:rPr>
        <w:t xml:space="preserve">, with benefits becoming available at some point between that date and </w:t>
      </w:r>
      <w:r w:rsidRPr="00DD7BD1">
        <w:rPr>
          <w:rFonts w:ascii="Calibri" w:hAnsi="Calibri" w:cs="Calibri"/>
          <w:color w:val="C00000"/>
          <w:shd w:val="clear" w:color="auto" w:fill="FFFFFF"/>
        </w:rPr>
        <w:t>Jan. 3, 2028</w:t>
      </w:r>
      <w:r w:rsidRPr="00DD7BD1">
        <w:rPr>
          <w:rFonts w:ascii="Calibri" w:hAnsi="Calibri" w:cs="Calibri"/>
          <w:shd w:val="clear" w:color="auto" w:fill="FFFFFF"/>
        </w:rPr>
        <w:t xml:space="preserve">, as determined by the Maryland Secretary of Labor.    </w:t>
      </w:r>
    </w:p>
    <w:p w14:paraId="448523F3" w14:textId="4490D205" w:rsidR="00BD445F" w:rsidRPr="00DD7BD1" w:rsidRDefault="00BD445F" w:rsidP="00BD445F">
      <w:pPr>
        <w:spacing w:after="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Sate’s </w:t>
      </w:r>
      <w:r w:rsidRPr="00DD7BD1">
        <w:rPr>
          <w:rFonts w:ascii="Calibri" w:hAnsi="Calibri" w:cs="Calibri"/>
          <w:b/>
          <w:bCs/>
          <w:sz w:val="28"/>
          <w:szCs w:val="28"/>
          <w:shd w:val="clear" w:color="auto" w:fill="FFFFFF"/>
        </w:rPr>
        <w:t xml:space="preserve">Family and Medical Leave Insurance Program </w:t>
      </w:r>
      <w:bookmarkEnd w:id="98"/>
      <w:r w:rsidRPr="00DD7BD1">
        <w:rPr>
          <w:rFonts w:ascii="Calibri" w:hAnsi="Calibri" w:cs="Calibri"/>
          <w:b/>
          <w:bCs/>
          <w:sz w:val="28"/>
          <w:szCs w:val="28"/>
          <w:shd w:val="clear" w:color="auto" w:fill="FFFFFF"/>
        </w:rPr>
        <w:t xml:space="preserve">– </w:t>
      </w:r>
      <w:r w:rsidRPr="00DD7BD1">
        <w:rPr>
          <w:rFonts w:ascii="Calibri" w:hAnsi="Calibri" w:cs="Calibri"/>
          <w:b/>
          <w:bCs/>
          <w:strike/>
          <w:color w:val="C00000"/>
          <w:sz w:val="28"/>
          <w:szCs w:val="28"/>
          <w:shd w:val="clear" w:color="auto" w:fill="FFFFFF"/>
        </w:rPr>
        <w:t>July 1 2025 &amp; July 1, 2026</w:t>
      </w:r>
    </w:p>
    <w:p w14:paraId="42C109C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DD7BD1" w:rsidRDefault="00BD445F" w:rsidP="00BD445F">
      <w:pPr>
        <w:spacing w:after="0" w:line="240" w:lineRule="auto"/>
        <w:rPr>
          <w:rFonts w:ascii="Calibri" w:hAnsi="Calibri" w:cs="Calibri"/>
          <w:sz w:val="16"/>
          <w:szCs w:val="16"/>
          <w:shd w:val="clear" w:color="auto" w:fill="FFFFFF"/>
        </w:rPr>
      </w:pPr>
    </w:p>
    <w:p w14:paraId="5048FAEE"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The program implementation dates are:</w:t>
      </w:r>
    </w:p>
    <w:p w14:paraId="1ACF5F85"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2025, for employers with 15 or more employees to begin program contributions.</w:t>
      </w:r>
    </w:p>
    <w:p w14:paraId="209029BD"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2026, for covered employees to begin submitting claims for benefits.</w:t>
      </w:r>
    </w:p>
    <w:p w14:paraId="559E08E2" w14:textId="77777777" w:rsidR="00BD445F" w:rsidRPr="00DD7BD1" w:rsidRDefault="00BD445F" w:rsidP="00BD445F">
      <w:pPr>
        <w:spacing w:after="0" w:line="240" w:lineRule="auto"/>
        <w:rPr>
          <w:rFonts w:ascii="Calibri" w:hAnsi="Calibri" w:cs="Calibri"/>
          <w:b/>
          <w:bCs/>
          <w:sz w:val="16"/>
          <w:szCs w:val="16"/>
          <w:shd w:val="clear" w:color="auto" w:fill="FFFFFF"/>
        </w:rPr>
      </w:pPr>
    </w:p>
    <w:p w14:paraId="2AC79C0C"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6BA38F3"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All employers with at least one employee in Maryland are covered under this law. Only employers with 15 or more employees must contribute to the program.</w:t>
      </w:r>
    </w:p>
    <w:p w14:paraId="71278BC8" w14:textId="77777777" w:rsidR="00BD445F" w:rsidRPr="00DD7BD1" w:rsidRDefault="00BD445F" w:rsidP="00BD445F">
      <w:pPr>
        <w:spacing w:after="0" w:line="240" w:lineRule="auto"/>
        <w:rPr>
          <w:rFonts w:ascii="Calibri" w:hAnsi="Calibri" w:cs="Calibri"/>
          <w:sz w:val="16"/>
          <w:szCs w:val="16"/>
          <w:shd w:val="clear" w:color="auto" w:fill="FFFFFF"/>
        </w:rPr>
      </w:pPr>
    </w:p>
    <w:p w14:paraId="152A58C4"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Employees</w:t>
      </w:r>
    </w:p>
    <w:p w14:paraId="149C1A44"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DD7BD1" w:rsidRDefault="00BD445F" w:rsidP="00BD445F">
      <w:pPr>
        <w:spacing w:after="0" w:line="240" w:lineRule="auto"/>
        <w:rPr>
          <w:rFonts w:ascii="Calibri" w:hAnsi="Calibri" w:cs="Calibri"/>
          <w:sz w:val="16"/>
          <w:szCs w:val="16"/>
          <w:shd w:val="clear" w:color="auto" w:fill="FFFFFF"/>
        </w:rPr>
      </w:pPr>
    </w:p>
    <w:p w14:paraId="2F436EC0"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Md. Lab. &amp; Emp. Code Ann. §§ 8.3-101 – 8.3-1001; Md. State Fin. &amp; Procure. § 6-226</w:t>
      </w:r>
    </w:p>
    <w:p w14:paraId="23AD2585" w14:textId="77777777" w:rsidR="00BD445F" w:rsidRPr="00DD7BD1" w:rsidRDefault="00BD445F" w:rsidP="00A3637F">
      <w:pPr>
        <w:spacing w:after="0" w:line="240" w:lineRule="auto"/>
        <w:jc w:val="center"/>
        <w:rPr>
          <w:rFonts w:ascii="Calibri" w:hAnsi="Calibri" w:cs="Calibri"/>
          <w:b/>
          <w:bCs/>
          <w:sz w:val="20"/>
          <w:szCs w:val="20"/>
          <w:shd w:val="clear" w:color="auto" w:fill="FFFFFF"/>
          <w:lang w:val="en"/>
        </w:rPr>
      </w:pPr>
    </w:p>
    <w:p w14:paraId="2B9A8D03" w14:textId="35A7C683" w:rsidR="00A3637F" w:rsidRPr="00DD7BD1" w:rsidRDefault="00A3637F" w:rsidP="00A3637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Employment Law Update</w:t>
      </w:r>
      <w:r w:rsidR="00A83553" w:rsidRPr="00DD7BD1">
        <w:rPr>
          <w:rFonts w:ascii="Calibri" w:hAnsi="Calibri" w:cs="Calibri"/>
          <w:b/>
          <w:bCs/>
          <w:sz w:val="28"/>
          <w:szCs w:val="28"/>
          <w:shd w:val="clear" w:color="auto" w:fill="FFFFFF"/>
          <w:lang w:val="en"/>
        </w:rPr>
        <w:t>s</w:t>
      </w:r>
      <w:r w:rsidRPr="00DD7BD1">
        <w:rPr>
          <w:rFonts w:ascii="Calibri" w:hAnsi="Calibri" w:cs="Calibri"/>
          <w:b/>
          <w:bCs/>
          <w:sz w:val="28"/>
          <w:szCs w:val="28"/>
          <w:shd w:val="clear" w:color="auto" w:fill="FFFFFF"/>
          <w:lang w:val="en"/>
        </w:rPr>
        <w:t xml:space="preserve"> Effective – </w:t>
      </w:r>
      <w:r w:rsidRPr="00DD7BD1">
        <w:rPr>
          <w:rFonts w:ascii="Calibri" w:hAnsi="Calibri" w:cs="Calibri"/>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DD7BD1" w14:paraId="316C2FDA" w14:textId="77777777" w:rsidTr="00AB648C">
        <w:tc>
          <w:tcPr>
            <w:tcW w:w="11070" w:type="dxa"/>
            <w:shd w:val="clear" w:color="auto" w:fill="FFFFFF"/>
            <w:tcMar>
              <w:top w:w="300" w:type="dxa"/>
              <w:left w:w="0" w:type="dxa"/>
              <w:bottom w:w="300" w:type="dxa"/>
              <w:right w:w="0" w:type="dxa"/>
            </w:tcMar>
            <w:vAlign w:val="center"/>
            <w:hideMark/>
          </w:tcPr>
          <w:bookmarkEnd w:id="99"/>
          <w:p w14:paraId="6320878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following apply to employers of all sizes, unless otherwise noted.  </w:t>
            </w:r>
            <w:r w:rsidRPr="00DD7BD1">
              <w:rPr>
                <w:rFonts w:ascii="Calibri" w:hAnsi="Calibri" w:cs="Calibri"/>
              </w:rPr>
              <w:t xml:space="preserve"> The learn more, access the September HR WIRE</w:t>
            </w:r>
          </w:p>
          <w:p w14:paraId="71FB2A6A"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4B971A72"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Pay and Benefit Transparency in Job Posting Requirements</w:t>
            </w:r>
            <w:r w:rsidRPr="00DD7BD1">
              <w:rPr>
                <w:rFonts w:ascii="Calibri" w:hAnsi="Calibri" w:cs="Calibri"/>
                <w:b/>
                <w:bCs/>
                <w:shd w:val="clear" w:color="auto" w:fill="FFFFFF"/>
              </w:rPr>
              <w:t xml:space="preserve"> (</w:t>
            </w:r>
            <w:hyperlink r:id="rId720" w:tgtFrame="_blank" w:history="1">
              <w:r w:rsidRPr="00DD7BD1">
                <w:rPr>
                  <w:rStyle w:val="Hyperlink"/>
                  <w:rFonts w:ascii="Calibri" w:hAnsi="Calibri" w:cs="Calibri"/>
                  <w:shd w:val="clear" w:color="auto" w:fill="FFFFFF"/>
                </w:rPr>
                <w:t>MD H 649</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Employers will be required to </w:t>
            </w:r>
            <w:r w:rsidRPr="00DD7BD1">
              <w:rPr>
                <w:rFonts w:ascii="Calibri" w:hAnsi="Calibri" w:cs="Calibri"/>
                <w:b/>
                <w:bCs/>
                <w:shd w:val="clear" w:color="auto" w:fill="FFFFFF"/>
              </w:rPr>
              <w:t>post a wage range</w:t>
            </w:r>
            <w:r w:rsidRPr="00DD7BD1">
              <w:rPr>
                <w:rFonts w:ascii="Calibri" w:hAnsi="Calibri" w:cs="Calibri"/>
                <w:shd w:val="clear" w:color="auto" w:fill="FFFFFF"/>
              </w:rPr>
              <w:t xml:space="preserve"> </w:t>
            </w:r>
            <w:r w:rsidRPr="00DD7BD1">
              <w:rPr>
                <w:rFonts w:ascii="Calibri" w:hAnsi="Calibri" w:cs="Calibri"/>
                <w:b/>
                <w:bCs/>
                <w:shd w:val="clear" w:color="auto" w:fill="FFFFFF"/>
              </w:rPr>
              <w:t>in all job postings for positions that will be physically performed, even in part, in Maryland.</w:t>
            </w:r>
            <w:r w:rsidRPr="00DD7BD1">
              <w:rPr>
                <w:rFonts w:ascii="Calibri" w:hAnsi="Calibri" w:cs="Calibri"/>
                <w:shd w:val="clear" w:color="auto" w:fill="FFFFFF"/>
              </w:rPr>
              <w:t xml:space="preserve"> </w:t>
            </w:r>
          </w:p>
          <w:p w14:paraId="7EDE5DA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Amend job postings to include the required pay information by October 1.</w:t>
            </w:r>
          </w:p>
          <w:p w14:paraId="703FC1C1" w14:textId="77777777" w:rsidR="005A6DB9" w:rsidRPr="00DD7BD1" w:rsidRDefault="005A6DB9" w:rsidP="00AB648C">
            <w:pPr>
              <w:spacing w:after="0" w:line="240" w:lineRule="auto"/>
              <w:rPr>
                <w:rFonts w:ascii="Calibri" w:hAnsi="Calibri" w:cs="Calibri"/>
                <w:b/>
                <w:bCs/>
                <w:u w:val="single"/>
                <w:shd w:val="clear" w:color="auto" w:fill="FFFFFF"/>
              </w:rPr>
            </w:pPr>
          </w:p>
          <w:p w14:paraId="33BBD27E" w14:textId="4284806E" w:rsidR="00A3637F" w:rsidRPr="00DD7BD1" w:rsidRDefault="00A3637F" w:rsidP="00AB648C">
            <w:pPr>
              <w:spacing w:after="0" w:line="240" w:lineRule="auto"/>
              <w:rPr>
                <w:rFonts w:ascii="Calibri" w:hAnsi="Calibri" w:cs="Calibri"/>
                <w:shd w:val="clear" w:color="auto" w:fill="FFFFFF"/>
                <w:lang w:val="en"/>
              </w:rPr>
            </w:pPr>
            <w:r w:rsidRPr="00DD7BD1">
              <w:rPr>
                <w:rFonts w:ascii="Calibri" w:hAnsi="Calibri" w:cs="Calibri"/>
                <w:b/>
                <w:bCs/>
                <w:u w:val="single"/>
                <w:shd w:val="clear" w:color="auto" w:fill="FFFFFF"/>
              </w:rPr>
              <w:t>Written Pay Information Required (</w:t>
            </w:r>
            <w:hyperlink r:id="rId721" w:tgtFrame="_blank" w:history="1">
              <w:r w:rsidRPr="00DD7BD1">
                <w:rPr>
                  <w:rStyle w:val="Hyperlink"/>
                  <w:rFonts w:ascii="Calibri" w:hAnsi="Calibri" w:cs="Calibri"/>
                  <w:shd w:val="clear" w:color="auto" w:fill="FFFFFF"/>
                </w:rPr>
                <w:t>MD H 385</w:t>
              </w:r>
            </w:hyperlink>
            <w:r w:rsidRPr="00DD7BD1">
              <w:rPr>
                <w:rFonts w:ascii="Calibri" w:hAnsi="Calibri" w:cs="Calibri"/>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Two existing pay-related notice obligations for employers have been revised.</w:t>
            </w:r>
          </w:p>
          <w:p w14:paraId="47870B4F" w14:textId="77777777" w:rsidR="00A3637F" w:rsidRPr="00DD7BD1" w:rsidRDefault="00A3637F" w:rsidP="00AB648C">
            <w:pPr>
              <w:spacing w:after="0" w:line="240" w:lineRule="auto"/>
              <w:rPr>
                <w:rFonts w:ascii="Calibri" w:hAnsi="Calibri" w:cs="Calibri"/>
                <w:b/>
                <w:bCs/>
                <w:shd w:val="clear" w:color="auto" w:fill="FFFFFF"/>
              </w:rPr>
            </w:pPr>
            <w:r w:rsidRPr="00DD7BD1">
              <w:rPr>
                <w:rFonts w:ascii="Calibri" w:hAnsi="Calibri" w:cs="Calibri"/>
                <w:shd w:val="clear" w:color="auto" w:fill="FFFFFF"/>
              </w:rPr>
              <w:t xml:space="preserve">First, the </w:t>
            </w:r>
            <w:r w:rsidRPr="00DD7BD1">
              <w:rPr>
                <w:rFonts w:ascii="Calibri" w:hAnsi="Calibri" w:cs="Calibri"/>
                <w:b/>
                <w:bCs/>
                <w:shd w:val="clear" w:color="auto" w:fill="FFFFFF"/>
              </w:rPr>
              <w:t>notice</w:t>
            </w:r>
            <w:r w:rsidRPr="00DD7BD1">
              <w:rPr>
                <w:rFonts w:ascii="Calibri" w:hAnsi="Calibri" w:cs="Calibri"/>
                <w:shd w:val="clear" w:color="auto" w:fill="FFFFFF"/>
              </w:rPr>
              <w:t xml:space="preserve"> that employers must give employees at the time of hire, </w:t>
            </w:r>
            <w:r w:rsidRPr="00DD7BD1">
              <w:rPr>
                <w:rFonts w:ascii="Calibri" w:hAnsi="Calibri" w:cs="Calibri"/>
                <w:b/>
                <w:bCs/>
                <w:shd w:val="clear" w:color="auto" w:fill="FFFFFF"/>
              </w:rPr>
              <w:t>detailing their pay rate</w:t>
            </w:r>
            <w:r w:rsidRPr="00DD7BD1">
              <w:rPr>
                <w:rFonts w:ascii="Calibri" w:hAnsi="Calibri" w:cs="Calibri"/>
                <w:shd w:val="clear" w:color="auto" w:fill="FFFFFF"/>
              </w:rPr>
              <w:t xml:space="preserve">, </w:t>
            </w:r>
            <w:r w:rsidRPr="00DD7BD1">
              <w:rPr>
                <w:rFonts w:ascii="Calibri" w:hAnsi="Calibri" w:cs="Calibri"/>
                <w:b/>
                <w:bCs/>
                <w:shd w:val="clear" w:color="auto" w:fill="FFFFFF"/>
              </w:rPr>
              <w:t>scheduled paydays, and leave benefits</w:t>
            </w:r>
            <w:r w:rsidRPr="00DD7BD1">
              <w:rPr>
                <w:rFonts w:ascii="Calibri" w:hAnsi="Calibri" w:cs="Calibri"/>
                <w:shd w:val="clear" w:color="auto" w:fill="FFFFFF"/>
              </w:rPr>
              <w:t xml:space="preserve">, will now need to </w:t>
            </w:r>
            <w:r w:rsidRPr="00DD7BD1">
              <w:rPr>
                <w:rFonts w:ascii="Calibri" w:hAnsi="Calibri" w:cs="Calibri"/>
                <w:b/>
                <w:bCs/>
                <w:shd w:val="clear" w:color="auto" w:fill="FFFFFF"/>
              </w:rPr>
              <w:t>be in </w:t>
            </w:r>
            <w:r w:rsidRPr="00DD7BD1">
              <w:rPr>
                <w:rFonts w:ascii="Calibri" w:hAnsi="Calibri" w:cs="Calibri"/>
                <w:b/>
                <w:bCs/>
                <w:i/>
                <w:iCs/>
                <w:shd w:val="clear" w:color="auto" w:fill="FFFFFF"/>
              </w:rPr>
              <w:t>writing</w:t>
            </w:r>
            <w:r w:rsidRPr="00DD7BD1">
              <w:rPr>
                <w:rFonts w:ascii="Calibri" w:hAnsi="Calibri" w:cs="Calibri"/>
                <w:b/>
                <w:bCs/>
                <w:shd w:val="clear" w:color="auto" w:fill="FFFFFF"/>
              </w:rPr>
              <w:t>.</w:t>
            </w:r>
          </w:p>
          <w:p w14:paraId="22C99FE1"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will be required to </w:t>
            </w:r>
            <w:r w:rsidRPr="00DD7BD1">
              <w:rPr>
                <w:rFonts w:ascii="Calibri" w:hAnsi="Calibri" w:cs="Calibri"/>
                <w:b/>
                <w:bCs/>
                <w:shd w:val="clear" w:color="auto" w:fill="FFFFFF"/>
              </w:rPr>
              <w:t>provide the following written information on employees’ pay stubs</w:t>
            </w:r>
            <w:r w:rsidRPr="00DD7BD1">
              <w:rPr>
                <w:rFonts w:ascii="Calibri" w:hAnsi="Calibri" w:cs="Calibri"/>
                <w:shd w:val="clear" w:color="auto" w:fill="FFFFFF"/>
              </w:rPr>
              <w:t>, whether paper or electronic:</w:t>
            </w:r>
          </w:p>
          <w:p w14:paraId="2C074DD6"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Employer’s business name (as it’s registered with the state), address, and telephone number</w:t>
            </w:r>
          </w:p>
          <w:p w14:paraId="2F41CF14"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Date of payment and the beginning and end dates of the pay period the payment covers</w:t>
            </w:r>
          </w:p>
          <w:p w14:paraId="0AB1FEEC"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rate of pay</w:t>
            </w:r>
          </w:p>
          <w:p w14:paraId="698D503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gross and net pay earned during the pay period</w:t>
            </w:r>
          </w:p>
          <w:p w14:paraId="6D4C3050"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Name and amount of all deductions</w:t>
            </w:r>
          </w:p>
          <w:p w14:paraId="1EE66C71"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List of additional bases of pay (e.g., bonuses or commissions)</w:t>
            </w:r>
          </w:p>
          <w:p w14:paraId="08DAFCC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nonexempt employees, the number of hours they worked during the pay period</w:t>
            </w:r>
          </w:p>
          <w:p w14:paraId="5420FE77"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employees paid on a piece rate basis, the piece rates of pay and the number of pieces completed at each rate</w:t>
            </w:r>
          </w:p>
          <w:p w14:paraId="10CF0B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The state will create a pay stub template for employers to use, though it hasn’t said when it will be made available.</w:t>
            </w:r>
          </w:p>
          <w:p w14:paraId="72009E2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Revise your new hire paperwork to include the new hire notice in </w:t>
            </w:r>
            <w:r w:rsidRPr="00DD7BD1">
              <w:rPr>
                <w:rFonts w:ascii="Calibri" w:hAnsi="Calibri" w:cs="Calibri"/>
                <w:i/>
                <w:iCs/>
                <w:shd w:val="clear" w:color="auto" w:fill="FFFFFF"/>
              </w:rPr>
              <w:t>writing</w:t>
            </w:r>
            <w:r w:rsidRPr="00DD7BD1">
              <w:rPr>
                <w:rFonts w:ascii="Calibri" w:hAnsi="Calibri" w:cs="Calibri"/>
                <w:shd w:val="clear" w:color="auto" w:fill="FFFFFF"/>
              </w:rPr>
              <w:t>. Ensure your pay stubs are modified to contain the specific written information required by the law.</w:t>
            </w:r>
          </w:p>
          <w:p w14:paraId="1CC02CFD"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138AB244"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Military Status Protected (</w:t>
            </w:r>
            <w:hyperlink r:id="rId722" w:tgtFrame="_blank" w:history="1">
              <w:r w:rsidRPr="00DD7BD1">
                <w:rPr>
                  <w:rStyle w:val="Hyperlink"/>
                  <w:rFonts w:ascii="Calibri" w:hAnsi="Calibri" w:cs="Calibri"/>
                  <w:shd w:val="clear" w:color="auto" w:fill="FFFFFF"/>
                </w:rPr>
                <w:t>MD H 598</w:t>
              </w:r>
            </w:hyperlink>
            <w:r w:rsidRPr="00DD7BD1">
              <w:rPr>
                <w:rFonts w:ascii="Calibri" w:hAnsi="Calibri" w:cs="Calibri"/>
                <w:shd w:val="clear" w:color="auto" w:fill="FFFFFF"/>
                <w:lang w:val="en"/>
              </w:rPr>
              <w:t>)</w:t>
            </w:r>
            <w:r w:rsidRPr="00DD7BD1">
              <w:rPr>
                <w:rFonts w:ascii="Calibri" w:hAnsi="Calibri" w:cs="Calibri"/>
                <w:b/>
                <w:bCs/>
                <w:u w:val="single"/>
                <w:shd w:val="clear" w:color="auto" w:fill="FFFFFF"/>
              </w:rPr>
              <w:br/>
            </w:r>
            <w:r w:rsidRPr="00DD7BD1">
              <w:rPr>
                <w:rFonts w:ascii="Calibri" w:hAnsi="Calibri" w:cs="Calibri"/>
                <w:shd w:val="clear" w:color="auto" w:fill="FFFFFF"/>
              </w:rPr>
              <w:t xml:space="preserve">The state has updated its </w:t>
            </w:r>
            <w:r w:rsidRPr="00DD7BD1">
              <w:rPr>
                <w:rFonts w:ascii="Calibri" w:hAnsi="Calibri" w:cs="Calibri"/>
                <w:b/>
                <w:bCs/>
                <w:shd w:val="clear" w:color="auto" w:fill="FFFFFF"/>
              </w:rPr>
              <w:t>antidiscrimination law to include military status</w:t>
            </w:r>
            <w:r w:rsidRPr="00DD7BD1">
              <w:rPr>
                <w:rFonts w:ascii="Calibri" w:hAnsi="Calibri" w:cs="Calibri"/>
                <w:shd w:val="clear" w:color="auto" w:fill="FFFFFF"/>
              </w:rPr>
              <w:t xml:space="preserve"> as a protected category. </w:t>
            </w:r>
            <w:r w:rsidRPr="00DD7BD1">
              <w:rPr>
                <w:rFonts w:ascii="Calibri" w:hAnsi="Calibri" w:cs="Calibri"/>
                <w:i/>
                <w:iCs/>
                <w:shd w:val="clear" w:color="auto" w:fill="FFFFFF"/>
              </w:rPr>
              <w:t>Military status </w:t>
            </w:r>
            <w:r w:rsidRPr="00DD7BD1">
              <w:rPr>
                <w:rFonts w:ascii="Calibri" w:hAnsi="Calibri" w:cs="Calibri"/>
                <w:shd w:val="clear" w:color="auto" w:fill="FFFFFF"/>
              </w:rPr>
              <w:t xml:space="preserve">is defined as being a member of the uniformed services or a reserve component of the U.S. Armed Forces or </w:t>
            </w:r>
            <w:r w:rsidRPr="00DD7BD1">
              <w:rPr>
                <w:rFonts w:ascii="Calibri" w:hAnsi="Calibri" w:cs="Calibri"/>
                <w:b/>
                <w:bCs/>
                <w:shd w:val="clear" w:color="auto" w:fill="FFFFFF"/>
              </w:rPr>
              <w:t>being a servicemember’s dependent</w:t>
            </w:r>
            <w:r w:rsidRPr="00DD7BD1">
              <w:rPr>
                <w:rFonts w:ascii="Calibri" w:hAnsi="Calibri" w:cs="Calibri"/>
                <w:shd w:val="clear" w:color="auto" w:fill="FFFFFF"/>
              </w:rPr>
              <w:t xml:space="preserve">. </w:t>
            </w:r>
          </w:p>
          <w:p w14:paraId="4AE591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Update your Equal Employment Opportunity (EEO) policy, and any other policies that include protected classes, to include military status, if it’s not included already.</w:t>
            </w:r>
          </w:p>
          <w:p w14:paraId="6413664D" w14:textId="77777777" w:rsidR="00A3637F" w:rsidRPr="00DD7BD1" w:rsidRDefault="00A3637F" w:rsidP="00AB648C">
            <w:pPr>
              <w:spacing w:after="0" w:line="240" w:lineRule="auto"/>
              <w:rPr>
                <w:rFonts w:ascii="Calibri" w:hAnsi="Calibri" w:cs="Calibri"/>
                <w:shd w:val="clear" w:color="auto" w:fill="FFFFFF"/>
              </w:rPr>
            </w:pPr>
          </w:p>
          <w:p w14:paraId="574895D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Equal Pay Law Expanded (</w:t>
            </w:r>
            <w:hyperlink r:id="rId723" w:tgtFrame="_blank" w:history="1">
              <w:r w:rsidRPr="00DD7BD1">
                <w:rPr>
                  <w:rStyle w:val="Hyperlink"/>
                  <w:rFonts w:ascii="Calibri" w:hAnsi="Calibri" w:cs="Calibri"/>
                  <w:shd w:val="clear" w:color="auto" w:fill="FFFFFF"/>
                </w:rPr>
                <w:t>MD H 602</w:t>
              </w:r>
            </w:hyperlink>
            <w:r w:rsidRPr="00DD7BD1">
              <w:rPr>
                <w:rFonts w:ascii="Calibri" w:hAnsi="Calibri" w:cs="Calibri"/>
                <w:shd w:val="clear" w:color="auto" w:fill="FFFFFF"/>
                <w:lang w:val="en"/>
              </w:rPr>
              <w:t xml:space="preserve"> &amp; </w:t>
            </w:r>
            <w:hyperlink r:id="rId724" w:tgtFrame="_blank" w:history="1">
              <w:r w:rsidRPr="00DD7BD1">
                <w:rPr>
                  <w:rStyle w:val="Hyperlink"/>
                  <w:rFonts w:ascii="Calibri" w:hAnsi="Calibri" w:cs="Calibri"/>
                  <w:shd w:val="clear" w:color="auto" w:fill="FFFFFF"/>
                </w:rPr>
                <w:t>MD H 1397</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The state’s equal pay law has been expanded to include </w:t>
            </w:r>
            <w:r w:rsidRPr="00DD7BD1">
              <w:rPr>
                <w:rFonts w:ascii="Calibri" w:hAnsi="Calibri" w:cs="Calibri"/>
                <w:b/>
                <w:bCs/>
                <w:shd w:val="clear" w:color="auto" w:fill="FFFFFF"/>
              </w:rPr>
              <w:t>additional protected characteristics</w:t>
            </w:r>
            <w:r w:rsidRPr="00DD7BD1">
              <w:rPr>
                <w:rFonts w:ascii="Calibri" w:hAnsi="Calibri" w:cs="Calibri"/>
                <w:shd w:val="clear" w:color="auto" w:fill="FFFFFF"/>
              </w:rPr>
              <w:t xml:space="preserve">. </w:t>
            </w:r>
          </w:p>
          <w:p w14:paraId="16A9AC08"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will be </w:t>
            </w:r>
            <w:r w:rsidRPr="00DD7BD1">
              <w:rPr>
                <w:rFonts w:ascii="Calibri" w:hAnsi="Calibri" w:cs="Calibri"/>
                <w:b/>
                <w:bCs/>
                <w:shd w:val="clear" w:color="auto" w:fill="FFFFFF"/>
              </w:rPr>
              <w:t>required to ensure equal pay and job opportunities between employees of different sexual orientations, races, and religious beliefs, unless there are bona fide reasons for a discrepancy</w:t>
            </w:r>
            <w:r w:rsidRPr="00DD7BD1">
              <w:rPr>
                <w:rFonts w:ascii="Calibri" w:hAnsi="Calibri" w:cs="Calibri"/>
                <w:shd w:val="clear" w:color="auto" w:fill="FFFFFF"/>
              </w:rPr>
              <w:t>. Additionally, the law specifically prohibits offering less favorable job opportunities to those with disabilities. Previously, sex and gender identity were the only protected characteristics under the state’s equal pay law.</w:t>
            </w:r>
          </w:p>
          <w:p w14:paraId="06396E99"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p>
          <w:p w14:paraId="6454A631" w14:textId="77777777" w:rsidR="00A3637F" w:rsidRPr="00DD7BD1" w:rsidRDefault="00A3637F" w:rsidP="00AB648C">
            <w:pPr>
              <w:spacing w:after="0" w:line="240" w:lineRule="auto"/>
              <w:rPr>
                <w:rFonts w:ascii="Calibri" w:hAnsi="Calibri" w:cs="Calibri"/>
                <w:b/>
                <w:bCs/>
                <w:u w:val="single"/>
                <w:shd w:val="clear" w:color="auto" w:fill="FFFFFF"/>
              </w:rPr>
            </w:pPr>
          </w:p>
          <w:p w14:paraId="1E78920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Paid Family Leave Insurance Program (</w:t>
            </w:r>
            <w:hyperlink r:id="rId725" w:history="1">
              <w:r w:rsidRPr="00DD7BD1">
                <w:rPr>
                  <w:rStyle w:val="Hyperlink"/>
                  <w:rFonts w:ascii="Calibri" w:hAnsi="Calibri" w:cs="Calibri"/>
                  <w:shd w:val="clear" w:color="auto" w:fill="FFFFFF"/>
                </w:rPr>
                <w:t>SB0485</w:t>
              </w:r>
            </w:hyperlink>
            <w:r w:rsidRPr="00DD7BD1">
              <w:rPr>
                <w:rFonts w:ascii="Calibri" w:hAnsi="Calibri" w:cs="Calibri"/>
                <w:color w:val="2E74B5" w:themeColor="accent5" w:themeShade="BF"/>
                <w:shd w:val="clear" w:color="auto" w:fill="FFFFFF"/>
              </w:rPr>
              <w:t>)</w:t>
            </w:r>
          </w:p>
          <w:p w14:paraId="6CC3CB8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Maryland legislators passed  a law modifying the </w:t>
            </w:r>
            <w:r w:rsidRPr="00DD7BD1">
              <w:rPr>
                <w:rFonts w:ascii="Calibri" w:hAnsi="Calibri" w:cs="Calibri"/>
                <w:u w:val="single"/>
                <w:shd w:val="clear" w:color="auto" w:fill="FFFFFF"/>
              </w:rPr>
              <w:t>timeline and deadlines for the Family and Medical Leave Insurance Program</w:t>
            </w:r>
            <w:r w:rsidRPr="00DD7BD1">
              <w:rPr>
                <w:rFonts w:ascii="Calibri" w:hAnsi="Calibri" w:cs="Calibri"/>
                <w:shd w:val="clear" w:color="auto" w:fill="FFFFFF"/>
              </w:rPr>
              <w:t xml:space="preserve"> (“FAMLI”), a program first established in a </w:t>
            </w:r>
            <w:hyperlink r:id="rId726" w:history="1">
              <w:r w:rsidRPr="00DD7BD1">
                <w:rPr>
                  <w:rStyle w:val="Hyperlink"/>
                  <w:rFonts w:ascii="Calibri" w:hAnsi="Calibri" w:cs="Calibri"/>
                  <w:shd w:val="clear" w:color="auto" w:fill="FFFFFF"/>
                </w:rPr>
                <w:t>2022 bill</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 The start date for required contributions changed from October 1, 2024, to </w:t>
            </w:r>
            <w:r w:rsidRPr="00DD7BD1">
              <w:rPr>
                <w:rFonts w:ascii="Calibri" w:hAnsi="Calibri" w:cs="Calibri"/>
                <w:b/>
                <w:bCs/>
                <w:shd w:val="clear" w:color="auto" w:fill="FFFFFF"/>
              </w:rPr>
              <w:t>July 1, 2025</w:t>
            </w:r>
            <w:r w:rsidRPr="00DD7BD1">
              <w:rPr>
                <w:rFonts w:ascii="Calibri" w:hAnsi="Calibri" w:cs="Calibri"/>
                <w:shd w:val="clear" w:color="auto" w:fill="FFFFFF"/>
              </w:rPr>
              <w:t>. This means payroll deductions will begin on July 1, 2025, and employers will remit the first payment in October 2025</w:t>
            </w:r>
          </w:p>
          <w:p w14:paraId="5E250997" w14:textId="77777777" w:rsidR="00CD70B8" w:rsidRPr="00DD7BD1" w:rsidRDefault="00CD70B8" w:rsidP="00AB648C">
            <w:pPr>
              <w:spacing w:after="0" w:line="240" w:lineRule="auto"/>
              <w:rPr>
                <w:rFonts w:ascii="Calibri" w:hAnsi="Calibri" w:cs="Calibri"/>
                <w:shd w:val="clear" w:color="auto" w:fill="FFFFFF"/>
              </w:rPr>
            </w:pPr>
          </w:p>
          <w:p w14:paraId="4DEDD38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Maryland Adopts Heat Stress Standards – </w:t>
            </w:r>
            <w:r w:rsidRPr="00DD7BD1">
              <w:rPr>
                <w:rFonts w:ascii="Calibri" w:hAnsi="Calibri" w:cs="Calibri"/>
                <w:b/>
                <w:bCs/>
                <w:color w:val="C00000"/>
                <w:sz w:val="28"/>
                <w:szCs w:val="28"/>
                <w:shd w:val="clear" w:color="auto" w:fill="FFFFFF"/>
              </w:rPr>
              <w:t>September 20, 2024</w:t>
            </w:r>
          </w:p>
          <w:p w14:paraId="37D99F1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w:t>
            </w:r>
            <w:hyperlink r:id="rId727" w:anchor="_Toc177385268" w:tgtFrame="_blank" w:history="1">
              <w:r w:rsidRPr="00DD7BD1">
                <w:rPr>
                  <w:rStyle w:val="Hyperlink"/>
                  <w:rFonts w:ascii="Calibri" w:hAnsi="Calibri" w:cs="Calibri"/>
                  <w:shd w:val="clear" w:color="auto" w:fill="FFFFFF"/>
                </w:rPr>
                <w:t>Heat Stress Standards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were published in the Maryland Register on September 20, 2024. To read the full text of the adopted standards, see the </w:t>
            </w:r>
            <w:hyperlink r:id="rId728" w:anchor="_Toc172634334" w:tgtFrame="_blank" w:history="1">
              <w:r w:rsidRPr="00DD7BD1">
                <w:rPr>
                  <w:rStyle w:val="Hyperlink"/>
                  <w:rFonts w:ascii="Calibri" w:hAnsi="Calibri" w:cs="Calibri"/>
                  <w:shd w:val="clear" w:color="auto" w:fill="FFFFFF"/>
                </w:rPr>
                <w:t>Notice of Proposed Action 24-081-P</w:t>
              </w:r>
            </w:hyperlink>
            <w:r w:rsidRPr="00DD7BD1">
              <w:rPr>
                <w:rFonts w:ascii="Calibri" w:hAnsi="Calibri" w:cs="Calibri"/>
                <w:color w:val="2E74B5" w:themeColor="accent5" w:themeShade="BF"/>
                <w:shd w:val="clear" w:color="auto" w:fill="FFFFFF"/>
              </w:rPr>
              <w:t>.</w:t>
            </w:r>
          </w:p>
        </w:tc>
      </w:tr>
    </w:tbl>
    <w:p w14:paraId="4441CE77" w14:textId="77777777" w:rsidR="00A3637F" w:rsidRPr="00DD7BD1" w:rsidRDefault="00A3637F" w:rsidP="001C5F42">
      <w:pPr>
        <w:spacing w:after="0" w:line="240" w:lineRule="auto"/>
        <w:jc w:val="center"/>
        <w:rPr>
          <w:rFonts w:ascii="Calibri" w:hAnsi="Calibri" w:cs="Calibri"/>
          <w:b/>
          <w:bCs/>
          <w:sz w:val="28"/>
          <w:szCs w:val="28"/>
          <w:shd w:val="clear" w:color="auto" w:fill="FFFFFF"/>
        </w:rPr>
      </w:pPr>
    </w:p>
    <w:p w14:paraId="3A72F757" w14:textId="6C8BA4E5"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Prohibits Vaping in the Workplace – </w:t>
      </w:r>
      <w:r w:rsidRPr="00DD7BD1">
        <w:rPr>
          <w:rFonts w:ascii="Calibri" w:hAnsi="Calibri" w:cs="Calibri"/>
          <w:b/>
          <w:bCs/>
          <w:color w:val="C00000"/>
          <w:sz w:val="28"/>
          <w:szCs w:val="28"/>
          <w:shd w:val="clear" w:color="auto" w:fill="FFFFFF"/>
        </w:rPr>
        <w:t>July 1, 2024</w:t>
      </w:r>
    </w:p>
    <w:p w14:paraId="67879646"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Effective July 1, 2024, Maryland’s Clean Indoor Air Act will be expanded to prohibit vaping in almost all indoor places of employment. </w:t>
      </w:r>
      <w:r w:rsidRPr="00DD7BD1">
        <w:rPr>
          <w:rFonts w:ascii="Calibri" w:hAnsi="Calibri" w:cs="Calibri"/>
          <w:i/>
          <w:iCs/>
          <w:shd w:val="clear" w:color="auto" w:fill="FFFFFF"/>
        </w:rPr>
        <w:t>Vaping </w:t>
      </w:r>
      <w:r w:rsidRPr="00DD7BD1">
        <w:rPr>
          <w:rFonts w:ascii="Calibri" w:hAnsi="Calibri" w:cs="Calibri"/>
          <w:shd w:val="clear" w:color="auto" w:fill="FFFFFF"/>
        </w:rPr>
        <w:t xml:space="preserve">includes using any electronic smoking device or other device that allows the user to inhale aerosol tobacco, cannabis, or hemp. Employers are required to post a sign that says “NO SMOKING OR VAPING” near every </w:t>
      </w:r>
      <w:r w:rsidRPr="00DD7BD1">
        <w:rPr>
          <w:rFonts w:ascii="Calibri" w:hAnsi="Calibri" w:cs="Calibri"/>
          <w:b/>
          <w:bCs/>
          <w:shd w:val="clear" w:color="auto" w:fill="FFFFFF"/>
        </w:rPr>
        <w:t xml:space="preserve">public </w:t>
      </w:r>
      <w:r w:rsidRPr="00DD7BD1">
        <w:rPr>
          <w:rFonts w:ascii="Calibri" w:hAnsi="Calibri" w:cs="Calibri"/>
          <w:shd w:val="clear" w:color="auto" w:fill="FFFFFF"/>
        </w:rPr>
        <w:t xml:space="preserve">entrance to their place of employment. </w:t>
      </w:r>
      <w:hyperlink r:id="rId729" w:tgtFrame="_blank" w:history="1">
        <w:r w:rsidRPr="00DD7BD1">
          <w:rPr>
            <w:rStyle w:val="Hyperlink"/>
            <w:rFonts w:ascii="Calibri" w:hAnsi="Calibri" w:cs="Calibri"/>
            <w:shd w:val="clear" w:color="auto" w:fill="FFFFFF"/>
          </w:rPr>
          <w:t>MD H 238</w:t>
        </w:r>
      </w:hyperlink>
      <w:r w:rsidRPr="00DD7BD1">
        <w:rPr>
          <w:rFonts w:ascii="Calibri" w:hAnsi="Calibri" w:cs="Calibri"/>
          <w:shd w:val="clear" w:color="auto" w:fill="FFFFFF"/>
        </w:rPr>
        <w:t> </w:t>
      </w:r>
    </w:p>
    <w:p w14:paraId="21B1BB81" w14:textId="77777777" w:rsidR="001C5F42" w:rsidRPr="00DD7BD1" w:rsidRDefault="001C5F42" w:rsidP="001C5F42">
      <w:pPr>
        <w:spacing w:after="0" w:line="240" w:lineRule="auto"/>
        <w:jc w:val="center"/>
        <w:rPr>
          <w:rFonts w:ascii="Calibri" w:hAnsi="Calibri" w:cs="Calibri"/>
          <w:b/>
          <w:bCs/>
          <w:shd w:val="clear" w:color="auto" w:fill="FFFFFF"/>
        </w:rPr>
      </w:pPr>
    </w:p>
    <w:p w14:paraId="4F3093FF" w14:textId="4BFF717E"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Montgomery County Increases Minimum Wage </w:t>
      </w:r>
      <w:r w:rsidRPr="00DD7BD1">
        <w:rPr>
          <w:rFonts w:ascii="Calibri" w:hAnsi="Calibri" w:cs="Calibri"/>
          <w:b/>
          <w:bCs/>
          <w:color w:val="C00000"/>
          <w:sz w:val="28"/>
          <w:szCs w:val="28"/>
          <w:shd w:val="clear" w:color="auto" w:fill="FFFFFF"/>
        </w:rPr>
        <w:t>– July 1, 2024</w:t>
      </w:r>
    </w:p>
    <w:p w14:paraId="15AA7CE0"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2024, the minimum hourly wage in Montgomery County will increase as follows: </w:t>
      </w:r>
    </w:p>
    <w:p w14:paraId="48854BA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1–10 employees: $15</w:t>
      </w:r>
    </w:p>
    <w:p w14:paraId="3CB535CB"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11–50 employees: $15.50</w:t>
      </w:r>
    </w:p>
    <w:p w14:paraId="0EDD6F96"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51 or more employees: $17.15</w:t>
      </w:r>
    </w:p>
    <w:p w14:paraId="600E81D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is tax exempt under § 501(c)(3): $15.50</w:t>
      </w:r>
    </w:p>
    <w:p w14:paraId="2798FA37"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provides </w:t>
      </w:r>
      <w:r w:rsidRPr="00DD7BD1">
        <w:rPr>
          <w:rFonts w:ascii="Calibri" w:hAnsi="Calibri" w:cs="Calibri"/>
          <w:i/>
          <w:iCs/>
          <w:shd w:val="clear" w:color="auto" w:fill="FFFFFF"/>
        </w:rPr>
        <w:t>home health services</w:t>
      </w:r>
      <w:r w:rsidRPr="00DD7BD1">
        <w:rPr>
          <w:rFonts w:ascii="Calibri" w:hAnsi="Calibri" w:cs="Calibri"/>
          <w:shd w:val="clear" w:color="auto" w:fill="FFFFFF"/>
        </w:rPr>
        <w:t> or </w:t>
      </w:r>
      <w:r w:rsidRPr="00DD7BD1">
        <w:rPr>
          <w:rFonts w:ascii="Calibri" w:hAnsi="Calibri" w:cs="Calibri"/>
          <w:i/>
          <w:iCs/>
          <w:shd w:val="clear" w:color="auto" w:fill="FFFFFF"/>
        </w:rPr>
        <w:t>home or community-based services</w:t>
      </w:r>
      <w:r w:rsidRPr="00DD7BD1">
        <w:rPr>
          <w:rFonts w:ascii="Calibri" w:hAnsi="Calibri" w:cs="Calibri"/>
          <w:shd w:val="clear" w:color="auto" w:fill="FFFFFF"/>
        </w:rPr>
        <w:t> (as defined by </w:t>
      </w:r>
      <w:hyperlink r:id="rId730" w:tgtFrame="_blank" w:history="1">
        <w:r w:rsidRPr="00DD7BD1">
          <w:rPr>
            <w:rStyle w:val="Hyperlink"/>
            <w:rFonts w:ascii="Calibri" w:hAnsi="Calibri" w:cs="Calibri"/>
            <w:shd w:val="clear" w:color="auto" w:fill="FFFFFF"/>
          </w:rPr>
          <w:t>federal law</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and receives at least 75% of gross revenues through Medicaid: $15.50</w:t>
      </w:r>
    </w:p>
    <w:p w14:paraId="32C3DE48"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minimum base wage for tipped employees remains $4 per hour.</w:t>
      </w:r>
    </w:p>
    <w:p w14:paraId="1F3342E1" w14:textId="77777777" w:rsidR="001C5F42" w:rsidRPr="00DD7BD1" w:rsidRDefault="001C5F42" w:rsidP="001C5F42">
      <w:p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More information can be found </w:t>
      </w:r>
      <w:hyperlink r:id="rId731" w:anchor="Transition" w:tgtFrame="_blank" w:history="1">
        <w:r w:rsidRPr="00DD7BD1">
          <w:rPr>
            <w:rStyle w:val="Hyperlink"/>
            <w:rFonts w:ascii="Calibri" w:hAnsi="Calibri" w:cs="Calibri"/>
            <w:shd w:val="clear" w:color="auto" w:fill="FFFFFF"/>
          </w:rPr>
          <w:t>here</w:t>
        </w:r>
      </w:hyperlink>
      <w:r w:rsidRPr="00DD7BD1">
        <w:rPr>
          <w:rFonts w:ascii="Calibri" w:hAnsi="Calibri" w:cs="Calibri"/>
          <w:color w:val="2E74B5" w:themeColor="accent5" w:themeShade="BF"/>
          <w:shd w:val="clear" w:color="auto" w:fill="FFFFFF"/>
        </w:rPr>
        <w:t>.</w:t>
      </w:r>
    </w:p>
    <w:p w14:paraId="2FB5093F"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1D6A262F" w14:textId="4BDBCA4A" w:rsidR="00472E17" w:rsidRPr="00DD7BD1" w:rsidRDefault="00472E17" w:rsidP="00472E17">
      <w:pPr>
        <w:pStyle w:val="Heading1"/>
        <w:shd w:val="clear" w:color="auto" w:fill="FFFFFF"/>
        <w:spacing w:before="0" w:beforeAutospacing="0" w:after="0" w:afterAutospacing="0" w:line="264" w:lineRule="atLeast"/>
        <w:jc w:val="center"/>
        <w:rPr>
          <w:rStyle w:val="Strong"/>
          <w:rFonts w:ascii="Calibri" w:hAnsi="Calibri" w:cs="Calibri"/>
          <w:b/>
          <w:bCs/>
          <w:kern w:val="0"/>
          <w:sz w:val="28"/>
          <w:szCs w:val="28"/>
        </w:rPr>
      </w:pPr>
      <w:r w:rsidRPr="00DD7BD1">
        <w:rPr>
          <w:rStyle w:val="Strong"/>
          <w:rFonts w:ascii="Calibri" w:hAnsi="Calibri" w:cs="Calibri"/>
          <w:b/>
          <w:bCs/>
          <w:kern w:val="0"/>
          <w:sz w:val="28"/>
          <w:szCs w:val="28"/>
        </w:rPr>
        <w:t>FAQs Released - State’s Paid Family and Medical Leave Insurance Program</w:t>
      </w:r>
    </w:p>
    <w:p w14:paraId="0C4797F1" w14:textId="77777777" w:rsidR="00472E17" w:rsidRPr="00DD7BD1" w:rsidRDefault="00472E17" w:rsidP="00472E1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Maryland Department of Labor’s Division of Family and Medical Leave Insurance (FAMLI) has released a detailed </w:t>
      </w:r>
      <w:hyperlink r:id="rId732" w:tgtFrame="_blank" w:history="1">
        <w:r w:rsidRPr="00DD7BD1">
          <w:rPr>
            <w:rStyle w:val="Hyperlink"/>
            <w:rFonts w:ascii="Calibri" w:eastAsia="Times New Roman" w:hAnsi="Calibri" w:cs="Calibri"/>
            <w:szCs w:val="20"/>
          </w:rPr>
          <w:t>FAQ document</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addressing 59 questions surrounding the new paid family and medical leave system that is (now) slated to launch in 2026.</w:t>
      </w:r>
    </w:p>
    <w:p w14:paraId="6256FCB1" w14:textId="77777777" w:rsidR="0073426F" w:rsidRPr="00DD7BD1" w:rsidRDefault="0073426F" w:rsidP="00472E17">
      <w:pPr>
        <w:spacing w:after="0" w:line="240" w:lineRule="auto"/>
        <w:jc w:val="both"/>
        <w:rPr>
          <w:rFonts w:ascii="Calibri" w:hAnsi="Calibri" w:cs="Calibri"/>
          <w:spacing w:val="3"/>
          <w:sz w:val="16"/>
          <w:szCs w:val="16"/>
          <w:shd w:val="clear" w:color="auto" w:fill="FFFFFF"/>
        </w:rPr>
      </w:pPr>
    </w:p>
    <w:p w14:paraId="4C72F541" w14:textId="77777777" w:rsidR="0073426F" w:rsidRPr="00DD7BD1" w:rsidRDefault="0073426F" w:rsidP="0073426F">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Maryland Passes </w:t>
      </w:r>
      <w:bookmarkStart w:id="101" w:name="_Hlk167191983"/>
      <w:r w:rsidRPr="00DD7BD1">
        <w:rPr>
          <w:rFonts w:ascii="Calibri" w:hAnsi="Calibri" w:cs="Calibri"/>
          <w:sz w:val="28"/>
          <w:szCs w:val="28"/>
        </w:rPr>
        <w:t>Pay Transparency Law</w:t>
      </w:r>
    </w:p>
    <w:bookmarkEnd w:id="101"/>
    <w:p w14:paraId="71379FB8"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 xml:space="preserve">Maryland Governor Wes Moore signed a pay transparency requirement into law on April 25, 2024, requiring that all employers in Maryland include wage ranges and benefit information in all job postings as of </w:t>
      </w:r>
      <w:r w:rsidRPr="00DD7BD1">
        <w:rPr>
          <w:rFonts w:ascii="Calibri" w:hAnsi="Calibri" w:cs="Calibri"/>
          <w:color w:val="C00000"/>
          <w:sz w:val="22"/>
          <w:szCs w:val="22"/>
        </w:rPr>
        <w:t>October 1, 2024</w:t>
      </w:r>
      <w:r w:rsidRPr="00DD7BD1">
        <w:rPr>
          <w:rFonts w:ascii="Calibri" w:hAnsi="Calibri" w:cs="Calibri"/>
          <w:color w:val="333333"/>
          <w:sz w:val="22"/>
          <w:szCs w:val="22"/>
        </w:rPr>
        <w:t>.</w:t>
      </w:r>
    </w:p>
    <w:p w14:paraId="7DF73F44"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16"/>
          <w:szCs w:val="16"/>
        </w:rPr>
      </w:pPr>
    </w:p>
    <w:p w14:paraId="1143036D" w14:textId="77777777" w:rsidR="0073426F" w:rsidRPr="00DD7BD1" w:rsidRDefault="0073426F" w:rsidP="0073426F">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sz w:val="22"/>
          <w:szCs w:val="22"/>
          <w:shd w:val="clear" w:color="auto" w:fill="FFFFFF"/>
        </w:rPr>
        <w:t>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DD7BD1" w:rsidRDefault="0073426F" w:rsidP="00503F70">
      <w:pPr>
        <w:pStyle w:val="NormalWeb"/>
        <w:shd w:val="clear" w:color="auto" w:fill="FFFFFF"/>
        <w:spacing w:before="0" w:beforeAutospacing="0" w:after="150" w:afterAutospacing="0"/>
        <w:rPr>
          <w:rStyle w:val="Strong"/>
          <w:rFonts w:ascii="Calibri" w:hAnsi="Calibri" w:cs="Calibri"/>
          <w:b w:val="0"/>
          <w:bCs w:val="0"/>
          <w:color w:val="333333"/>
          <w:sz w:val="22"/>
          <w:szCs w:val="22"/>
        </w:rPr>
      </w:pPr>
      <w:bookmarkStart w:id="102" w:name="_Hlk167191976"/>
      <w:r w:rsidRPr="00DD7BD1">
        <w:rPr>
          <w:rFonts w:ascii="Calibri" w:hAnsi="Calibri" w:cs="Calibri"/>
          <w:color w:val="000000" w:themeColor="text1"/>
          <w:sz w:val="22"/>
          <w:szCs w:val="22"/>
        </w:rPr>
        <w:t>The law, </w:t>
      </w:r>
      <w:hyperlink r:id="rId733" w:tgtFrame="_blank" w:history="1">
        <w:r w:rsidRPr="00DD7BD1">
          <w:rPr>
            <w:rStyle w:val="Hyperlink"/>
            <w:rFonts w:ascii="Calibri" w:hAnsi="Calibri" w:cs="Calibri"/>
            <w:color w:val="3052DA"/>
            <w:sz w:val="22"/>
            <w:szCs w:val="22"/>
          </w:rPr>
          <w:t>Equal Pay for Equal Work – Wage Range Transparency</w:t>
        </w:r>
      </w:hyperlink>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will go into effect on </w:t>
      </w:r>
      <w:r w:rsidRPr="00DD7BD1">
        <w:rPr>
          <w:rFonts w:ascii="Calibri" w:hAnsi="Calibri" w:cs="Calibri"/>
          <w:color w:val="C00000"/>
          <w:sz w:val="22"/>
          <w:szCs w:val="22"/>
        </w:rPr>
        <w:t>October 1, 2024</w:t>
      </w:r>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102"/>
      <w:r w:rsidRPr="00DD7BD1">
        <w:rPr>
          <w:rFonts w:ascii="Calibri" w:hAnsi="Calibri" w:cs="Calibri"/>
          <w:color w:val="000000" w:themeColor="text1"/>
          <w:sz w:val="22"/>
          <w:szCs w:val="22"/>
        </w:rPr>
        <w:t>The new Maryland requirements are in addition to the state’s existing pay equity legislation, including </w:t>
      </w:r>
      <w:hyperlink r:id="rId734" w:tgtFrame="_blank" w:history="1">
        <w:r w:rsidRPr="00DD7BD1">
          <w:rPr>
            <w:rStyle w:val="Hyperlink"/>
            <w:rFonts w:ascii="Calibri" w:hAnsi="Calibri" w:cs="Calibri"/>
            <w:color w:val="3052DA"/>
            <w:sz w:val="22"/>
            <w:szCs w:val="22"/>
          </w:rPr>
          <w:t>a salary history ban and a pay range upon request requirement</w:t>
        </w:r>
      </w:hyperlink>
      <w:r w:rsidRPr="00DD7BD1">
        <w:rPr>
          <w:rFonts w:ascii="Calibri" w:hAnsi="Calibri" w:cs="Calibri"/>
          <w:color w:val="000000" w:themeColor="text1"/>
          <w:sz w:val="22"/>
          <w:szCs w:val="22"/>
        </w:rPr>
        <w:t>, both passed in 2020.</w:t>
      </w:r>
    </w:p>
    <w:p w14:paraId="06C955F5" w14:textId="104FCD3A"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Coverage Under the Law</w:t>
      </w:r>
    </w:p>
    <w:p w14:paraId="74F35C69"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also applies to any solicitation intended to recruit applicants for a specific position, which includes indirect recruitment through a third party. For example, if an employer utilizes a recruiting agency, the agency would also need to include the necessary disclosures in its advertisements.</w:t>
      </w:r>
    </w:p>
    <w:p w14:paraId="52AB8852" w14:textId="77777777" w:rsidR="001C5F42" w:rsidRPr="00DD7BD1" w:rsidRDefault="001C5F42" w:rsidP="0073426F">
      <w:pPr>
        <w:pStyle w:val="NormalWeb"/>
        <w:shd w:val="clear" w:color="auto" w:fill="FFFFFF"/>
        <w:spacing w:before="0" w:beforeAutospacing="0" w:after="0" w:afterAutospacing="0"/>
        <w:rPr>
          <w:rFonts w:ascii="Calibri" w:hAnsi="Calibri" w:cs="Calibri"/>
          <w:color w:val="000000" w:themeColor="text1"/>
          <w:sz w:val="22"/>
          <w:szCs w:val="22"/>
        </w:rPr>
      </w:pPr>
    </w:p>
    <w:p w14:paraId="50F3B435" w14:textId="230ABE50" w:rsidR="001C5F42" w:rsidRPr="00DD7BD1" w:rsidRDefault="001C5F42" w:rsidP="001C5F42">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Massachusetts</w:t>
      </w:r>
    </w:p>
    <w:p w14:paraId="7F562ACC" w14:textId="77777777" w:rsidR="00F97C8D" w:rsidRPr="00DD7BD1" w:rsidRDefault="00952198" w:rsidP="00F97C8D">
      <w:pPr>
        <w:spacing w:after="0" w:line="240" w:lineRule="auto"/>
        <w:jc w:val="center"/>
        <w:rPr>
          <w:rFonts w:ascii="Calibri" w:hAnsi="Calibri" w:cs="Calibri"/>
          <w:b/>
          <w:bCs/>
          <w:color w:val="2E74B5" w:themeColor="accent5" w:themeShade="BF"/>
          <w:sz w:val="28"/>
          <w:szCs w:val="28"/>
          <w:shd w:val="clear" w:color="auto" w:fill="FFFFFF"/>
          <w:lang w:val="en"/>
        </w:rPr>
      </w:pPr>
      <w:bookmarkStart w:id="103" w:name="_Hlk205278028"/>
      <w:bookmarkStart w:id="104" w:name="_Hlk209768819"/>
      <w:r w:rsidRPr="00DD7BD1">
        <w:rPr>
          <w:rFonts w:ascii="Calibri" w:hAnsi="Calibri" w:cs="Calibri"/>
          <w:b/>
          <w:bCs/>
          <w:sz w:val="28"/>
          <w:szCs w:val="28"/>
          <w:shd w:val="clear" w:color="auto" w:fill="FFFFFF"/>
        </w:rPr>
        <w:t xml:space="preserve">Reminder: </w:t>
      </w:r>
      <w:r w:rsidR="00F97C8D" w:rsidRPr="00DD7BD1">
        <w:rPr>
          <w:rFonts w:ascii="Calibri" w:hAnsi="Calibri" w:cs="Calibri"/>
          <w:b/>
          <w:bCs/>
          <w:sz w:val="28"/>
          <w:szCs w:val="28"/>
          <w:shd w:val="clear" w:color="auto" w:fill="FFFFFF"/>
          <w:lang w:val="en"/>
        </w:rPr>
        <w:t>State EEO Wage &amp; Workforce Data Reporting</w:t>
      </w:r>
      <w:r w:rsidR="00F97C8D" w:rsidRPr="00DD7BD1">
        <w:rPr>
          <w:rFonts w:ascii="Calibri" w:hAnsi="Calibri" w:cs="Calibri"/>
          <w:b/>
          <w:bCs/>
          <w:color w:val="2E74B5" w:themeColor="accent5" w:themeShade="BF"/>
          <w:sz w:val="28"/>
          <w:szCs w:val="28"/>
          <w:shd w:val="clear" w:color="auto" w:fill="FFFFFF"/>
          <w:lang w:val="en"/>
        </w:rPr>
        <w:t xml:space="preserve"> </w:t>
      </w:r>
      <w:r w:rsidR="00F97C8D" w:rsidRPr="00DD7BD1">
        <w:rPr>
          <w:rFonts w:ascii="Calibri" w:hAnsi="Calibri" w:cs="Calibri"/>
          <w:b/>
          <w:bCs/>
          <w:color w:val="C00000"/>
          <w:sz w:val="28"/>
          <w:szCs w:val="28"/>
          <w:shd w:val="clear" w:color="auto" w:fill="FFFFFF"/>
          <w:lang w:val="en"/>
        </w:rPr>
        <w:t>Due Feb 1, 2026</w:t>
      </w:r>
    </w:p>
    <w:p w14:paraId="5EE5D6F2" w14:textId="2230A0CF"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Covered employers are</w:t>
      </w:r>
      <w:r w:rsidRPr="00DD7BD1">
        <w:rPr>
          <w:rFonts w:ascii="Calibri" w:hAnsi="Calibri" w:cs="Calibri"/>
          <w:color w:val="2E74B5" w:themeColor="accent5" w:themeShade="BF"/>
          <w:shd w:val="clear" w:color="auto" w:fill="FFFFFF"/>
        </w:rPr>
        <w:t> </w:t>
      </w:r>
      <w:hyperlink r:id="rId735" w:tgtFrame="_blank" w:history="1">
        <w:r w:rsidRPr="00DD7BD1">
          <w:rPr>
            <w:rStyle w:val="Hyperlink"/>
            <w:rFonts w:ascii="Calibri" w:hAnsi="Calibri" w:cs="Calibri"/>
            <w:shd w:val="clear" w:color="auto" w:fill="FFFFFF"/>
          </w:rPr>
          <w:t>required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to file their federal EEO-1 Reports with the Secretary of the Commonwealth of Massachusetts by filing deadline is February 2 (for 2026, as February1 falls on a weekend).   </w:t>
      </w:r>
    </w:p>
    <w:p w14:paraId="3273F30F" w14:textId="77777777" w:rsidR="00F97C8D" w:rsidRPr="00DD7BD1" w:rsidRDefault="00F97C8D" w:rsidP="00F97C8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Applicability: </w:t>
      </w:r>
      <w:r w:rsidRPr="00DD7BD1">
        <w:rPr>
          <w:rFonts w:ascii="Calibri" w:hAnsi="Calibri" w:cs="Calibri"/>
          <w:shd w:val="clear" w:color="auto" w:fill="FFFFFF"/>
        </w:rPr>
        <w:t>Employers are subject to this requirement if they</w:t>
      </w:r>
    </w:p>
    <w:p w14:paraId="25404491"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Have 100 or more employees with a primary place of work in the Commonwealth, </w:t>
      </w:r>
      <w:r w:rsidRPr="00DD7BD1">
        <w:rPr>
          <w:rFonts w:ascii="Calibri" w:hAnsi="Calibri" w:cs="Calibri"/>
          <w:i/>
          <w:iCs/>
          <w:shd w:val="clear" w:color="auto" w:fill="FFFFFF"/>
        </w:rPr>
        <w:t>and</w:t>
      </w:r>
    </w:p>
    <w:p w14:paraId="2D933868"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file a federal EEO Report.</w:t>
      </w:r>
    </w:p>
    <w:p w14:paraId="03E7BD6F" w14:textId="77777777" w:rsidR="00F97C8D" w:rsidRPr="00DD7BD1" w:rsidRDefault="00F97C8D" w:rsidP="00F97C8D">
      <w:pPr>
        <w:spacing w:after="0" w:line="240" w:lineRule="auto"/>
        <w:rPr>
          <w:rFonts w:ascii="Calibri" w:hAnsi="Calibri" w:cs="Calibri"/>
          <w:sz w:val="16"/>
          <w:szCs w:val="16"/>
          <w:shd w:val="clear" w:color="auto" w:fill="FFFFFF"/>
        </w:rPr>
      </w:pPr>
    </w:p>
    <w:p w14:paraId="6C5B0205" w14:textId="77777777"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As a reminder, employers with</w:t>
      </w:r>
      <w:r w:rsidRPr="00DD7BD1">
        <w:rPr>
          <w:rFonts w:ascii="Calibri" w:hAnsi="Calibri" w:cs="Calibri"/>
          <w:u w:val="single"/>
          <w:shd w:val="clear" w:color="auto" w:fill="FFFFFF"/>
        </w:rPr>
        <w:t xml:space="preserve"> at least 25 Massachusetts employees</w:t>
      </w:r>
      <w:r w:rsidRPr="00DD7BD1">
        <w:rPr>
          <w:rFonts w:ascii="Calibri" w:hAnsi="Calibri" w:cs="Calibri"/>
          <w:shd w:val="clear" w:color="auto" w:fill="FFFFFF"/>
        </w:rPr>
        <w:t xml:space="preserve"> must </w:t>
      </w:r>
      <w:r w:rsidRPr="00DD7BD1">
        <w:rPr>
          <w:rFonts w:ascii="Calibri" w:hAnsi="Calibri" w:cs="Calibri"/>
          <w:u w:val="single"/>
          <w:shd w:val="clear" w:color="auto" w:fill="FFFFFF"/>
        </w:rPr>
        <w:t xml:space="preserve">also disclose pay ranges in job postings </w:t>
      </w:r>
      <w:r w:rsidRPr="00DD7BD1">
        <w:rPr>
          <w:rFonts w:ascii="Calibri" w:hAnsi="Calibri" w:cs="Calibri"/>
          <w:shd w:val="clear" w:color="auto" w:fill="FFFFFF"/>
        </w:rPr>
        <w:t>and at the time an individual applies for a promotion or transfer, starts a new position, or requests the range for the current position. This requirement went into effect in October 2025.</w:t>
      </w:r>
    </w:p>
    <w:p w14:paraId="7A696A95" w14:textId="77777777" w:rsidR="00F97C8D" w:rsidRPr="00DD7BD1" w:rsidRDefault="00F97C8D" w:rsidP="00F97C8D">
      <w:pPr>
        <w:spacing w:after="0" w:line="240" w:lineRule="auto"/>
        <w:rPr>
          <w:rFonts w:ascii="Calibri" w:hAnsi="Calibri" w:cs="Calibri"/>
          <w:b/>
          <w:bCs/>
          <w:sz w:val="16"/>
          <w:szCs w:val="16"/>
          <w:shd w:val="clear" w:color="auto" w:fill="FFFFFF"/>
        </w:rPr>
      </w:pPr>
    </w:p>
    <w:p w14:paraId="2875886B" w14:textId="58F87964" w:rsidR="00952198" w:rsidRPr="00DD7BD1" w:rsidRDefault="00F97C8D" w:rsidP="00F97C8D">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Resources: </w:t>
      </w:r>
      <w:r w:rsidRPr="00DD7BD1">
        <w:rPr>
          <w:rFonts w:ascii="Calibri" w:hAnsi="Calibri" w:cs="Calibri"/>
          <w:shd w:val="clear" w:color="auto" w:fill="FFFFFF"/>
        </w:rPr>
        <w:t>The Attorney General’s office has provided </w:t>
      </w:r>
      <w:hyperlink r:id="rId736" w:tgtFrame="_blank" w:history="1">
        <w:r w:rsidRPr="00DD7BD1">
          <w:rPr>
            <w:rStyle w:val="Hyperlink"/>
            <w:rFonts w:ascii="Calibri" w:hAnsi="Calibri" w:cs="Calibri"/>
            <w:shd w:val="clear" w:color="auto" w:fill="FFFFFF"/>
          </w:rPr>
          <w:t>guidance</w:t>
        </w:r>
      </w:hyperlink>
      <w:r w:rsidRPr="00DD7BD1">
        <w:rPr>
          <w:rFonts w:ascii="Calibri" w:hAnsi="Calibri" w:cs="Calibri"/>
          <w:shd w:val="clear" w:color="auto" w:fill="FFFFFF"/>
        </w:rPr>
        <w:t> and</w:t>
      </w:r>
      <w:r w:rsidRPr="00DD7BD1">
        <w:rPr>
          <w:rFonts w:ascii="Calibri" w:hAnsi="Calibri" w:cs="Calibri"/>
          <w:color w:val="2E74B5" w:themeColor="accent5" w:themeShade="BF"/>
          <w:shd w:val="clear" w:color="auto" w:fill="FFFFFF"/>
        </w:rPr>
        <w:t> </w:t>
      </w:r>
      <w:hyperlink r:id="rId737"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to help employers interpret this statute, and th</w:t>
      </w:r>
      <w:r w:rsidRPr="00DD7BD1">
        <w:rPr>
          <w:rFonts w:ascii="Calibri" w:hAnsi="Calibri" w:cs="Calibri"/>
          <w:color w:val="2E74B5" w:themeColor="accent5" w:themeShade="BF"/>
          <w:shd w:val="clear" w:color="auto" w:fill="FFFFFF"/>
        </w:rPr>
        <w:t>e </w:t>
      </w:r>
      <w:hyperlink r:id="rId738" w:tgtFrame="_blank" w:history="1">
        <w:r w:rsidRPr="00DD7BD1">
          <w:rPr>
            <w:rStyle w:val="Hyperlink"/>
            <w:rFonts w:ascii="Calibri" w:hAnsi="Calibri" w:cs="Calibri"/>
            <w:shd w:val="clear" w:color="auto" w:fill="FFFFFF"/>
          </w:rPr>
          <w:t>filing portal</w:t>
        </w:r>
      </w:hyperlink>
      <w:r w:rsidRPr="00DD7BD1">
        <w:rPr>
          <w:rFonts w:ascii="Calibri" w:hAnsi="Calibri" w:cs="Calibri"/>
          <w:shd w:val="clear" w:color="auto" w:fill="FFFFFF"/>
        </w:rPr>
        <w:t> is open.</w:t>
      </w:r>
    </w:p>
    <w:p w14:paraId="66E1C458" w14:textId="77777777" w:rsidR="00F97C8D" w:rsidRPr="00DD7BD1" w:rsidRDefault="00F97C8D" w:rsidP="00F97C8D">
      <w:pPr>
        <w:spacing w:after="0" w:line="240" w:lineRule="auto"/>
        <w:rPr>
          <w:rFonts w:ascii="Calibri" w:hAnsi="Calibri" w:cs="Calibri"/>
          <w:shd w:val="clear" w:color="auto" w:fill="FFFFFF"/>
        </w:rPr>
      </w:pPr>
    </w:p>
    <w:p w14:paraId="40B2A816" w14:textId="77777777" w:rsidR="00474EA7" w:rsidRPr="00DD7BD1" w:rsidRDefault="00F76406" w:rsidP="00474EA7">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Issues Rate and PFML Notice</w:t>
      </w:r>
      <w:r w:rsidR="00474EA7" w:rsidRPr="00DD7BD1">
        <w:rPr>
          <w:rFonts w:ascii="Calibri" w:hAnsi="Calibri" w:cs="Calibri"/>
          <w:b/>
          <w:bCs/>
          <w:sz w:val="28"/>
          <w:szCs w:val="28"/>
          <w:shd w:val="clear" w:color="auto" w:fill="FFFFFF"/>
        </w:rPr>
        <w:t xml:space="preserve"> </w:t>
      </w:r>
      <w:r w:rsidR="00474EA7" w:rsidRPr="00DD7BD1">
        <w:rPr>
          <w:rFonts w:ascii="Calibri" w:hAnsi="Calibri" w:cs="Calibri"/>
          <w:b/>
          <w:bCs/>
          <w:color w:val="C00000"/>
          <w:sz w:val="28"/>
          <w:szCs w:val="28"/>
          <w:shd w:val="clear" w:color="auto" w:fill="FFFFFF"/>
        </w:rPr>
        <w:t>Jan 1, 2026</w:t>
      </w:r>
    </w:p>
    <w:p w14:paraId="328B1AC5" w14:textId="20E7352D" w:rsidR="00F76406" w:rsidRPr="00DD7BD1" w:rsidRDefault="00474EA7" w:rsidP="00F76406">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 </w:t>
      </w:r>
      <w:r w:rsidR="00F76406" w:rsidRPr="00DD7BD1">
        <w:rPr>
          <w:rFonts w:ascii="Calibri" w:hAnsi="Calibri" w:cs="Calibri"/>
          <w:b/>
          <w:bCs/>
          <w:sz w:val="28"/>
          <w:szCs w:val="28"/>
          <w:shd w:val="clear" w:color="auto" w:fill="FFFFFF"/>
        </w:rPr>
        <w:t xml:space="preserve">+ Workplace Poster Eff – </w:t>
      </w:r>
      <w:r w:rsidR="00F76406" w:rsidRPr="00DD7BD1">
        <w:rPr>
          <w:rFonts w:ascii="Calibri" w:hAnsi="Calibri" w:cs="Calibri"/>
          <w:b/>
          <w:bCs/>
          <w:color w:val="C00000"/>
          <w:sz w:val="28"/>
          <w:szCs w:val="28"/>
          <w:shd w:val="clear" w:color="auto" w:fill="FFFFFF"/>
        </w:rPr>
        <w:t xml:space="preserve">Dec 2, 2025 and </w:t>
      </w:r>
    </w:p>
    <w:p w14:paraId="1D8EB8D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The Massachusetts Department of Family and Medical Leave has</w:t>
      </w:r>
      <w:r w:rsidRPr="00DD7BD1">
        <w:rPr>
          <w:rFonts w:cs="Calibri"/>
          <w:szCs w:val="22"/>
        </w:rPr>
        <w:t xml:space="preserve"> </w:t>
      </w:r>
      <w:hyperlink r:id="rId739" w:history="1">
        <w:r w:rsidRPr="00DD7BD1">
          <w:rPr>
            <w:rStyle w:val="Hyperlink"/>
            <w:rFonts w:cs="Calibri"/>
            <w:szCs w:val="22"/>
          </w:rPr>
          <w:t>issued</w:t>
        </w:r>
      </w:hyperlink>
      <w:r w:rsidRPr="00DD7BD1">
        <w:rPr>
          <w:rFonts w:cs="Calibri"/>
          <w:szCs w:val="22"/>
        </w:rPr>
        <w:t xml:space="preserve"> </w:t>
      </w:r>
      <w:r w:rsidRPr="00DD7BD1">
        <w:rPr>
          <w:rFonts w:cs="Calibri"/>
          <w:color w:val="auto"/>
          <w:szCs w:val="22"/>
        </w:rPr>
        <w:t>updated rate sheets, notices and a workplace poster for employer use in 2026. Failure to comply with the law’s notice requirements can result in employer fines.</w:t>
      </w:r>
    </w:p>
    <w:p w14:paraId="521723DE" w14:textId="77777777" w:rsidR="00F76406" w:rsidRPr="00DD7BD1" w:rsidRDefault="00F76406" w:rsidP="00F76406">
      <w:pPr>
        <w:pStyle w:val="BodyText"/>
        <w:spacing w:after="0" w:line="240" w:lineRule="auto"/>
        <w:rPr>
          <w:rFonts w:cs="Calibri"/>
          <w:color w:val="auto"/>
          <w:sz w:val="16"/>
          <w:szCs w:val="16"/>
        </w:rPr>
      </w:pPr>
    </w:p>
    <w:p w14:paraId="07557EE0" w14:textId="77777777" w:rsidR="00F76406" w:rsidRPr="00DD7BD1" w:rsidRDefault="00F76406" w:rsidP="00F76406">
      <w:pPr>
        <w:pStyle w:val="BodyText"/>
        <w:spacing w:after="0" w:line="240" w:lineRule="auto"/>
        <w:rPr>
          <w:rStyle w:val="BodyTextChar"/>
          <w:rFonts w:eastAsiaTheme="minorHAnsi" w:cs="Calibri"/>
          <w:szCs w:val="22"/>
        </w:rPr>
      </w:pPr>
      <w:r w:rsidRPr="00DD7BD1">
        <w:rPr>
          <w:rFonts w:cs="Calibri"/>
          <w:color w:val="auto"/>
          <w:szCs w:val="22"/>
        </w:rPr>
        <w:t xml:space="preserve">Contribution rates and benefit amounts for PFML are updated annually, and the law requires </w:t>
      </w:r>
      <w:r w:rsidRPr="00DD7BD1">
        <w:rPr>
          <w:rFonts w:cs="Calibri"/>
          <w:b/>
          <w:bCs/>
          <w:color w:val="auto"/>
          <w:szCs w:val="22"/>
          <w:u w:val="single"/>
        </w:rPr>
        <w:t>employers to provide current employees</w:t>
      </w:r>
      <w:r w:rsidRPr="00DD7BD1">
        <w:rPr>
          <w:rFonts w:cs="Calibri"/>
          <w:color w:val="auto"/>
          <w:szCs w:val="22"/>
        </w:rPr>
        <w:t xml:space="preserve"> with </w:t>
      </w:r>
      <w:r w:rsidRPr="00DD7BD1">
        <w:rPr>
          <w:rStyle w:val="BodyTextChar"/>
          <w:rFonts w:eastAsiaTheme="minorHAnsi" w:cs="Calibri"/>
          <w:color w:val="auto"/>
          <w:szCs w:val="22"/>
        </w:rPr>
        <w:t>information on the new contribution rate 30 days before it changes on Jan. 1, 2026, which is</w:t>
      </w:r>
      <w:r w:rsidRPr="00DD7BD1">
        <w:rPr>
          <w:rStyle w:val="BodyTextChar"/>
          <w:rFonts w:eastAsiaTheme="minorHAnsi" w:cs="Calibri"/>
          <w:szCs w:val="22"/>
        </w:rPr>
        <w:t xml:space="preserve"> </w:t>
      </w:r>
      <w:r w:rsidRPr="00DD7BD1">
        <w:rPr>
          <w:rStyle w:val="BodyTextChar"/>
          <w:rFonts w:eastAsiaTheme="minorHAnsi" w:cs="Calibri"/>
          <w:color w:val="C00000"/>
          <w:szCs w:val="22"/>
        </w:rPr>
        <w:t>Dec. 2, 2025</w:t>
      </w:r>
      <w:r w:rsidRPr="00DD7BD1">
        <w:rPr>
          <w:rStyle w:val="BodyTextChar"/>
          <w:rFonts w:eastAsiaTheme="minorHAnsi" w:cs="Calibri"/>
          <w:szCs w:val="22"/>
        </w:rPr>
        <w:t>.</w:t>
      </w:r>
    </w:p>
    <w:p w14:paraId="0A8342AC" w14:textId="77777777" w:rsidR="00F76406" w:rsidRPr="00DD7BD1" w:rsidRDefault="00F76406" w:rsidP="00F76406">
      <w:pPr>
        <w:pStyle w:val="BodyText"/>
        <w:spacing w:after="0" w:line="240" w:lineRule="auto"/>
        <w:rPr>
          <w:rStyle w:val="BodyTextChar"/>
          <w:rFonts w:eastAsiaTheme="minorHAnsi" w:cs="Calibri"/>
          <w:sz w:val="16"/>
          <w:szCs w:val="16"/>
        </w:rPr>
      </w:pPr>
    </w:p>
    <w:p w14:paraId="75F11364" w14:textId="77777777" w:rsidR="00F76406" w:rsidRPr="00DD7BD1" w:rsidRDefault="00F76406" w:rsidP="00F76406">
      <w:pPr>
        <w:spacing w:after="0" w:line="240" w:lineRule="auto"/>
        <w:rPr>
          <w:rStyle w:val="BodyTextChar"/>
          <w:rFonts w:eastAsiaTheme="minorHAnsi" w:cs="Calibri"/>
          <w:color w:val="auto"/>
          <w:szCs w:val="22"/>
        </w:rPr>
      </w:pPr>
      <w:r w:rsidRPr="00DD7BD1">
        <w:rPr>
          <w:rStyle w:val="BodyTextChar"/>
          <w:rFonts w:eastAsiaTheme="minorHAnsi" w:cs="Calibri"/>
          <w:color w:val="auto"/>
          <w:szCs w:val="22"/>
        </w:rPr>
        <w:t xml:space="preserve">The </w:t>
      </w:r>
      <w:hyperlink r:id="rId740" w:anchor="rate-sheets-for-employers-" w:history="1">
        <w:r w:rsidRPr="00DD7BD1">
          <w:rPr>
            <w:rStyle w:val="Hyperlink"/>
            <w:rFonts w:ascii="Calibri" w:hAnsi="Calibri" w:cs="Calibri"/>
            <w:color w:val="auto"/>
          </w:rPr>
          <w:t>notice</w:t>
        </w:r>
      </w:hyperlink>
      <w:r w:rsidRPr="00DD7BD1">
        <w:rPr>
          <w:rStyle w:val="BodyTextChar"/>
          <w:rFonts w:eastAsiaTheme="minorHAnsi" w:cs="Calibri"/>
          <w:color w:val="auto"/>
          <w:szCs w:val="22"/>
        </w:rPr>
        <w:t xml:space="preserve"> of the rate</w:t>
      </w:r>
      <w:r w:rsidRPr="00DD7BD1">
        <w:rPr>
          <w:rStyle w:val="BodyTextChar"/>
          <w:rFonts w:eastAsiaTheme="minorHAnsi" w:cs="Calibri"/>
          <w:color w:val="auto"/>
          <w:szCs w:val="22"/>
          <w:u w:val="single"/>
        </w:rPr>
        <w:t xml:space="preserve"> may be provided electronically and does not require an updated signature.</w:t>
      </w:r>
      <w:r w:rsidRPr="00DD7BD1">
        <w:rPr>
          <w:rStyle w:val="BodyTextChar"/>
          <w:rFonts w:eastAsiaTheme="minorHAnsi" w:cs="Calibri"/>
          <w:color w:val="auto"/>
          <w:szCs w:val="22"/>
        </w:rPr>
        <w:t xml:space="preserve"> Different rate sheets are available for employers with 25 or more covered employees and for smaller employers.</w:t>
      </w:r>
    </w:p>
    <w:p w14:paraId="3C81D020" w14:textId="77777777" w:rsidR="00F76406" w:rsidRPr="00DD7BD1" w:rsidRDefault="00F76406" w:rsidP="00F76406">
      <w:pPr>
        <w:pStyle w:val="SubHeader"/>
        <w:spacing w:line="240" w:lineRule="auto"/>
        <w:rPr>
          <w:rFonts w:cs="Calibri"/>
          <w:sz w:val="16"/>
          <w:szCs w:val="16"/>
        </w:rPr>
      </w:pPr>
    </w:p>
    <w:p w14:paraId="5B1A2B92" w14:textId="77777777"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Employee Notices</w:t>
      </w:r>
    </w:p>
    <w:p w14:paraId="160678FA" w14:textId="77777777" w:rsidR="00F76406" w:rsidRPr="00DD7BD1" w:rsidRDefault="00F76406" w:rsidP="00F76406">
      <w:pPr>
        <w:pStyle w:val="BodyText"/>
        <w:spacing w:after="0" w:line="240" w:lineRule="auto"/>
        <w:rPr>
          <w:rStyle w:val="BodyTextChar"/>
          <w:rFonts w:eastAsiaTheme="minorHAnsi" w:cs="Calibri"/>
          <w:color w:val="auto"/>
          <w:szCs w:val="22"/>
        </w:rPr>
      </w:pPr>
      <w:r w:rsidRPr="00DD7BD1">
        <w:rPr>
          <w:rFonts w:eastAsia="Calibri" w:cs="Calibri"/>
          <w:color w:val="auto"/>
          <w:szCs w:val="22"/>
        </w:rPr>
        <w:t>By statute, employers must provide each new hire with a</w:t>
      </w:r>
      <w:r w:rsidRPr="00DD7BD1">
        <w:rPr>
          <w:rFonts w:eastAsia="Calibri" w:cs="Calibri"/>
          <w:szCs w:val="22"/>
        </w:rPr>
        <w:t xml:space="preserve"> </w:t>
      </w:r>
      <w:hyperlink r:id="rId741" w:anchor="2023" w:history="1">
        <w:r w:rsidRPr="00DD7BD1">
          <w:rPr>
            <w:rStyle w:val="Hyperlink"/>
            <w:rFonts w:eastAsia="Calibri" w:cs="Calibri"/>
            <w:bCs/>
            <w:szCs w:val="22"/>
          </w:rPr>
          <w:t>written notice</w:t>
        </w:r>
      </w:hyperlink>
      <w:r w:rsidRPr="00DD7BD1">
        <w:rPr>
          <w:rFonts w:eastAsia="Calibri" w:cs="Calibri"/>
          <w:szCs w:val="22"/>
        </w:rPr>
        <w:t xml:space="preserve"> </w:t>
      </w:r>
      <w:r w:rsidRPr="00DD7BD1">
        <w:rPr>
          <w:rFonts w:eastAsia="Calibri" w:cs="Calibri"/>
          <w:color w:val="auto"/>
          <w:szCs w:val="22"/>
        </w:rPr>
        <w:t xml:space="preserve">about PFML </w:t>
      </w:r>
      <w:r w:rsidRPr="00DD7BD1">
        <w:rPr>
          <w:rFonts w:eastAsia="Calibri" w:cs="Calibri"/>
          <w:b/>
          <w:color w:val="auto"/>
          <w:szCs w:val="22"/>
        </w:rPr>
        <w:t>within 30 days of  “the beginning date of the employee's employment</w:t>
      </w:r>
      <w:r w:rsidRPr="00DD7BD1">
        <w:rPr>
          <w:rFonts w:eastAsia="Calibri" w:cs="Calibri"/>
          <w:color w:val="auto"/>
          <w:szCs w:val="22"/>
        </w:rPr>
        <w:t xml:space="preserve">.” The employer must obtain the employee’s </w:t>
      </w:r>
      <w:r w:rsidRPr="00DD7BD1">
        <w:rPr>
          <w:rFonts w:eastAsia="Calibri" w:cs="Calibri"/>
          <w:b/>
          <w:color w:val="auto"/>
          <w:szCs w:val="22"/>
        </w:rPr>
        <w:t>written acknowledgment of receipt</w:t>
      </w:r>
      <w:r w:rsidRPr="00DD7BD1">
        <w:rPr>
          <w:rFonts w:eastAsia="Calibri" w:cs="Calibri"/>
          <w:color w:val="auto"/>
          <w:szCs w:val="22"/>
        </w:rPr>
        <w:t xml:space="preserve"> or have the employee sign a statement that they refused to sign the acknowledgment. </w:t>
      </w:r>
      <w:r w:rsidRPr="00DD7BD1">
        <w:rPr>
          <w:rStyle w:val="BodyTextChar"/>
          <w:rFonts w:eastAsiaTheme="minorHAnsi" w:cs="Calibri"/>
          <w:color w:val="auto"/>
          <w:szCs w:val="22"/>
        </w:rPr>
        <w:t xml:space="preserve">The notice must be available in English and each language that is the primary language of five or more individuals in the employer’s workforce, if these translations are available from the department. </w:t>
      </w:r>
    </w:p>
    <w:p w14:paraId="12DC6DB5" w14:textId="77777777" w:rsidR="00F76406" w:rsidRPr="00DD7BD1" w:rsidRDefault="00F76406" w:rsidP="00F76406">
      <w:pPr>
        <w:pStyle w:val="BodyText"/>
        <w:spacing w:after="0" w:line="240" w:lineRule="auto"/>
        <w:rPr>
          <w:rStyle w:val="BodyTextChar"/>
          <w:rFonts w:eastAsiaTheme="minorHAnsi" w:cs="Calibri"/>
          <w:color w:val="auto"/>
          <w:sz w:val="16"/>
          <w:szCs w:val="16"/>
        </w:rPr>
      </w:pPr>
    </w:p>
    <w:p w14:paraId="115BC8BE" w14:textId="77777777" w:rsidR="00F76406" w:rsidRPr="00DD7BD1" w:rsidRDefault="00F76406" w:rsidP="00F76406">
      <w:pPr>
        <w:pStyle w:val="BodyText"/>
        <w:spacing w:after="0" w:line="240" w:lineRule="auto"/>
        <w:rPr>
          <w:rStyle w:val="BodyTextChar"/>
          <w:rFonts w:eastAsiaTheme="minorHAnsi" w:cs="Calibri"/>
          <w:b/>
          <w:bCs/>
          <w:color w:val="auto"/>
          <w:szCs w:val="22"/>
        </w:rPr>
      </w:pPr>
      <w:r w:rsidRPr="00DD7BD1">
        <w:rPr>
          <w:rStyle w:val="BodyTextChar"/>
          <w:rFonts w:eastAsiaTheme="minorHAnsi" w:cs="Calibri"/>
          <w:color w:val="auto"/>
          <w:szCs w:val="22"/>
        </w:rPr>
        <w:t xml:space="preserve">The department publishes separate notices for employers with 25 or more covered individuals, fewer than 25 covered individuals, 25 or more self-employed individuals, and </w:t>
      </w:r>
      <w:r w:rsidRPr="00DD7BD1">
        <w:rPr>
          <w:rStyle w:val="Strong"/>
          <w:rFonts w:eastAsiaTheme="majorEastAsia" w:cs="Calibri"/>
          <w:color w:val="auto"/>
          <w:szCs w:val="22"/>
        </w:rPr>
        <w:t>fewer than 25 self-employed individuals.</w:t>
      </w:r>
    </w:p>
    <w:p w14:paraId="44215A4C" w14:textId="77777777" w:rsidR="00F76406" w:rsidRPr="00DD7BD1" w:rsidRDefault="00F76406" w:rsidP="00F76406">
      <w:pPr>
        <w:pStyle w:val="SubHeader"/>
        <w:spacing w:line="240" w:lineRule="auto"/>
        <w:rPr>
          <w:rFonts w:cs="Calibri"/>
          <w:color w:val="auto"/>
          <w:sz w:val="16"/>
          <w:szCs w:val="16"/>
        </w:rPr>
      </w:pPr>
    </w:p>
    <w:p w14:paraId="0930E42A" w14:textId="2D698508"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Workplace Poster</w:t>
      </w:r>
    </w:p>
    <w:p w14:paraId="33ADC92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Employers must also display a</w:t>
      </w:r>
      <w:r w:rsidRPr="00DD7BD1">
        <w:rPr>
          <w:rFonts w:cs="Calibri"/>
          <w:szCs w:val="22"/>
        </w:rPr>
        <w:t xml:space="preserve"> </w:t>
      </w:r>
      <w:hyperlink r:id="rId742" w:history="1">
        <w:r w:rsidRPr="00DD7BD1">
          <w:rPr>
            <w:rStyle w:val="Hyperlink"/>
            <w:rFonts w:cs="Calibri"/>
            <w:szCs w:val="22"/>
          </w:rPr>
          <w:t>poster</w:t>
        </w:r>
      </w:hyperlink>
      <w:r w:rsidRPr="00DD7BD1">
        <w:rPr>
          <w:rFonts w:cs="Calibri"/>
          <w:szCs w:val="22"/>
        </w:rPr>
        <w:t xml:space="preserve"> </w:t>
      </w:r>
      <w:r w:rsidRPr="00DD7BD1">
        <w:rPr>
          <w:rFonts w:cs="Calibri"/>
          <w:color w:val="auto"/>
          <w:szCs w:val="22"/>
        </w:rPr>
        <w:t>explaining PFML benefits in a location in the workplace where it can be easily read. The poster must be available in English and each language that is the primary language of at least five individuals in the workforce if these translations are available from the department.</w:t>
      </w:r>
    </w:p>
    <w:p w14:paraId="39C0D8CB" w14:textId="77777777" w:rsidR="00F76406" w:rsidRPr="00DD7BD1" w:rsidRDefault="00F76406" w:rsidP="003B5859">
      <w:pPr>
        <w:spacing w:after="0" w:line="240" w:lineRule="auto"/>
        <w:ind w:right="-450"/>
        <w:rPr>
          <w:rFonts w:ascii="Calibri" w:hAnsi="Calibri" w:cs="Calibri"/>
          <w:b/>
          <w:spacing w:val="-2"/>
        </w:rPr>
      </w:pPr>
    </w:p>
    <w:p w14:paraId="522AAE8A" w14:textId="77777777" w:rsidR="005C4077" w:rsidRPr="00DD7BD1" w:rsidRDefault="005C4077" w:rsidP="005C4077">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 xml:space="preserve">Upcoming Annual Wage Data Reporting Obligations </w:t>
      </w:r>
      <w:r w:rsidRPr="00DD7BD1">
        <w:rPr>
          <w:rFonts w:cs="Calibri"/>
          <w:b/>
          <w:bCs/>
          <w:color w:val="C00000"/>
          <w:sz w:val="28"/>
          <w:szCs w:val="28"/>
          <w:shd w:val="clear" w:color="auto" w:fill="FFFFFF"/>
        </w:rPr>
        <w:t>– Eff Feb 1, 2026</w:t>
      </w:r>
    </w:p>
    <w:p w14:paraId="4A76CD8E" w14:textId="77777777" w:rsidR="005C4077" w:rsidRPr="00DD7BD1" w:rsidRDefault="005C4077" w:rsidP="007B1970">
      <w:pPr>
        <w:pStyle w:val="BodyText"/>
        <w:spacing w:after="0" w:line="240" w:lineRule="auto"/>
        <w:jc w:val="left"/>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zCs w:val="22"/>
        </w:rPr>
        <w:t xml:space="preserve">has also required, since Feb. 1, 2025, that employers with 100 or more employees submit an annual </w:t>
      </w:r>
      <w:hyperlink r:id="rId743">
        <w:r w:rsidRPr="00DD7BD1">
          <w:rPr>
            <w:rFonts w:cs="Calibri"/>
            <w:color w:val="auto"/>
            <w:szCs w:val="22"/>
          </w:rPr>
          <w:t>aggregate wage data report,</w:t>
        </w:r>
      </w:hyperlink>
      <w:r w:rsidRPr="00DD7BD1">
        <w:rPr>
          <w:rFonts w:cs="Calibri"/>
          <w:color w:val="auto"/>
          <w:szCs w:val="22"/>
        </w:rPr>
        <w:t xml:space="preserve"> including workforce demographic and pay data categorized by race, ethnicity, sex and job category. These are not new reports but rather copies of the same required data as the U.S. Equal Employment Opportunity Commission (EEOC) Employer Information Report, commonly known as an EEO-1 report. Employers who file EEO-3 or EEO-5 reports must submit these reports every other year beginning on Feb. 1, 2025. Employers who file EEO-4 reports must submit these reports every other year beginning on Feb. 1, 2026. As with the Act's employee threshold for pay disclosures, the 100-employee threshold for pay reporting includes all full-time, part-time, seasonal, temporary and remote employees with a primary place of work in Massachusetts.</w:t>
      </w:r>
    </w:p>
    <w:p w14:paraId="5CD46D98" w14:textId="77777777" w:rsidR="007B1970" w:rsidRPr="00DD7BD1" w:rsidRDefault="007B1970" w:rsidP="007B1970">
      <w:pPr>
        <w:pStyle w:val="BodyText"/>
        <w:spacing w:after="0" w:line="240" w:lineRule="auto"/>
        <w:jc w:val="left"/>
        <w:rPr>
          <w:rFonts w:cs="Calibri"/>
          <w:color w:val="auto"/>
          <w:szCs w:val="22"/>
        </w:rPr>
      </w:pPr>
    </w:p>
    <w:p w14:paraId="3C942E93" w14:textId="77777777" w:rsidR="007B1970" w:rsidRPr="00DD7BD1" w:rsidRDefault="007B1970" w:rsidP="007B1970">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Health Insurance Responsibility Disclosure (HIRD) Reporting –</w:t>
      </w:r>
      <w:r w:rsidRPr="00DD7BD1">
        <w:rPr>
          <w:rFonts w:cs="Calibri"/>
          <w:color w:val="auto"/>
          <w:szCs w:val="22"/>
        </w:rPr>
        <w:t xml:space="preserve"> </w:t>
      </w:r>
      <w:r w:rsidRPr="00DD7BD1">
        <w:rPr>
          <w:rFonts w:cs="Calibri"/>
          <w:b/>
          <w:bCs/>
          <w:color w:val="C00000"/>
          <w:sz w:val="28"/>
          <w:szCs w:val="28"/>
          <w:shd w:val="clear" w:color="auto" w:fill="FFFFFF"/>
        </w:rPr>
        <w:t>Due Dec 15</w:t>
      </w:r>
    </w:p>
    <w:tbl>
      <w:tblPr>
        <w:tblW w:w="5081" w:type="pct"/>
        <w:tblCellMar>
          <w:left w:w="0" w:type="dxa"/>
          <w:right w:w="0" w:type="dxa"/>
        </w:tblCellMar>
        <w:tblLook w:val="04A0" w:firstRow="1" w:lastRow="0" w:firstColumn="1" w:lastColumn="0" w:noHBand="0" w:noVBand="1"/>
        <w:tblCaption w:val=""/>
      </w:tblPr>
      <w:tblGrid>
        <w:gridCol w:w="11522"/>
        <w:gridCol w:w="185"/>
      </w:tblGrid>
      <w:tr w:rsidR="007B1970" w:rsidRPr="00DD7BD1" w14:paraId="69D83553" w14:textId="77777777" w:rsidTr="00160731">
        <w:trPr>
          <w:gridAfter w:val="1"/>
          <w:wAfter w:w="79" w:type="pct"/>
        </w:trPr>
        <w:tc>
          <w:tcPr>
            <w:tcW w:w="0" w:type="auto"/>
            <w:tcBorders>
              <w:top w:val="nil"/>
              <w:left w:val="nil"/>
              <w:bottom w:val="nil"/>
              <w:right w:val="nil"/>
            </w:tcBorders>
            <w:tcMar>
              <w:top w:w="90" w:type="dxa"/>
              <w:left w:w="240" w:type="dxa"/>
              <w:bottom w:w="90" w:type="dxa"/>
              <w:right w:w="240" w:type="dxa"/>
            </w:tcMar>
            <w:vAlign w:val="center"/>
            <w:hideMark/>
          </w:tcPr>
          <w:p w14:paraId="1BCB85C9" w14:textId="77777777" w:rsidR="007B1970" w:rsidRPr="00DD7BD1" w:rsidRDefault="007B1970" w:rsidP="007B1970">
            <w:pPr>
              <w:pStyle w:val="BodyText"/>
              <w:spacing w:after="0" w:line="240" w:lineRule="auto"/>
              <w:rPr>
                <w:rFonts w:cs="Calibri"/>
                <w:szCs w:val="22"/>
                <w:shd w:val="clear" w:color="auto" w:fill="FFFFFF"/>
              </w:rPr>
            </w:pPr>
          </w:p>
        </w:tc>
      </w:tr>
      <w:tr w:rsidR="007B1970" w:rsidRPr="00DD7BD1" w14:paraId="214AABEE"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42F0090E"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2682B208"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ETC sent out separate compliance reminders back on October 31</w:t>
                  </w:r>
                  <w:r w:rsidRPr="00DD7BD1">
                    <w:rPr>
                      <w:rFonts w:cs="Calibri"/>
                      <w:color w:val="auto"/>
                      <w:szCs w:val="22"/>
                      <w:shd w:val="clear" w:color="auto" w:fill="FFFFFF"/>
                      <w:vertAlign w:val="superscript"/>
                    </w:rPr>
                    <w:t>st</w:t>
                  </w:r>
                  <w:r w:rsidRPr="00DD7BD1">
                    <w:rPr>
                      <w:rFonts w:cs="Calibri"/>
                      <w:color w:val="auto"/>
                      <w:szCs w:val="22"/>
                      <w:shd w:val="clear" w:color="auto" w:fill="FFFFFF"/>
                    </w:rPr>
                    <w:t>; however, as a reminder:</w:t>
                  </w:r>
                </w:p>
                <w:p w14:paraId="7EF4A090"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b/>
                      <w:bCs/>
                      <w:color w:val="auto"/>
                      <w:szCs w:val="22"/>
                      <w:shd w:val="clear" w:color="auto" w:fill="FFFFFF"/>
                    </w:rPr>
                    <w:t>The Health Insurance Responsibility Disclosure (HIRD)</w:t>
                  </w:r>
                  <w:r w:rsidRPr="00DD7BD1">
                    <w:rPr>
                      <w:rFonts w:cs="Calibri"/>
                      <w:color w:val="auto"/>
                      <w:szCs w:val="22"/>
                      <w:shd w:val="clear" w:color="auto" w:fill="FFFFFF"/>
                    </w:rPr>
                    <w:t xml:space="preserve"> form submission is a </w:t>
                  </w:r>
                  <w:r w:rsidRPr="00DD7BD1">
                    <w:rPr>
                      <w:rFonts w:cs="Calibri"/>
                      <w:b/>
                      <w:bCs/>
                      <w:color w:val="auto"/>
                      <w:szCs w:val="22"/>
                      <w:shd w:val="clear" w:color="auto" w:fill="FFFFFF"/>
                    </w:rPr>
                    <w:t>state reporting requirement</w:t>
                  </w:r>
                  <w:r w:rsidRPr="00DD7BD1">
                    <w:rPr>
                      <w:rFonts w:cs="Calibri"/>
                      <w:color w:val="auto"/>
                      <w:szCs w:val="22"/>
                      <w:shd w:val="clear" w:color="auto" w:fill="FFFFFF"/>
                    </w:rPr>
                    <w:t> in Massachusetts. The HIRD form collects employer-level information about your employer-sponsored insurance (ESI) offerings. The HIRD reporting is administered by MassHealth and the Department of Revenue (DOR) through the </w:t>
                  </w:r>
                  <w:r w:rsidRPr="00DD7BD1">
                    <w:rPr>
                      <w:rFonts w:cs="Calibri"/>
                      <w:b/>
                      <w:bCs/>
                      <w:color w:val="auto"/>
                      <w:szCs w:val="22"/>
                      <w:shd w:val="clear" w:color="auto" w:fill="FFFFFF"/>
                    </w:rPr>
                    <w:t>MassTaxConnect (MTC) web portal.</w:t>
                  </w:r>
                  <w:r w:rsidRPr="00DD7BD1">
                    <w:rPr>
                      <w:rFonts w:cs="Calibri"/>
                      <w:color w:val="auto"/>
                      <w:szCs w:val="22"/>
                      <w:shd w:val="clear" w:color="auto" w:fill="FFFFFF"/>
                    </w:rPr>
                    <w:t> </w:t>
                  </w:r>
                </w:p>
                <w:p w14:paraId="09C0B558" w14:textId="4577F375" w:rsidR="007B1970" w:rsidRPr="00DD7BD1" w:rsidRDefault="007B1970" w:rsidP="007B1970">
                  <w:pPr>
                    <w:pStyle w:val="BodyText"/>
                    <w:spacing w:after="0" w:line="240" w:lineRule="auto"/>
                    <w:ind w:left="-180"/>
                    <w:jc w:val="left"/>
                    <w:rPr>
                      <w:rFonts w:cs="Calibri"/>
                      <w:color w:val="auto"/>
                      <w:sz w:val="16"/>
                      <w:szCs w:val="16"/>
                      <w:shd w:val="clear" w:color="auto" w:fill="FFFFFF"/>
                    </w:rPr>
                  </w:pPr>
                </w:p>
                <w:p w14:paraId="40F99C5A"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The HIRD form assists MassHealth in identifying its members with access to qualifying ESI who may be eligible for the MassHealth Premium Assistance Program and must be completed by December 15 of the reporting year.</w:t>
                  </w:r>
                </w:p>
              </w:tc>
            </w:tr>
          </w:tbl>
          <w:p w14:paraId="0D982832"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r w:rsidR="007B1970" w:rsidRPr="00DD7BD1" w14:paraId="088CE511"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0594B0A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8B291EB"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State law requires </w:t>
                  </w:r>
                  <w:r w:rsidRPr="00DD7BD1">
                    <w:rPr>
                      <w:rFonts w:cs="Calibri"/>
                      <w:b/>
                      <w:bCs/>
                      <w:color w:val="auto"/>
                      <w:szCs w:val="22"/>
                      <w:shd w:val="clear" w:color="auto" w:fill="FFFFFF"/>
                    </w:rPr>
                    <w:t>every employer with 6 or more employees in the state of Massachusetts</w:t>
                  </w:r>
                  <w:r w:rsidRPr="00DD7BD1">
                    <w:rPr>
                      <w:rFonts w:cs="Calibri"/>
                      <w:color w:val="auto"/>
                      <w:szCs w:val="22"/>
                      <w:shd w:val="clear" w:color="auto" w:fill="FFFFFF"/>
                    </w:rPr>
                    <w:t> to </w:t>
                  </w:r>
                  <w:r w:rsidRPr="00DD7BD1">
                    <w:rPr>
                      <w:rFonts w:cs="Calibri"/>
                      <w:b/>
                      <w:bCs/>
                      <w:color w:val="auto"/>
                      <w:szCs w:val="22"/>
                      <w:shd w:val="clear" w:color="auto" w:fill="FFFFFF"/>
                    </w:rPr>
                    <w:t>annually submit a HIRD form</w:t>
                  </w:r>
                  <w:r w:rsidRPr="00DD7BD1">
                    <w:rPr>
                      <w:rFonts w:cs="Calibri"/>
                      <w:color w:val="auto"/>
                      <w:szCs w:val="22"/>
                      <w:shd w:val="clear" w:color="auto" w:fill="FFFFFF"/>
                    </w:rPr>
                    <w:t>. If you are an in-state or out-of-state employer who had six or more employees within Massachusetts during the past 12 months, you are required to complete the HIRD form. </w:t>
                  </w:r>
                </w:p>
              </w:tc>
            </w:tr>
          </w:tbl>
          <w:p w14:paraId="3449A6B3"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bl>
    <w:p w14:paraId="2690D82D" w14:textId="77777777" w:rsidR="007B1970" w:rsidRPr="00DD7BD1" w:rsidRDefault="007B1970" w:rsidP="007B1970">
      <w:pPr>
        <w:spacing w:after="0" w:line="240" w:lineRule="auto"/>
        <w:ind w:right="-450"/>
        <w:rPr>
          <w:rFonts w:ascii="Calibri" w:hAnsi="Calibri" w:cs="Calibri"/>
          <w:b/>
          <w:spacing w:val="-2"/>
          <w:sz w:val="28"/>
        </w:rPr>
      </w:pPr>
    </w:p>
    <w:p w14:paraId="4AE12FCF" w14:textId="1DC1EB79" w:rsidR="009962E5" w:rsidRPr="00DD7BD1" w:rsidRDefault="003A22A9" w:rsidP="007B1970">
      <w:pPr>
        <w:spacing w:after="0" w:line="240" w:lineRule="auto"/>
        <w:ind w:right="-450"/>
        <w:jc w:val="center"/>
        <w:rPr>
          <w:rFonts w:ascii="Calibri" w:hAnsi="Calibri" w:cs="Calibri"/>
          <w:b/>
          <w:sz w:val="28"/>
        </w:rPr>
      </w:pPr>
      <w:r w:rsidRPr="00DD7BD1">
        <w:rPr>
          <w:rFonts w:ascii="Calibri" w:hAnsi="Calibri" w:cs="Calibri"/>
          <w:b/>
          <w:spacing w:val="-2"/>
          <w:sz w:val="28"/>
        </w:rPr>
        <w:t>State’s</w:t>
      </w:r>
      <w:r w:rsidRPr="00DD7BD1">
        <w:rPr>
          <w:rFonts w:ascii="Calibri" w:hAnsi="Calibri" w:cs="Calibri"/>
          <w:b/>
          <w:spacing w:val="-17"/>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Transparency</w:t>
      </w:r>
      <w:r w:rsidRPr="00DD7BD1">
        <w:rPr>
          <w:rFonts w:ascii="Calibri" w:hAnsi="Calibri" w:cs="Calibri"/>
          <w:b/>
          <w:spacing w:val="-18"/>
          <w:sz w:val="28"/>
        </w:rPr>
        <w:t xml:space="preserve"> </w:t>
      </w:r>
      <w:r w:rsidRPr="00DD7BD1">
        <w:rPr>
          <w:rFonts w:ascii="Calibri" w:hAnsi="Calibri" w:cs="Calibri"/>
          <w:b/>
          <w:spacing w:val="-2"/>
          <w:sz w:val="28"/>
        </w:rPr>
        <w:t>Regulations:</w:t>
      </w:r>
      <w:r w:rsidRPr="00DD7BD1">
        <w:rPr>
          <w:rFonts w:ascii="Calibri" w:hAnsi="Calibri" w:cs="Calibri"/>
          <w:b/>
          <w:spacing w:val="-13"/>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Ranges</w:t>
      </w:r>
      <w:r w:rsidRPr="00DD7BD1">
        <w:rPr>
          <w:rFonts w:ascii="Calibri" w:hAnsi="Calibri" w:cs="Calibri"/>
          <w:b/>
          <w:spacing w:val="-16"/>
          <w:sz w:val="28"/>
        </w:rPr>
        <w:t xml:space="preserve"> </w:t>
      </w:r>
      <w:r w:rsidRPr="00DD7BD1">
        <w:rPr>
          <w:rFonts w:ascii="Calibri" w:hAnsi="Calibri" w:cs="Calibri"/>
          <w:b/>
          <w:spacing w:val="-2"/>
          <w:sz w:val="28"/>
        </w:rPr>
        <w:t>in</w:t>
      </w:r>
      <w:r w:rsidRPr="00DD7BD1">
        <w:rPr>
          <w:rFonts w:ascii="Calibri" w:hAnsi="Calibri" w:cs="Calibri"/>
          <w:b/>
          <w:spacing w:val="-16"/>
          <w:sz w:val="28"/>
        </w:rPr>
        <w:t xml:space="preserve"> </w:t>
      </w:r>
      <w:r w:rsidRPr="00DD7BD1">
        <w:rPr>
          <w:rFonts w:ascii="Calibri" w:hAnsi="Calibri" w:cs="Calibri"/>
          <w:b/>
          <w:spacing w:val="-2"/>
          <w:sz w:val="28"/>
        </w:rPr>
        <w:t>Job</w:t>
      </w:r>
      <w:r w:rsidRPr="00DD7BD1">
        <w:rPr>
          <w:rFonts w:ascii="Calibri" w:hAnsi="Calibri" w:cs="Calibri"/>
          <w:b/>
          <w:spacing w:val="-16"/>
          <w:sz w:val="28"/>
        </w:rPr>
        <w:t xml:space="preserve"> </w:t>
      </w:r>
      <w:r w:rsidRPr="00DD7BD1">
        <w:rPr>
          <w:rFonts w:ascii="Calibri" w:hAnsi="Calibri" w:cs="Calibri"/>
          <w:b/>
          <w:spacing w:val="-2"/>
          <w:sz w:val="28"/>
        </w:rPr>
        <w:t>Postings</w:t>
      </w:r>
      <w:r w:rsidRPr="00DD7BD1">
        <w:rPr>
          <w:rFonts w:ascii="Calibri" w:hAnsi="Calibri" w:cs="Calibri"/>
          <w:b/>
          <w:spacing w:val="-18"/>
          <w:sz w:val="28"/>
        </w:rPr>
        <w:t xml:space="preserve"> </w:t>
      </w:r>
      <w:r w:rsidRPr="00DD7BD1">
        <w:rPr>
          <w:rFonts w:ascii="Calibri" w:hAnsi="Calibri" w:cs="Calibri"/>
          <w:b/>
          <w:spacing w:val="-2"/>
          <w:sz w:val="28"/>
        </w:rPr>
        <w:t>and</w:t>
      </w:r>
      <w:r w:rsidRPr="00DD7BD1">
        <w:rPr>
          <w:rFonts w:ascii="Calibri" w:hAnsi="Calibri" w:cs="Calibri"/>
          <w:b/>
          <w:spacing w:val="-17"/>
          <w:sz w:val="28"/>
        </w:rPr>
        <w:t xml:space="preserve"> </w:t>
      </w:r>
      <w:r w:rsidRPr="00DD7BD1">
        <w:rPr>
          <w:rFonts w:ascii="Calibri" w:hAnsi="Calibri" w:cs="Calibri"/>
          <w:b/>
          <w:spacing w:val="-2"/>
          <w:sz w:val="28"/>
        </w:rPr>
        <w:t xml:space="preserve">Upon </w:t>
      </w:r>
      <w:r w:rsidRPr="00DD7BD1">
        <w:rPr>
          <w:rFonts w:ascii="Calibri" w:hAnsi="Calibri" w:cs="Calibri"/>
          <w:b/>
          <w:sz w:val="28"/>
        </w:rPr>
        <w:t>Request –</w:t>
      </w:r>
    </w:p>
    <w:p w14:paraId="10B23FEE" w14:textId="7074C61D" w:rsidR="003A22A9" w:rsidRPr="00DD7BD1" w:rsidRDefault="003A22A9" w:rsidP="003A22A9">
      <w:pPr>
        <w:spacing w:after="0" w:line="240" w:lineRule="auto"/>
        <w:ind w:right="-450"/>
        <w:jc w:val="center"/>
        <w:rPr>
          <w:rFonts w:ascii="Calibri" w:hAnsi="Calibri" w:cs="Calibri"/>
          <w:b/>
          <w:sz w:val="28"/>
        </w:rPr>
      </w:pPr>
      <w:r w:rsidRPr="00DD7BD1">
        <w:rPr>
          <w:rFonts w:ascii="Calibri" w:hAnsi="Calibri" w:cs="Calibri"/>
          <w:b/>
          <w:color w:val="C00000"/>
          <w:sz w:val="28"/>
        </w:rPr>
        <w:t>Eff Oct 29, 2025</w:t>
      </w:r>
    </w:p>
    <w:p w14:paraId="214B5AA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Starting</w:t>
      </w:r>
      <w:r w:rsidRPr="00DD7BD1">
        <w:rPr>
          <w:rFonts w:cs="Calibri"/>
          <w:color w:val="000000" w:themeColor="text1"/>
          <w:spacing w:val="-17"/>
          <w:w w:val="110"/>
          <w:szCs w:val="22"/>
        </w:rPr>
        <w:t xml:space="preserve"> </w:t>
      </w:r>
      <w:r w:rsidRPr="00DD7BD1">
        <w:rPr>
          <w:rFonts w:cs="Calibri"/>
          <w:color w:val="000000" w:themeColor="text1"/>
          <w:w w:val="110"/>
          <w:szCs w:val="22"/>
        </w:rPr>
        <w:t>October</w:t>
      </w:r>
      <w:r w:rsidRPr="00DD7BD1">
        <w:rPr>
          <w:rFonts w:cs="Calibri"/>
          <w:color w:val="000000" w:themeColor="text1"/>
          <w:spacing w:val="-17"/>
          <w:w w:val="110"/>
          <w:szCs w:val="22"/>
        </w:rPr>
        <w:t xml:space="preserve"> </w:t>
      </w:r>
      <w:r w:rsidRPr="00DD7BD1">
        <w:rPr>
          <w:rFonts w:cs="Calibri"/>
          <w:color w:val="000000" w:themeColor="text1"/>
          <w:w w:val="110"/>
          <w:szCs w:val="22"/>
        </w:rPr>
        <w:t>29,</w:t>
      </w:r>
      <w:r w:rsidRPr="00DD7BD1">
        <w:rPr>
          <w:rFonts w:cs="Calibri"/>
          <w:color w:val="000000" w:themeColor="text1"/>
          <w:spacing w:val="-17"/>
          <w:w w:val="110"/>
          <w:szCs w:val="22"/>
        </w:rPr>
        <w:t xml:space="preserve"> </w:t>
      </w:r>
      <w:r w:rsidRPr="00DD7BD1">
        <w:rPr>
          <w:rFonts w:cs="Calibri"/>
          <w:color w:val="000000" w:themeColor="text1"/>
          <w:w w:val="110"/>
          <w:szCs w:val="22"/>
        </w:rPr>
        <w:t>2025,</w:t>
      </w:r>
      <w:r w:rsidRPr="00DD7BD1">
        <w:rPr>
          <w:rFonts w:cs="Calibri"/>
          <w:color w:val="000000" w:themeColor="text1"/>
          <w:spacing w:val="-17"/>
          <w:w w:val="110"/>
          <w:szCs w:val="22"/>
        </w:rPr>
        <w:t xml:space="preserve"> </w:t>
      </w:r>
      <w:r w:rsidRPr="00DD7BD1">
        <w:rPr>
          <w:rFonts w:cs="Calibri"/>
          <w:color w:val="000000" w:themeColor="text1"/>
          <w:w w:val="110"/>
          <w:szCs w:val="22"/>
        </w:rPr>
        <w:t>employers</w:t>
      </w:r>
      <w:r w:rsidRPr="00DD7BD1">
        <w:rPr>
          <w:rFonts w:cs="Calibri"/>
          <w:color w:val="000000" w:themeColor="text1"/>
          <w:spacing w:val="-17"/>
          <w:w w:val="110"/>
          <w:szCs w:val="22"/>
        </w:rPr>
        <w:t xml:space="preserve"> </w:t>
      </w:r>
      <w:r w:rsidRPr="00DD7BD1">
        <w:rPr>
          <w:rFonts w:cs="Calibri"/>
          <w:color w:val="000000" w:themeColor="text1"/>
          <w:w w:val="110"/>
          <w:szCs w:val="22"/>
        </w:rPr>
        <w:t>with</w:t>
      </w:r>
      <w:r w:rsidRPr="00DD7BD1">
        <w:rPr>
          <w:rFonts w:cs="Calibri"/>
          <w:color w:val="000000" w:themeColor="text1"/>
          <w:spacing w:val="-16"/>
          <w:w w:val="110"/>
          <w:szCs w:val="22"/>
        </w:rPr>
        <w:t xml:space="preserve"> </w:t>
      </w:r>
      <w:r w:rsidRPr="00DD7BD1">
        <w:rPr>
          <w:rFonts w:cs="Calibri"/>
          <w:color w:val="000000" w:themeColor="text1"/>
          <w:w w:val="110"/>
          <w:szCs w:val="22"/>
        </w:rPr>
        <w:t>25</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7"/>
          <w:w w:val="110"/>
          <w:szCs w:val="22"/>
        </w:rPr>
        <w:t xml:space="preserve"> </w:t>
      </w:r>
      <w:r w:rsidRPr="00DD7BD1">
        <w:rPr>
          <w:rFonts w:cs="Calibri"/>
          <w:color w:val="000000" w:themeColor="text1"/>
          <w:w w:val="110"/>
          <w:szCs w:val="22"/>
        </w:rPr>
        <w:t>more</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in</w:t>
      </w:r>
      <w:r w:rsidRPr="00DD7BD1">
        <w:rPr>
          <w:rFonts w:cs="Calibri"/>
          <w:color w:val="000000" w:themeColor="text1"/>
          <w:spacing w:val="-16"/>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state</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have</w:t>
      </w:r>
      <w:r w:rsidRPr="00DD7BD1">
        <w:rPr>
          <w:rFonts w:cs="Calibri"/>
          <w:color w:val="000000" w:themeColor="text1"/>
          <w:spacing w:val="-17"/>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pay</w:t>
      </w:r>
      <w:r w:rsidRPr="00DD7BD1">
        <w:rPr>
          <w:rFonts w:cs="Calibri"/>
          <w:color w:val="000000" w:themeColor="text1"/>
          <w:spacing w:val="-17"/>
          <w:w w:val="110"/>
          <w:szCs w:val="22"/>
        </w:rPr>
        <w:t xml:space="preserve"> </w:t>
      </w:r>
      <w:r w:rsidRPr="00DD7BD1">
        <w:rPr>
          <w:rFonts w:cs="Calibri"/>
          <w:color w:val="000000" w:themeColor="text1"/>
          <w:w w:val="110"/>
          <w:szCs w:val="22"/>
        </w:rPr>
        <w:t>transparency obligations, outlined below.</w:t>
      </w:r>
    </w:p>
    <w:p w14:paraId="62E0FC80" w14:textId="77777777" w:rsidR="003A22A9" w:rsidRPr="00DD7BD1" w:rsidRDefault="003A22A9" w:rsidP="003A22A9">
      <w:pPr>
        <w:pStyle w:val="Heading4"/>
        <w:spacing w:before="0"/>
        <w:ind w:right="-180"/>
        <w:rPr>
          <w:rFonts w:ascii="Calibri" w:hAnsi="Calibri" w:cs="Calibri"/>
          <w:b/>
          <w:bCs/>
          <w:i w:val="0"/>
          <w:iCs w:val="0"/>
          <w:color w:val="000000" w:themeColor="text1"/>
          <w:sz w:val="16"/>
          <w:szCs w:val="16"/>
        </w:rPr>
      </w:pPr>
    </w:p>
    <w:p w14:paraId="6C4399CE"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rPr>
        <w:t>Pay</w:t>
      </w:r>
      <w:r w:rsidRPr="00DD7BD1">
        <w:rPr>
          <w:rFonts w:ascii="Calibri" w:hAnsi="Calibri" w:cs="Calibri"/>
          <w:b/>
          <w:bCs/>
          <w:i w:val="0"/>
          <w:iCs w:val="0"/>
          <w:color w:val="000000" w:themeColor="text1"/>
          <w:spacing w:val="-1"/>
        </w:rPr>
        <w:t xml:space="preserve"> </w:t>
      </w:r>
      <w:r w:rsidRPr="00DD7BD1">
        <w:rPr>
          <w:rFonts w:ascii="Calibri" w:hAnsi="Calibri" w:cs="Calibri"/>
          <w:b/>
          <w:bCs/>
          <w:i w:val="0"/>
          <w:iCs w:val="0"/>
          <w:color w:val="000000" w:themeColor="text1"/>
        </w:rPr>
        <w:t>Ranges</w:t>
      </w:r>
      <w:r w:rsidRPr="00DD7BD1">
        <w:rPr>
          <w:rFonts w:ascii="Calibri" w:hAnsi="Calibri" w:cs="Calibri"/>
          <w:b/>
          <w:bCs/>
          <w:i w:val="0"/>
          <w:iCs w:val="0"/>
          <w:color w:val="000000" w:themeColor="text1"/>
          <w:spacing w:val="2"/>
        </w:rPr>
        <w:t xml:space="preserve"> </w:t>
      </w:r>
      <w:r w:rsidRPr="00DD7BD1">
        <w:rPr>
          <w:rFonts w:ascii="Calibri" w:hAnsi="Calibri" w:cs="Calibri"/>
          <w:b/>
          <w:bCs/>
          <w:i w:val="0"/>
          <w:iCs w:val="0"/>
          <w:color w:val="000000" w:themeColor="text1"/>
        </w:rPr>
        <w:t xml:space="preserve">in Job </w:t>
      </w:r>
      <w:r w:rsidRPr="00DD7BD1">
        <w:rPr>
          <w:rFonts w:ascii="Calibri" w:hAnsi="Calibri" w:cs="Calibri"/>
          <w:b/>
          <w:bCs/>
          <w:i w:val="0"/>
          <w:iCs w:val="0"/>
          <w:color w:val="000000" w:themeColor="text1"/>
          <w:spacing w:val="-5"/>
        </w:rPr>
        <w:t>Ads</w:t>
      </w:r>
    </w:p>
    <w:p w14:paraId="787075D5"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Employers</w:t>
      </w:r>
      <w:r w:rsidRPr="00DD7BD1">
        <w:rPr>
          <w:rFonts w:cs="Calibri"/>
          <w:color w:val="000000" w:themeColor="text1"/>
          <w:spacing w:val="-4"/>
          <w:w w:val="110"/>
          <w:szCs w:val="22"/>
        </w:rPr>
        <w:t xml:space="preserve"> </w:t>
      </w:r>
      <w:r w:rsidRPr="00DD7BD1">
        <w:rPr>
          <w:rFonts w:cs="Calibri"/>
          <w:color w:val="000000" w:themeColor="text1"/>
          <w:w w:val="110"/>
          <w:szCs w:val="22"/>
        </w:rPr>
        <w:t>will</w:t>
      </w:r>
      <w:r w:rsidRPr="00DD7BD1">
        <w:rPr>
          <w:rFonts w:cs="Calibri"/>
          <w:color w:val="000000" w:themeColor="text1"/>
          <w:spacing w:val="-6"/>
          <w:w w:val="110"/>
          <w:szCs w:val="22"/>
        </w:rPr>
        <w:t xml:space="preserve"> </w:t>
      </w:r>
      <w:r w:rsidRPr="00DD7BD1">
        <w:rPr>
          <w:rFonts w:cs="Calibri"/>
          <w:color w:val="000000" w:themeColor="text1"/>
          <w:w w:val="110"/>
          <w:szCs w:val="22"/>
        </w:rPr>
        <w:t>need</w:t>
      </w:r>
      <w:r w:rsidRPr="00DD7BD1">
        <w:rPr>
          <w:rFonts w:cs="Calibri"/>
          <w:color w:val="000000" w:themeColor="text1"/>
          <w:spacing w:val="-8"/>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include</w:t>
      </w:r>
      <w:r w:rsidRPr="00DD7BD1">
        <w:rPr>
          <w:rFonts w:cs="Calibri"/>
          <w:color w:val="000000" w:themeColor="text1"/>
          <w:spacing w:val="-4"/>
          <w:w w:val="110"/>
          <w:szCs w:val="22"/>
        </w:rPr>
        <w:t xml:space="preserve"> </w:t>
      </w:r>
      <w:r w:rsidRPr="00DD7BD1">
        <w:rPr>
          <w:rFonts w:cs="Calibri"/>
          <w:color w:val="000000" w:themeColor="text1"/>
          <w:w w:val="110"/>
          <w:szCs w:val="22"/>
        </w:rPr>
        <w:t>a</w:t>
      </w:r>
      <w:r w:rsidRPr="00DD7BD1">
        <w:rPr>
          <w:rFonts w:cs="Calibri"/>
          <w:color w:val="000000" w:themeColor="text1"/>
          <w:spacing w:val="-8"/>
          <w:w w:val="110"/>
          <w:szCs w:val="22"/>
        </w:rPr>
        <w:t xml:space="preserve"> </w:t>
      </w:r>
      <w:r w:rsidRPr="00DD7BD1">
        <w:rPr>
          <w:rFonts w:cs="Calibri"/>
          <w:color w:val="000000" w:themeColor="text1"/>
          <w:w w:val="110"/>
          <w:szCs w:val="22"/>
        </w:rPr>
        <w:t>pay</w:t>
      </w:r>
      <w:r w:rsidRPr="00DD7BD1">
        <w:rPr>
          <w:rFonts w:cs="Calibri"/>
          <w:color w:val="000000" w:themeColor="text1"/>
          <w:spacing w:val="-4"/>
          <w:w w:val="110"/>
          <w:szCs w:val="22"/>
        </w:rPr>
        <w:t xml:space="preserve"> </w:t>
      </w:r>
      <w:r w:rsidRPr="00DD7BD1">
        <w:rPr>
          <w:rFonts w:cs="Calibri"/>
          <w:color w:val="000000" w:themeColor="text1"/>
          <w:w w:val="110"/>
          <w:szCs w:val="22"/>
        </w:rPr>
        <w:t>range</w:t>
      </w:r>
      <w:r w:rsidRPr="00DD7BD1">
        <w:rPr>
          <w:rFonts w:cs="Calibri"/>
          <w:color w:val="000000" w:themeColor="text1"/>
          <w:spacing w:val="-8"/>
          <w:w w:val="110"/>
          <w:szCs w:val="22"/>
        </w:rPr>
        <w:t xml:space="preserve"> </w:t>
      </w:r>
      <w:r w:rsidRPr="00DD7BD1">
        <w:rPr>
          <w:rFonts w:cs="Calibri"/>
          <w:color w:val="000000" w:themeColor="text1"/>
          <w:w w:val="110"/>
          <w:szCs w:val="22"/>
        </w:rPr>
        <w:t>in</w:t>
      </w:r>
      <w:r w:rsidRPr="00DD7BD1">
        <w:rPr>
          <w:rFonts w:cs="Calibri"/>
          <w:color w:val="000000" w:themeColor="text1"/>
          <w:spacing w:val="-5"/>
          <w:w w:val="110"/>
          <w:szCs w:val="22"/>
        </w:rPr>
        <w:t xml:space="preserve"> </w:t>
      </w:r>
      <w:r w:rsidRPr="00DD7BD1">
        <w:rPr>
          <w:rFonts w:cs="Calibri"/>
          <w:color w:val="000000" w:themeColor="text1"/>
          <w:w w:val="110"/>
          <w:szCs w:val="22"/>
        </w:rPr>
        <w:t>all</w:t>
      </w:r>
      <w:r w:rsidRPr="00DD7BD1">
        <w:rPr>
          <w:rFonts w:cs="Calibri"/>
          <w:color w:val="000000" w:themeColor="text1"/>
          <w:spacing w:val="-6"/>
          <w:w w:val="110"/>
          <w:szCs w:val="22"/>
        </w:rPr>
        <w:t xml:space="preserve"> </w:t>
      </w:r>
      <w:r w:rsidRPr="00DD7BD1">
        <w:rPr>
          <w:rFonts w:cs="Calibri"/>
          <w:color w:val="000000" w:themeColor="text1"/>
          <w:w w:val="110"/>
          <w:szCs w:val="22"/>
        </w:rPr>
        <w:t>job</w:t>
      </w:r>
      <w:r w:rsidRPr="00DD7BD1">
        <w:rPr>
          <w:rFonts w:cs="Calibri"/>
          <w:color w:val="000000" w:themeColor="text1"/>
          <w:spacing w:val="-8"/>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The</w:t>
      </w:r>
      <w:r w:rsidRPr="00DD7BD1">
        <w:rPr>
          <w:rFonts w:cs="Calibri"/>
          <w:color w:val="000000" w:themeColor="text1"/>
          <w:spacing w:val="-4"/>
          <w:w w:val="110"/>
          <w:szCs w:val="22"/>
        </w:rPr>
        <w:t xml:space="preserve"> </w:t>
      </w:r>
      <w:r w:rsidRPr="00DD7BD1">
        <w:rPr>
          <w:rFonts w:cs="Calibri"/>
          <w:color w:val="000000" w:themeColor="text1"/>
          <w:w w:val="110"/>
          <w:szCs w:val="22"/>
        </w:rPr>
        <w:t>law</w:t>
      </w:r>
      <w:r w:rsidRPr="00DD7BD1">
        <w:rPr>
          <w:rFonts w:cs="Calibri"/>
          <w:color w:val="000000" w:themeColor="text1"/>
          <w:spacing w:val="-8"/>
          <w:w w:val="110"/>
          <w:szCs w:val="22"/>
        </w:rPr>
        <w:t xml:space="preserve"> </w:t>
      </w:r>
      <w:r w:rsidRPr="00DD7BD1">
        <w:rPr>
          <w:rFonts w:cs="Calibri"/>
          <w:color w:val="000000" w:themeColor="text1"/>
          <w:w w:val="110"/>
          <w:szCs w:val="22"/>
        </w:rPr>
        <w:t>applies</w:t>
      </w:r>
      <w:r w:rsidRPr="00DD7BD1">
        <w:rPr>
          <w:rFonts w:cs="Calibri"/>
          <w:color w:val="000000" w:themeColor="text1"/>
          <w:spacing w:val="-3"/>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internal</w:t>
      </w:r>
      <w:r w:rsidRPr="00DD7BD1">
        <w:rPr>
          <w:rFonts w:cs="Calibri"/>
          <w:color w:val="000000" w:themeColor="text1"/>
          <w:spacing w:val="-5"/>
          <w:w w:val="110"/>
          <w:szCs w:val="22"/>
        </w:rPr>
        <w:t xml:space="preserve"> </w:t>
      </w:r>
      <w:r w:rsidRPr="00DD7BD1">
        <w:rPr>
          <w:rFonts w:cs="Calibri"/>
          <w:color w:val="000000" w:themeColor="text1"/>
          <w:w w:val="110"/>
          <w:szCs w:val="22"/>
        </w:rPr>
        <w:t>and</w:t>
      </w:r>
      <w:r w:rsidRPr="00DD7BD1">
        <w:rPr>
          <w:rFonts w:cs="Calibri"/>
          <w:color w:val="000000" w:themeColor="text1"/>
          <w:spacing w:val="-8"/>
          <w:w w:val="110"/>
          <w:szCs w:val="22"/>
        </w:rPr>
        <w:t xml:space="preserve"> </w:t>
      </w:r>
      <w:r w:rsidRPr="00DD7BD1">
        <w:rPr>
          <w:rFonts w:cs="Calibri"/>
          <w:color w:val="000000" w:themeColor="text1"/>
          <w:w w:val="110"/>
          <w:szCs w:val="22"/>
        </w:rPr>
        <w:t>external</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as well</w:t>
      </w:r>
      <w:r w:rsidRPr="00DD7BD1">
        <w:rPr>
          <w:rFonts w:cs="Calibri"/>
          <w:color w:val="000000" w:themeColor="text1"/>
          <w:spacing w:val="-5"/>
          <w:w w:val="110"/>
          <w:szCs w:val="22"/>
        </w:rPr>
        <w:t xml:space="preserve"> </w:t>
      </w:r>
      <w:r w:rsidRPr="00DD7BD1">
        <w:rPr>
          <w:rFonts w:cs="Calibri"/>
          <w:color w:val="000000" w:themeColor="text1"/>
          <w:w w:val="110"/>
          <w:szCs w:val="22"/>
        </w:rPr>
        <w:t>as</w:t>
      </w:r>
      <w:r w:rsidRPr="00DD7BD1">
        <w:rPr>
          <w:rFonts w:cs="Calibri"/>
          <w:color w:val="000000" w:themeColor="text1"/>
          <w:spacing w:val="-2"/>
          <w:w w:val="110"/>
          <w:szCs w:val="22"/>
        </w:rPr>
        <w:t xml:space="preserve"> </w:t>
      </w:r>
      <w:r w:rsidRPr="00DD7BD1">
        <w:rPr>
          <w:rFonts w:cs="Calibri"/>
          <w:color w:val="000000" w:themeColor="text1"/>
          <w:w w:val="110"/>
          <w:szCs w:val="22"/>
        </w:rPr>
        <w:t>to</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from</w:t>
      </w:r>
      <w:r w:rsidRPr="00DD7BD1">
        <w:rPr>
          <w:rFonts w:cs="Calibri"/>
          <w:color w:val="000000" w:themeColor="text1"/>
          <w:spacing w:val="-5"/>
          <w:w w:val="110"/>
          <w:szCs w:val="22"/>
        </w:rPr>
        <w:t xml:space="preserve"> </w:t>
      </w:r>
      <w:r w:rsidRPr="00DD7BD1">
        <w:rPr>
          <w:rFonts w:cs="Calibri"/>
          <w:color w:val="000000" w:themeColor="text1"/>
          <w:w w:val="110"/>
          <w:szCs w:val="22"/>
        </w:rPr>
        <w:t>third</w:t>
      </w:r>
      <w:r w:rsidRPr="00DD7BD1">
        <w:rPr>
          <w:rFonts w:cs="Calibri"/>
          <w:color w:val="000000" w:themeColor="text1"/>
          <w:spacing w:val="-2"/>
          <w:w w:val="110"/>
          <w:szCs w:val="22"/>
        </w:rPr>
        <w:t xml:space="preserve"> </w:t>
      </w:r>
      <w:r w:rsidRPr="00DD7BD1">
        <w:rPr>
          <w:rFonts w:cs="Calibri"/>
          <w:color w:val="000000" w:themeColor="text1"/>
          <w:w w:val="110"/>
          <w:szCs w:val="22"/>
        </w:rPr>
        <w:t>parties</w:t>
      </w:r>
      <w:r w:rsidRPr="00DD7BD1">
        <w:rPr>
          <w:rFonts w:cs="Calibri"/>
          <w:color w:val="000000" w:themeColor="text1"/>
          <w:spacing w:val="-2"/>
          <w:w w:val="110"/>
          <w:szCs w:val="22"/>
        </w:rPr>
        <w:t xml:space="preserve"> </w:t>
      </w:r>
      <w:r w:rsidRPr="00DD7BD1">
        <w:rPr>
          <w:rFonts w:cs="Calibri"/>
          <w:color w:val="000000" w:themeColor="text1"/>
          <w:w w:val="110"/>
          <w:szCs w:val="22"/>
        </w:rPr>
        <w:t>recruiting</w:t>
      </w:r>
      <w:r w:rsidRPr="00DD7BD1">
        <w:rPr>
          <w:rFonts w:cs="Calibri"/>
          <w:color w:val="000000" w:themeColor="text1"/>
          <w:spacing w:val="-5"/>
          <w:w w:val="110"/>
          <w:szCs w:val="22"/>
        </w:rPr>
        <w:t xml:space="preserve"> </w:t>
      </w:r>
      <w:r w:rsidRPr="00DD7BD1">
        <w:rPr>
          <w:rFonts w:cs="Calibri"/>
          <w:color w:val="000000" w:themeColor="text1"/>
          <w:w w:val="110"/>
          <w:szCs w:val="22"/>
        </w:rPr>
        <w:t>on</w:t>
      </w:r>
      <w:r w:rsidRPr="00DD7BD1">
        <w:rPr>
          <w:rFonts w:cs="Calibri"/>
          <w:color w:val="000000" w:themeColor="text1"/>
          <w:spacing w:val="-6"/>
          <w:w w:val="110"/>
          <w:szCs w:val="22"/>
        </w:rPr>
        <w:t xml:space="preserve"> </w:t>
      </w:r>
      <w:r w:rsidRPr="00DD7BD1">
        <w:rPr>
          <w:rFonts w:cs="Calibri"/>
          <w:color w:val="000000" w:themeColor="text1"/>
          <w:w w:val="110"/>
          <w:szCs w:val="22"/>
        </w:rPr>
        <w:t>an</w:t>
      </w:r>
      <w:r w:rsidRPr="00DD7BD1">
        <w:rPr>
          <w:rFonts w:cs="Calibri"/>
          <w:color w:val="000000" w:themeColor="text1"/>
          <w:spacing w:val="-2"/>
          <w:w w:val="110"/>
          <w:szCs w:val="22"/>
        </w:rPr>
        <w:t xml:space="preserve"> </w:t>
      </w:r>
      <w:r w:rsidRPr="00DD7BD1">
        <w:rPr>
          <w:rFonts w:cs="Calibri"/>
          <w:color w:val="000000" w:themeColor="text1"/>
          <w:w w:val="110"/>
          <w:szCs w:val="22"/>
        </w:rPr>
        <w:t>employer’s</w:t>
      </w:r>
      <w:r w:rsidRPr="00DD7BD1">
        <w:rPr>
          <w:rFonts w:cs="Calibri"/>
          <w:color w:val="000000" w:themeColor="text1"/>
          <w:spacing w:val="-5"/>
          <w:w w:val="110"/>
          <w:szCs w:val="22"/>
        </w:rPr>
        <w:t xml:space="preserve"> </w:t>
      </w:r>
      <w:r w:rsidRPr="00DD7BD1">
        <w:rPr>
          <w:rFonts w:cs="Calibri"/>
          <w:color w:val="000000" w:themeColor="text1"/>
          <w:w w:val="110"/>
          <w:szCs w:val="22"/>
        </w:rPr>
        <w:t>behalf.</w:t>
      </w:r>
      <w:r w:rsidRPr="00DD7BD1">
        <w:rPr>
          <w:rFonts w:cs="Calibri"/>
          <w:color w:val="000000" w:themeColor="text1"/>
          <w:spacing w:val="-3"/>
          <w:w w:val="110"/>
          <w:szCs w:val="22"/>
        </w:rPr>
        <w:t xml:space="preserve"> </w:t>
      </w:r>
      <w:r w:rsidRPr="00DD7BD1">
        <w:rPr>
          <w:rFonts w:cs="Calibri"/>
          <w:color w:val="000000" w:themeColor="text1"/>
          <w:w w:val="110"/>
          <w:szCs w:val="22"/>
        </w:rPr>
        <w:t>The</w:t>
      </w:r>
      <w:r w:rsidRPr="00DD7BD1">
        <w:rPr>
          <w:rFonts w:cs="Calibri"/>
          <w:color w:val="000000" w:themeColor="text1"/>
          <w:spacing w:val="-2"/>
          <w:w w:val="110"/>
          <w:szCs w:val="22"/>
        </w:rPr>
        <w:t xml:space="preserve"> </w:t>
      </w:r>
      <w:r w:rsidRPr="00DD7BD1">
        <w:rPr>
          <w:rFonts w:cs="Calibri"/>
          <w:color w:val="000000" w:themeColor="text1"/>
          <w:w w:val="110"/>
          <w:szCs w:val="22"/>
        </w:rPr>
        <w:t>pay</w:t>
      </w:r>
      <w:r w:rsidRPr="00DD7BD1">
        <w:rPr>
          <w:rFonts w:cs="Calibri"/>
          <w:color w:val="000000" w:themeColor="text1"/>
          <w:spacing w:val="-2"/>
          <w:w w:val="110"/>
          <w:szCs w:val="22"/>
        </w:rPr>
        <w:t xml:space="preserve"> </w:t>
      </w:r>
      <w:r w:rsidRPr="00DD7BD1">
        <w:rPr>
          <w:rFonts w:cs="Calibri"/>
          <w:color w:val="000000" w:themeColor="text1"/>
          <w:w w:val="110"/>
          <w:szCs w:val="22"/>
        </w:rPr>
        <w:t>range</w:t>
      </w:r>
      <w:r w:rsidRPr="00DD7BD1">
        <w:rPr>
          <w:rFonts w:cs="Calibri"/>
          <w:color w:val="000000" w:themeColor="text1"/>
          <w:spacing w:val="-2"/>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should</w:t>
      </w:r>
      <w:r w:rsidRPr="00DD7BD1">
        <w:rPr>
          <w:rFonts w:cs="Calibri"/>
          <w:color w:val="000000" w:themeColor="text1"/>
          <w:spacing w:val="-2"/>
          <w:w w:val="110"/>
          <w:szCs w:val="22"/>
        </w:rPr>
        <w:t xml:space="preserve"> </w:t>
      </w:r>
      <w:r w:rsidRPr="00DD7BD1">
        <w:rPr>
          <w:rFonts w:cs="Calibri"/>
          <w:color w:val="000000" w:themeColor="text1"/>
          <w:w w:val="110"/>
          <w:szCs w:val="22"/>
        </w:rPr>
        <w:t>be</w:t>
      </w:r>
      <w:r w:rsidRPr="00DD7BD1">
        <w:rPr>
          <w:rFonts w:cs="Calibri"/>
          <w:color w:val="000000" w:themeColor="text1"/>
          <w:spacing w:val="-2"/>
          <w:w w:val="110"/>
          <w:szCs w:val="22"/>
        </w:rPr>
        <w:t xml:space="preserve"> </w:t>
      </w:r>
      <w:r w:rsidRPr="00DD7BD1">
        <w:rPr>
          <w:rFonts w:cs="Calibri"/>
          <w:color w:val="000000" w:themeColor="text1"/>
          <w:w w:val="110"/>
          <w:szCs w:val="22"/>
        </w:rPr>
        <w:t>the amount</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6"/>
          <w:w w:val="110"/>
          <w:szCs w:val="22"/>
        </w:rPr>
        <w:t xml:space="preserve"> </w:t>
      </w:r>
      <w:r w:rsidRPr="00DD7BD1">
        <w:rPr>
          <w:rFonts w:cs="Calibri"/>
          <w:color w:val="000000" w:themeColor="text1"/>
          <w:w w:val="110"/>
          <w:szCs w:val="22"/>
        </w:rPr>
        <w:t>employer</w:t>
      </w:r>
      <w:r w:rsidRPr="00DD7BD1">
        <w:rPr>
          <w:rFonts w:cs="Calibri"/>
          <w:color w:val="000000" w:themeColor="text1"/>
          <w:spacing w:val="-14"/>
          <w:w w:val="110"/>
          <w:szCs w:val="22"/>
        </w:rPr>
        <w:t xml:space="preserve"> </w:t>
      </w:r>
      <w:r w:rsidRPr="00DD7BD1">
        <w:rPr>
          <w:rFonts w:cs="Calibri"/>
          <w:color w:val="000000" w:themeColor="text1"/>
          <w:w w:val="110"/>
          <w:szCs w:val="22"/>
        </w:rPr>
        <w:t>reasonably</w:t>
      </w:r>
      <w:r w:rsidRPr="00DD7BD1">
        <w:rPr>
          <w:rFonts w:cs="Calibri"/>
          <w:color w:val="000000" w:themeColor="text1"/>
          <w:spacing w:val="-13"/>
          <w:w w:val="110"/>
          <w:szCs w:val="22"/>
        </w:rPr>
        <w:t xml:space="preserve"> </w:t>
      </w:r>
      <w:r w:rsidRPr="00DD7BD1">
        <w:rPr>
          <w:rFonts w:cs="Calibri"/>
          <w:color w:val="000000" w:themeColor="text1"/>
          <w:w w:val="110"/>
          <w:szCs w:val="22"/>
        </w:rPr>
        <w:t>intends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position</w:t>
      </w:r>
      <w:r w:rsidRPr="00DD7BD1">
        <w:rPr>
          <w:rFonts w:cs="Calibri"/>
          <w:color w:val="000000" w:themeColor="text1"/>
          <w:spacing w:val="-13"/>
          <w:w w:val="110"/>
          <w:szCs w:val="22"/>
        </w:rPr>
        <w:t xml:space="preserve"> </w:t>
      </w:r>
      <w:r w:rsidRPr="00DD7BD1">
        <w:rPr>
          <w:rFonts w:cs="Calibri"/>
          <w:color w:val="000000" w:themeColor="text1"/>
          <w:w w:val="110"/>
          <w:szCs w:val="22"/>
        </w:rPr>
        <w:t>when</w:t>
      </w:r>
      <w:r w:rsidRPr="00DD7BD1">
        <w:rPr>
          <w:rFonts w:cs="Calibri"/>
          <w:color w:val="000000" w:themeColor="text1"/>
          <w:spacing w:val="-15"/>
          <w:w w:val="110"/>
          <w:szCs w:val="22"/>
        </w:rPr>
        <w:t xml:space="preserve"> </w:t>
      </w:r>
      <w:r w:rsidRPr="00DD7BD1">
        <w:rPr>
          <w:rFonts w:cs="Calibri"/>
          <w:color w:val="000000" w:themeColor="text1"/>
          <w:w w:val="110"/>
          <w:szCs w:val="22"/>
        </w:rPr>
        <w:t>filled—</w:t>
      </w:r>
      <w:r w:rsidRPr="00DD7BD1">
        <w:rPr>
          <w:rFonts w:cs="Calibri"/>
          <w:i/>
          <w:color w:val="000000" w:themeColor="text1"/>
          <w:w w:val="110"/>
          <w:szCs w:val="22"/>
        </w:rPr>
        <w:t>not</w:t>
      </w:r>
      <w:r w:rsidRPr="00DD7BD1">
        <w:rPr>
          <w:rFonts w:cs="Calibri"/>
          <w: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3"/>
          <w:w w:val="110"/>
          <w:szCs w:val="22"/>
        </w:rPr>
        <w:t xml:space="preserve"> </w:t>
      </w:r>
      <w:r w:rsidRPr="00DD7BD1">
        <w:rPr>
          <w:rFonts w:cs="Calibri"/>
          <w:color w:val="000000" w:themeColor="text1"/>
          <w:w w:val="110"/>
          <w:szCs w:val="22"/>
        </w:rPr>
        <w:t>entire</w:t>
      </w:r>
      <w:r w:rsidRPr="00DD7BD1">
        <w:rPr>
          <w:rFonts w:cs="Calibri"/>
          <w:color w:val="000000" w:themeColor="text1"/>
          <w:spacing w:val="-15"/>
          <w:w w:val="110"/>
          <w:szCs w:val="22"/>
        </w:rPr>
        <w:t xml:space="preserve"> </w:t>
      </w:r>
      <w:r w:rsidRPr="00DD7BD1">
        <w:rPr>
          <w:rFonts w:cs="Calibri"/>
          <w:color w:val="000000" w:themeColor="text1"/>
          <w:w w:val="110"/>
          <w:szCs w:val="22"/>
        </w:rPr>
        <w:t>potential</w:t>
      </w:r>
      <w:r w:rsidRPr="00DD7BD1">
        <w:rPr>
          <w:rFonts w:cs="Calibri"/>
          <w:color w:val="000000" w:themeColor="text1"/>
          <w:spacing w:val="-17"/>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3"/>
          <w:w w:val="110"/>
          <w:szCs w:val="22"/>
        </w:rPr>
        <w:t xml:space="preserve"> </w:t>
      </w:r>
      <w:r w:rsidRPr="00DD7BD1">
        <w:rPr>
          <w:rFonts w:cs="Calibri"/>
          <w:color w:val="000000" w:themeColor="text1"/>
          <w:w w:val="110"/>
          <w:szCs w:val="22"/>
        </w:rPr>
        <w:t>for the</w:t>
      </w:r>
      <w:r w:rsidRPr="00DD7BD1">
        <w:rPr>
          <w:rFonts w:cs="Calibri"/>
          <w:color w:val="000000" w:themeColor="text1"/>
          <w:spacing w:val="-11"/>
          <w:w w:val="110"/>
          <w:szCs w:val="22"/>
        </w:rPr>
        <w:t xml:space="preserve"> </w:t>
      </w:r>
      <w:r w:rsidRPr="00DD7BD1">
        <w:rPr>
          <w:rFonts w:cs="Calibri"/>
          <w:color w:val="000000" w:themeColor="text1"/>
          <w:w w:val="110"/>
          <w:szCs w:val="22"/>
        </w:rPr>
        <w:t>position</w:t>
      </w:r>
      <w:r w:rsidRPr="00DD7BD1">
        <w:rPr>
          <w:rFonts w:cs="Calibri"/>
          <w:color w:val="000000" w:themeColor="text1"/>
          <w:spacing w:val="-9"/>
          <w:w w:val="110"/>
          <w:szCs w:val="22"/>
        </w:rPr>
        <w:t xml:space="preserve"> </w:t>
      </w:r>
      <w:r w:rsidRPr="00DD7BD1">
        <w:rPr>
          <w:rFonts w:cs="Calibri"/>
          <w:color w:val="000000" w:themeColor="text1"/>
          <w:w w:val="110"/>
          <w:szCs w:val="22"/>
        </w:rPr>
        <w:t>from</w:t>
      </w:r>
      <w:r w:rsidRPr="00DD7BD1">
        <w:rPr>
          <w:rFonts w:cs="Calibri"/>
          <w:color w:val="000000" w:themeColor="text1"/>
          <w:spacing w:val="-11"/>
          <w:w w:val="110"/>
          <w:szCs w:val="22"/>
        </w:rPr>
        <w:t xml:space="preserve"> </w:t>
      </w:r>
      <w:r w:rsidRPr="00DD7BD1">
        <w:rPr>
          <w:rFonts w:cs="Calibri"/>
          <w:color w:val="000000" w:themeColor="text1"/>
          <w:w w:val="110"/>
          <w:szCs w:val="22"/>
        </w:rPr>
        <w:t>entry</w:t>
      </w:r>
      <w:r w:rsidRPr="00DD7BD1">
        <w:rPr>
          <w:rFonts w:cs="Calibri"/>
          <w:color w:val="000000" w:themeColor="text1"/>
          <w:spacing w:val="-9"/>
          <w:w w:val="110"/>
          <w:szCs w:val="22"/>
        </w:rPr>
        <w:t xml:space="preserve"> </w:t>
      </w:r>
      <w:r w:rsidRPr="00DD7BD1">
        <w:rPr>
          <w:rFonts w:cs="Calibri"/>
          <w:color w:val="000000" w:themeColor="text1"/>
          <w:w w:val="110"/>
          <w:szCs w:val="22"/>
        </w:rPr>
        <w:t>level</w:t>
      </w:r>
      <w:r w:rsidRPr="00DD7BD1">
        <w:rPr>
          <w:rFonts w:cs="Calibri"/>
          <w:color w:val="000000" w:themeColor="text1"/>
          <w:spacing w:val="-10"/>
          <w:w w:val="110"/>
          <w:szCs w:val="22"/>
        </w:rPr>
        <w:t xml:space="preserve"> </w:t>
      </w:r>
      <w:r w:rsidRPr="00DD7BD1">
        <w:rPr>
          <w:rFonts w:cs="Calibri"/>
          <w:color w:val="000000" w:themeColor="text1"/>
          <w:w w:val="110"/>
          <w:szCs w:val="22"/>
        </w:rPr>
        <w:t>through</w:t>
      </w:r>
      <w:r w:rsidRPr="00DD7BD1">
        <w:rPr>
          <w:rFonts w:cs="Calibri"/>
          <w:color w:val="000000" w:themeColor="text1"/>
          <w:spacing w:val="-9"/>
          <w:w w:val="110"/>
          <w:szCs w:val="22"/>
        </w:rPr>
        <w:t xml:space="preserve"> </w:t>
      </w:r>
      <w:r w:rsidRPr="00DD7BD1">
        <w:rPr>
          <w:rFonts w:cs="Calibri"/>
          <w:color w:val="000000" w:themeColor="text1"/>
          <w:w w:val="110"/>
          <w:szCs w:val="22"/>
        </w:rPr>
        <w:t>retirement.</w:t>
      </w:r>
      <w:r w:rsidRPr="00DD7BD1">
        <w:rPr>
          <w:rFonts w:cs="Calibri"/>
          <w:color w:val="000000" w:themeColor="text1"/>
          <w:spacing w:val="-10"/>
          <w:w w:val="110"/>
          <w:szCs w:val="22"/>
        </w:rPr>
        <w:t xml:space="preserve"> </w:t>
      </w:r>
      <w:r w:rsidRPr="00DD7BD1">
        <w:rPr>
          <w:rFonts w:cs="Calibri"/>
          <w:color w:val="000000" w:themeColor="text1"/>
          <w:w w:val="110"/>
          <w:szCs w:val="22"/>
        </w:rPr>
        <w:t>Generally,</w:t>
      </w:r>
      <w:r w:rsidRPr="00DD7BD1">
        <w:rPr>
          <w:rFonts w:cs="Calibri"/>
          <w:color w:val="000000" w:themeColor="text1"/>
          <w:spacing w:val="-10"/>
          <w:w w:val="110"/>
          <w:szCs w:val="22"/>
        </w:rPr>
        <w:t xml:space="preserve"> </w:t>
      </w:r>
      <w:r w:rsidRPr="00DD7BD1">
        <w:rPr>
          <w:rFonts w:cs="Calibri"/>
          <w:color w:val="000000" w:themeColor="text1"/>
          <w:w w:val="110"/>
          <w:szCs w:val="22"/>
        </w:rPr>
        <w:t>the</w:t>
      </w:r>
      <w:r w:rsidRPr="00DD7BD1">
        <w:rPr>
          <w:rFonts w:cs="Calibri"/>
          <w:color w:val="000000" w:themeColor="text1"/>
          <w:spacing w:val="-12"/>
          <w:w w:val="110"/>
          <w:szCs w:val="22"/>
        </w:rPr>
        <w:t xml:space="preserve"> </w:t>
      </w:r>
      <w:r w:rsidRPr="00DD7BD1">
        <w:rPr>
          <w:rFonts w:cs="Calibri"/>
          <w:color w:val="000000" w:themeColor="text1"/>
          <w:w w:val="110"/>
          <w:szCs w:val="22"/>
        </w:rPr>
        <w:t>applicable</w:t>
      </w:r>
      <w:r w:rsidRPr="00DD7BD1">
        <w:rPr>
          <w:rFonts w:cs="Calibri"/>
          <w:color w:val="000000" w:themeColor="text1"/>
          <w:spacing w:val="-12"/>
          <w:w w:val="110"/>
          <w:szCs w:val="22"/>
        </w:rPr>
        <w:t xml:space="preserve"> </w:t>
      </w:r>
      <w:r w:rsidRPr="00DD7BD1">
        <w:rPr>
          <w:rFonts w:cs="Calibri"/>
          <w:color w:val="000000" w:themeColor="text1"/>
          <w:w w:val="110"/>
          <w:szCs w:val="22"/>
        </w:rPr>
        <w:t>pay</w:t>
      </w:r>
      <w:r w:rsidRPr="00DD7BD1">
        <w:rPr>
          <w:rFonts w:cs="Calibri"/>
          <w:color w:val="000000" w:themeColor="text1"/>
          <w:spacing w:val="-9"/>
          <w:w w:val="110"/>
          <w:szCs w:val="22"/>
        </w:rPr>
        <w:t xml:space="preserve"> </w:t>
      </w:r>
      <w:r w:rsidRPr="00DD7BD1">
        <w:rPr>
          <w:rFonts w:cs="Calibri"/>
          <w:color w:val="000000" w:themeColor="text1"/>
          <w:w w:val="110"/>
          <w:szCs w:val="22"/>
        </w:rPr>
        <w:t>range</w:t>
      </w:r>
      <w:r w:rsidRPr="00DD7BD1">
        <w:rPr>
          <w:rFonts w:cs="Calibri"/>
          <w:color w:val="000000" w:themeColor="text1"/>
          <w:spacing w:val="-12"/>
          <w:w w:val="110"/>
          <w:szCs w:val="22"/>
        </w:rPr>
        <w:t xml:space="preserve"> </w:t>
      </w:r>
      <w:r w:rsidRPr="00DD7BD1">
        <w:rPr>
          <w:rFonts w:cs="Calibri"/>
          <w:color w:val="000000" w:themeColor="text1"/>
          <w:w w:val="110"/>
          <w:szCs w:val="22"/>
        </w:rPr>
        <w:t>will</w:t>
      </w:r>
      <w:r w:rsidRPr="00DD7BD1">
        <w:rPr>
          <w:rFonts w:cs="Calibri"/>
          <w:color w:val="000000" w:themeColor="text1"/>
          <w:spacing w:val="-11"/>
          <w:w w:val="110"/>
          <w:szCs w:val="22"/>
        </w:rPr>
        <w:t xml:space="preserve"> </w:t>
      </w:r>
      <w:r w:rsidRPr="00DD7BD1">
        <w:rPr>
          <w:rFonts w:cs="Calibri"/>
          <w:color w:val="000000" w:themeColor="text1"/>
          <w:w w:val="110"/>
          <w:szCs w:val="22"/>
        </w:rPr>
        <w:t>be</w:t>
      </w:r>
      <w:r w:rsidRPr="00DD7BD1">
        <w:rPr>
          <w:rFonts w:cs="Calibri"/>
          <w:color w:val="000000" w:themeColor="text1"/>
          <w:spacing w:val="-9"/>
          <w:w w:val="110"/>
          <w:szCs w:val="22"/>
        </w:rPr>
        <w:t xml:space="preserve"> </w:t>
      </w:r>
      <w:r w:rsidRPr="00DD7BD1">
        <w:rPr>
          <w:rFonts w:cs="Calibri"/>
          <w:color w:val="000000" w:themeColor="text1"/>
          <w:w w:val="110"/>
          <w:szCs w:val="22"/>
        </w:rPr>
        <w:t>the</w:t>
      </w:r>
      <w:r w:rsidRPr="00DD7BD1">
        <w:rPr>
          <w:rFonts w:cs="Calibri"/>
          <w:color w:val="000000" w:themeColor="text1"/>
          <w:spacing w:val="-11"/>
          <w:w w:val="110"/>
          <w:szCs w:val="22"/>
        </w:rPr>
        <w:t xml:space="preserve"> </w:t>
      </w:r>
      <w:r w:rsidRPr="00DD7BD1">
        <w:rPr>
          <w:rFonts w:cs="Calibri"/>
          <w:color w:val="000000" w:themeColor="text1"/>
          <w:w w:val="110"/>
          <w:szCs w:val="22"/>
        </w:rPr>
        <w:t>amount</w:t>
      </w:r>
      <w:r w:rsidRPr="00DD7BD1">
        <w:rPr>
          <w:rFonts w:cs="Calibri"/>
          <w:color w:val="000000" w:themeColor="text1"/>
          <w:spacing w:val="-11"/>
          <w:w w:val="110"/>
          <w:szCs w:val="22"/>
        </w:rPr>
        <w:t xml:space="preserve"> </w:t>
      </w:r>
      <w:r w:rsidRPr="00DD7BD1">
        <w:rPr>
          <w:rFonts w:cs="Calibri"/>
          <w:color w:val="000000" w:themeColor="text1"/>
          <w:w w:val="110"/>
          <w:szCs w:val="22"/>
        </w:rPr>
        <w:t>budgeted for the position.</w:t>
      </w:r>
    </w:p>
    <w:p w14:paraId="0D657247" w14:textId="77777777" w:rsidR="003A22A9" w:rsidRPr="00DD7BD1" w:rsidRDefault="003A22A9" w:rsidP="003A22A9">
      <w:pPr>
        <w:pStyle w:val="Heading4"/>
        <w:spacing w:before="0"/>
        <w:ind w:right="-180"/>
        <w:rPr>
          <w:rFonts w:ascii="Calibri" w:hAnsi="Calibri" w:cs="Calibri"/>
          <w:i w:val="0"/>
          <w:iCs w:val="0"/>
          <w:color w:val="000000" w:themeColor="text1"/>
          <w:spacing w:val="-8"/>
          <w:sz w:val="16"/>
          <w:szCs w:val="16"/>
        </w:rPr>
      </w:pPr>
    </w:p>
    <w:p w14:paraId="07DDD80D"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8"/>
        </w:rPr>
        <w:t>Promotions</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and</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Transfers</w:t>
      </w:r>
    </w:p>
    <w:p w14:paraId="64B61E6C"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Employees</w:t>
      </w:r>
      <w:r w:rsidRPr="00DD7BD1">
        <w:rPr>
          <w:rFonts w:cs="Calibri"/>
          <w:color w:val="000000" w:themeColor="text1"/>
          <w:spacing w:val="-13"/>
          <w:w w:val="110"/>
          <w:szCs w:val="22"/>
        </w:rPr>
        <w:t xml:space="preserve"> </w:t>
      </w:r>
      <w:r w:rsidRPr="00DD7BD1">
        <w:rPr>
          <w:rFonts w:cs="Calibri"/>
          <w:color w:val="000000" w:themeColor="text1"/>
          <w:w w:val="110"/>
          <w:szCs w:val="22"/>
        </w:rPr>
        <w:t>who</w:t>
      </w:r>
      <w:r w:rsidRPr="00DD7BD1">
        <w:rPr>
          <w:rFonts w:cs="Calibri"/>
          <w:color w:val="000000" w:themeColor="text1"/>
          <w:spacing w:val="-15"/>
          <w:w w:val="110"/>
          <w:szCs w:val="22"/>
        </w:rPr>
        <w:t xml:space="preserve"> </w:t>
      </w:r>
      <w:r w:rsidRPr="00DD7BD1">
        <w:rPr>
          <w:rFonts w:cs="Calibri"/>
          <w:color w:val="000000" w:themeColor="text1"/>
          <w:w w:val="110"/>
          <w:szCs w:val="22"/>
        </w:rPr>
        <w:t>are</w:t>
      </w:r>
      <w:r w:rsidRPr="00DD7BD1">
        <w:rPr>
          <w:rFonts w:cs="Calibri"/>
          <w:color w:val="000000" w:themeColor="text1"/>
          <w:spacing w:val="-16"/>
          <w:w w:val="110"/>
          <w:szCs w:val="22"/>
        </w:rPr>
        <w:t xml:space="preserve"> </w:t>
      </w:r>
      <w:r w:rsidRPr="00DD7BD1">
        <w:rPr>
          <w:rFonts w:cs="Calibri"/>
          <w:color w:val="000000" w:themeColor="text1"/>
          <w:w w:val="110"/>
          <w:szCs w:val="22"/>
        </w:rPr>
        <w:t>offered</w:t>
      </w:r>
      <w:r w:rsidRPr="00DD7BD1">
        <w:rPr>
          <w:rFonts w:cs="Calibri"/>
          <w:color w:val="000000" w:themeColor="text1"/>
          <w:spacing w:val="-13"/>
          <w:w w:val="110"/>
          <w:szCs w:val="22"/>
        </w:rPr>
        <w:t xml:space="preserve"> </w:t>
      </w:r>
      <w:r w:rsidRPr="00DD7BD1">
        <w:rPr>
          <w:rFonts w:cs="Calibri"/>
          <w:color w:val="000000" w:themeColor="text1"/>
          <w:w w:val="110"/>
          <w:szCs w:val="22"/>
        </w:rPr>
        <w:t>promotions</w:t>
      </w:r>
      <w:r w:rsidRPr="00DD7BD1">
        <w:rPr>
          <w:rFonts w:cs="Calibri"/>
          <w:color w:val="000000" w:themeColor="text1"/>
          <w:spacing w:val="-15"/>
          <w:w w:val="110"/>
          <w:szCs w:val="22"/>
        </w:rPr>
        <w:t xml:space="preserve"> </w:t>
      </w:r>
      <w:r w:rsidRPr="00DD7BD1">
        <w:rPr>
          <w:rFonts w:cs="Calibri"/>
          <w:color w:val="000000" w:themeColor="text1"/>
          <w:w w:val="110"/>
          <w:szCs w:val="22"/>
        </w:rPr>
        <w:t>or</w:t>
      </w:r>
      <w:r w:rsidRPr="00DD7BD1">
        <w:rPr>
          <w:rFonts w:cs="Calibri"/>
          <w:color w:val="000000" w:themeColor="text1"/>
          <w:spacing w:val="-14"/>
          <w:w w:val="110"/>
          <w:szCs w:val="22"/>
        </w:rPr>
        <w:t xml:space="preserve"> </w:t>
      </w:r>
      <w:r w:rsidRPr="00DD7BD1">
        <w:rPr>
          <w:rFonts w:cs="Calibri"/>
          <w:color w:val="000000" w:themeColor="text1"/>
          <w:w w:val="110"/>
          <w:szCs w:val="22"/>
        </w:rPr>
        <w:t>transfers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3"/>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positions</w:t>
      </w:r>
      <w:r w:rsidRPr="00DD7BD1">
        <w:rPr>
          <w:rFonts w:cs="Calibri"/>
          <w:color w:val="000000" w:themeColor="text1"/>
          <w:spacing w:val="-13"/>
          <w:w w:val="110"/>
          <w:szCs w:val="22"/>
        </w:rPr>
        <w:t xml:space="preserve"> </w:t>
      </w:r>
      <w:r w:rsidRPr="00DD7BD1">
        <w:rPr>
          <w:rFonts w:cs="Calibri"/>
          <w:color w:val="000000" w:themeColor="text1"/>
          <w:w w:val="110"/>
          <w:szCs w:val="22"/>
        </w:rPr>
        <w:t>with</w:t>
      </w:r>
      <w:r w:rsidRPr="00DD7BD1">
        <w:rPr>
          <w:rFonts w:cs="Calibri"/>
          <w:color w:val="000000" w:themeColor="text1"/>
          <w:spacing w:val="-15"/>
          <w:w w:val="110"/>
          <w:szCs w:val="22"/>
        </w:rPr>
        <w:t xml:space="preserve"> </w:t>
      </w:r>
      <w:r w:rsidRPr="00DD7BD1">
        <w:rPr>
          <w:rFonts w:cs="Calibri"/>
          <w:color w:val="000000" w:themeColor="text1"/>
          <w:w w:val="110"/>
          <w:szCs w:val="22"/>
        </w:rPr>
        <w:t>different</w:t>
      </w:r>
      <w:r w:rsidRPr="00DD7BD1">
        <w:rPr>
          <w:rFonts w:cs="Calibri"/>
          <w:color w:val="000000" w:themeColor="text1"/>
          <w:spacing w:val="-16"/>
          <w:w w:val="110"/>
          <w:szCs w:val="22"/>
        </w:rPr>
        <w:t xml:space="preserve"> </w:t>
      </w:r>
      <w:r w:rsidRPr="00DD7BD1">
        <w:rPr>
          <w:rFonts w:cs="Calibri"/>
          <w:color w:val="000000" w:themeColor="text1"/>
          <w:w w:val="110"/>
          <w:szCs w:val="22"/>
        </w:rPr>
        <w:t>job</w:t>
      </w:r>
      <w:r w:rsidRPr="00DD7BD1">
        <w:rPr>
          <w:rFonts w:cs="Calibri"/>
          <w:color w:val="000000" w:themeColor="text1"/>
          <w:spacing w:val="-14"/>
          <w:w w:val="110"/>
          <w:szCs w:val="22"/>
        </w:rPr>
        <w:t xml:space="preserve"> </w:t>
      </w:r>
      <w:r w:rsidRPr="00DD7BD1">
        <w:rPr>
          <w:rFonts w:cs="Calibri"/>
          <w:color w:val="000000" w:themeColor="text1"/>
          <w:w w:val="110"/>
          <w:szCs w:val="22"/>
        </w:rPr>
        <w:t>responsibilities</w:t>
      </w:r>
      <w:r w:rsidRPr="00DD7BD1">
        <w:rPr>
          <w:rFonts w:cs="Calibri"/>
          <w:color w:val="000000" w:themeColor="text1"/>
          <w:spacing w:val="-12"/>
          <w:w w:val="110"/>
          <w:szCs w:val="22"/>
        </w:rPr>
        <w:t xml:space="preserve"> </w:t>
      </w:r>
      <w:r w:rsidRPr="00DD7BD1">
        <w:rPr>
          <w:rFonts w:cs="Calibri"/>
          <w:color w:val="000000" w:themeColor="text1"/>
          <w:w w:val="110"/>
          <w:szCs w:val="22"/>
        </w:rPr>
        <w:t>also</w:t>
      </w:r>
      <w:r w:rsidRPr="00DD7BD1">
        <w:rPr>
          <w:rFonts w:cs="Calibri"/>
          <w:color w:val="000000" w:themeColor="text1"/>
          <w:spacing w:val="-15"/>
          <w:w w:val="110"/>
          <w:szCs w:val="22"/>
        </w:rPr>
        <w:t xml:space="preserve"> </w:t>
      </w:r>
      <w:r w:rsidRPr="00DD7BD1">
        <w:rPr>
          <w:rFonts w:cs="Calibri"/>
          <w:color w:val="000000" w:themeColor="text1"/>
          <w:w w:val="110"/>
          <w:szCs w:val="22"/>
        </w:rPr>
        <w:t>need to</w:t>
      </w:r>
      <w:r w:rsidRPr="00DD7BD1">
        <w:rPr>
          <w:rFonts w:cs="Calibri"/>
          <w:color w:val="000000" w:themeColor="text1"/>
          <w:spacing w:val="-8"/>
          <w:w w:val="110"/>
          <w:szCs w:val="22"/>
        </w:rPr>
        <w:t xml:space="preserve"> </w:t>
      </w:r>
      <w:r w:rsidRPr="00DD7BD1">
        <w:rPr>
          <w:rFonts w:cs="Calibri"/>
          <w:color w:val="000000" w:themeColor="text1"/>
          <w:w w:val="110"/>
          <w:szCs w:val="22"/>
        </w:rPr>
        <w:t>be</w:t>
      </w:r>
      <w:r w:rsidRPr="00DD7BD1">
        <w:rPr>
          <w:rFonts w:cs="Calibri"/>
          <w:color w:val="000000" w:themeColor="text1"/>
          <w:spacing w:val="-8"/>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with</w:t>
      </w:r>
      <w:r w:rsidRPr="00DD7BD1">
        <w:rPr>
          <w:rFonts w:cs="Calibri"/>
          <w:color w:val="000000" w:themeColor="text1"/>
          <w:spacing w:val="-6"/>
          <w:w w:val="110"/>
          <w:szCs w:val="22"/>
        </w:rPr>
        <w:t xml:space="preserve"> </w:t>
      </w:r>
      <w:r w:rsidRPr="00DD7BD1">
        <w:rPr>
          <w:rFonts w:cs="Calibri"/>
          <w:color w:val="000000" w:themeColor="text1"/>
          <w:w w:val="110"/>
          <w:szCs w:val="22"/>
        </w:rPr>
        <w:t>the</w:t>
      </w:r>
      <w:r w:rsidRPr="00DD7BD1">
        <w:rPr>
          <w:rFonts w:cs="Calibri"/>
          <w:color w:val="000000" w:themeColor="text1"/>
          <w:spacing w:val="-9"/>
          <w:w w:val="110"/>
          <w:szCs w:val="22"/>
        </w:rPr>
        <w:t xml:space="preserve"> </w:t>
      </w:r>
      <w:r w:rsidRPr="00DD7BD1">
        <w:rPr>
          <w:rFonts w:cs="Calibri"/>
          <w:color w:val="000000" w:themeColor="text1"/>
          <w:w w:val="110"/>
          <w:szCs w:val="22"/>
        </w:rPr>
        <w:t>pay</w:t>
      </w:r>
      <w:r w:rsidRPr="00DD7BD1">
        <w:rPr>
          <w:rFonts w:cs="Calibri"/>
          <w:color w:val="000000" w:themeColor="text1"/>
          <w:spacing w:val="-6"/>
          <w:w w:val="110"/>
          <w:szCs w:val="22"/>
        </w:rPr>
        <w:t xml:space="preserve"> </w:t>
      </w:r>
      <w:r w:rsidRPr="00DD7BD1">
        <w:rPr>
          <w:rFonts w:cs="Calibri"/>
          <w:color w:val="000000" w:themeColor="text1"/>
          <w:w w:val="110"/>
          <w:szCs w:val="22"/>
        </w:rPr>
        <w:t>range</w:t>
      </w:r>
      <w:r w:rsidRPr="00DD7BD1">
        <w:rPr>
          <w:rFonts w:cs="Calibri"/>
          <w:color w:val="000000" w:themeColor="text1"/>
          <w:spacing w:val="-9"/>
          <w:w w:val="110"/>
          <w:szCs w:val="22"/>
        </w:rPr>
        <w:t xml:space="preserve"> </w:t>
      </w:r>
      <w:r w:rsidRPr="00DD7BD1">
        <w:rPr>
          <w:rFonts w:cs="Calibri"/>
          <w:color w:val="000000" w:themeColor="text1"/>
          <w:w w:val="110"/>
          <w:szCs w:val="22"/>
        </w:rPr>
        <w:t>for</w:t>
      </w:r>
      <w:r w:rsidRPr="00DD7BD1">
        <w:rPr>
          <w:rFonts w:cs="Calibri"/>
          <w:color w:val="000000" w:themeColor="text1"/>
          <w:spacing w:val="-11"/>
          <w:w w:val="110"/>
          <w:szCs w:val="22"/>
        </w:rPr>
        <w:t xml:space="preserve"> </w:t>
      </w:r>
      <w:r w:rsidRPr="00DD7BD1">
        <w:rPr>
          <w:rFonts w:cs="Calibri"/>
          <w:color w:val="000000" w:themeColor="text1"/>
          <w:w w:val="110"/>
          <w:szCs w:val="22"/>
        </w:rPr>
        <w:t>the</w:t>
      </w:r>
      <w:r w:rsidRPr="00DD7BD1">
        <w:rPr>
          <w:rFonts w:cs="Calibri"/>
          <w:color w:val="000000" w:themeColor="text1"/>
          <w:spacing w:val="-6"/>
          <w:w w:val="110"/>
          <w:szCs w:val="22"/>
        </w:rPr>
        <w:t xml:space="preserve"> </w:t>
      </w:r>
      <w:r w:rsidRPr="00DD7BD1">
        <w:rPr>
          <w:rFonts w:cs="Calibri"/>
          <w:color w:val="000000" w:themeColor="text1"/>
          <w:w w:val="110"/>
          <w:szCs w:val="22"/>
        </w:rPr>
        <w:t>new</w:t>
      </w:r>
      <w:r w:rsidRPr="00DD7BD1">
        <w:rPr>
          <w:rFonts w:cs="Calibri"/>
          <w:color w:val="000000" w:themeColor="text1"/>
          <w:spacing w:val="-6"/>
          <w:w w:val="110"/>
          <w:szCs w:val="22"/>
        </w:rPr>
        <w:t xml:space="preserve"> </w:t>
      </w:r>
      <w:r w:rsidRPr="00DD7BD1">
        <w:rPr>
          <w:rFonts w:cs="Calibri"/>
          <w:color w:val="000000" w:themeColor="text1"/>
          <w:w w:val="110"/>
          <w:szCs w:val="22"/>
        </w:rPr>
        <w:t>role.</w:t>
      </w:r>
    </w:p>
    <w:p w14:paraId="39B9FBD0" w14:textId="77777777" w:rsidR="003A22A9" w:rsidRPr="00DD7BD1" w:rsidRDefault="003A22A9" w:rsidP="003A22A9">
      <w:pPr>
        <w:pStyle w:val="Heading4"/>
        <w:spacing w:before="0"/>
        <w:ind w:right="-180"/>
        <w:rPr>
          <w:rFonts w:ascii="Calibri" w:hAnsi="Calibri" w:cs="Calibri"/>
          <w:i w:val="0"/>
          <w:iCs w:val="0"/>
          <w:color w:val="000000" w:themeColor="text1"/>
          <w:spacing w:val="-2"/>
          <w:w w:val="90"/>
          <w:sz w:val="16"/>
          <w:szCs w:val="16"/>
        </w:rPr>
      </w:pPr>
    </w:p>
    <w:p w14:paraId="2EFE2797"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2"/>
          <w:w w:val="90"/>
        </w:rPr>
        <w:t>Current</w:t>
      </w:r>
      <w:r w:rsidRPr="00DD7BD1">
        <w:rPr>
          <w:rFonts w:ascii="Calibri" w:hAnsi="Calibri" w:cs="Calibri"/>
          <w:b/>
          <w:bCs/>
          <w:i w:val="0"/>
          <w:iCs w:val="0"/>
          <w:color w:val="000000" w:themeColor="text1"/>
          <w:spacing w:val="-4"/>
        </w:rPr>
        <w:t xml:space="preserve"> </w:t>
      </w:r>
      <w:r w:rsidRPr="00DD7BD1">
        <w:rPr>
          <w:rFonts w:ascii="Calibri" w:hAnsi="Calibri" w:cs="Calibri"/>
          <w:b/>
          <w:bCs/>
          <w:i w:val="0"/>
          <w:iCs w:val="0"/>
          <w:color w:val="000000" w:themeColor="text1"/>
          <w:spacing w:val="-2"/>
        </w:rPr>
        <w:t>Employees</w:t>
      </w:r>
    </w:p>
    <w:p w14:paraId="67419B3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Current</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entitled</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know</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7"/>
          <w:w w:val="110"/>
          <w:szCs w:val="22"/>
        </w:rPr>
        <w:t xml:space="preserve"> </w:t>
      </w:r>
      <w:r w:rsidRPr="00DD7BD1">
        <w:rPr>
          <w:rFonts w:cs="Calibri"/>
          <w:color w:val="000000" w:themeColor="text1"/>
          <w:w w:val="110"/>
          <w:szCs w:val="22"/>
        </w:rPr>
        <w:t>for</w:t>
      </w:r>
      <w:r w:rsidRPr="00DD7BD1">
        <w:rPr>
          <w:rFonts w:cs="Calibri"/>
          <w:color w:val="000000" w:themeColor="text1"/>
          <w:spacing w:val="-17"/>
          <w:w w:val="110"/>
          <w:szCs w:val="22"/>
        </w:rPr>
        <w:t xml:space="preserve"> </w:t>
      </w:r>
      <w:r w:rsidRPr="00DD7BD1">
        <w:rPr>
          <w:rFonts w:cs="Calibri"/>
          <w:color w:val="000000" w:themeColor="text1"/>
          <w:w w:val="110"/>
          <w:szCs w:val="22"/>
        </w:rPr>
        <w:t>their</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5"/>
          <w:w w:val="110"/>
          <w:szCs w:val="22"/>
        </w:rPr>
        <w:t xml:space="preserve"> </w:t>
      </w:r>
      <w:r w:rsidRPr="00DD7BD1">
        <w:rPr>
          <w:rFonts w:cs="Calibri"/>
          <w:color w:val="000000" w:themeColor="text1"/>
          <w:w w:val="110"/>
          <w:szCs w:val="22"/>
        </w:rPr>
        <w:t>a</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5"/>
          <w:w w:val="110"/>
          <w:szCs w:val="22"/>
        </w:rPr>
        <w:t xml:space="preserve"> </w:t>
      </w:r>
      <w:r w:rsidRPr="00DD7BD1">
        <w:rPr>
          <w:rFonts w:cs="Calibri"/>
          <w:color w:val="000000" w:themeColor="text1"/>
          <w:w w:val="110"/>
          <w:szCs w:val="22"/>
        </w:rPr>
        <w:t>they</w:t>
      </w:r>
      <w:r w:rsidRPr="00DD7BD1">
        <w:rPr>
          <w:rFonts w:cs="Calibri"/>
          <w:color w:val="000000" w:themeColor="text1"/>
          <w:spacing w:val="-15"/>
          <w:w w:val="110"/>
          <w:szCs w:val="22"/>
        </w:rPr>
        <w:t xml:space="preserve"> </w:t>
      </w:r>
      <w:r w:rsidRPr="00DD7BD1">
        <w:rPr>
          <w:rFonts w:cs="Calibri"/>
          <w:color w:val="000000" w:themeColor="text1"/>
          <w:w w:val="110"/>
          <w:szCs w:val="22"/>
        </w:rPr>
        <w:t>apply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upon request.</w:t>
      </w:r>
      <w:r w:rsidRPr="00DD7BD1">
        <w:rPr>
          <w:rFonts w:cs="Calibri"/>
          <w:color w:val="000000" w:themeColor="text1"/>
          <w:spacing w:val="-14"/>
          <w:w w:val="110"/>
          <w:szCs w:val="22"/>
        </w:rPr>
        <w:t xml:space="preserve"> </w:t>
      </w:r>
      <w:r w:rsidRPr="00DD7BD1">
        <w:rPr>
          <w:rFonts w:cs="Calibri"/>
          <w:color w:val="000000" w:themeColor="text1"/>
          <w:w w:val="110"/>
          <w:szCs w:val="22"/>
        </w:rPr>
        <w:t>As</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2"/>
          <w:w w:val="110"/>
          <w:szCs w:val="22"/>
        </w:rPr>
        <w:t xml:space="preserve"> </w:t>
      </w:r>
      <w:r w:rsidRPr="00DD7BD1">
        <w:rPr>
          <w:rFonts w:cs="Calibri"/>
          <w:color w:val="000000" w:themeColor="text1"/>
          <w:w w:val="110"/>
          <w:szCs w:val="22"/>
        </w:rPr>
        <w:t>result,</w:t>
      </w:r>
      <w:r w:rsidRPr="00DD7BD1">
        <w:rPr>
          <w:rFonts w:cs="Calibri"/>
          <w:color w:val="000000" w:themeColor="text1"/>
          <w:spacing w:val="-13"/>
          <w:w w:val="110"/>
          <w:szCs w:val="22"/>
        </w:rPr>
        <w:t xml:space="preserve"> </w:t>
      </w:r>
      <w:r w:rsidRPr="00DD7BD1">
        <w:rPr>
          <w:rFonts w:cs="Calibri"/>
          <w:color w:val="000000" w:themeColor="text1"/>
          <w:w w:val="110"/>
          <w:szCs w:val="22"/>
        </w:rPr>
        <w:t>employers</w:t>
      </w:r>
      <w:r w:rsidRPr="00DD7BD1">
        <w:rPr>
          <w:rFonts w:cs="Calibri"/>
          <w:color w:val="000000" w:themeColor="text1"/>
          <w:spacing w:val="-14"/>
          <w:w w:val="110"/>
          <w:szCs w:val="22"/>
        </w:rPr>
        <w:t xml:space="preserve"> </w:t>
      </w:r>
      <w:r w:rsidRPr="00DD7BD1">
        <w:rPr>
          <w:rFonts w:cs="Calibri"/>
          <w:color w:val="000000" w:themeColor="text1"/>
          <w:w w:val="110"/>
          <w:szCs w:val="22"/>
        </w:rPr>
        <w:t>should</w:t>
      </w:r>
      <w:r w:rsidRPr="00DD7BD1">
        <w:rPr>
          <w:rFonts w:cs="Calibri"/>
          <w:color w:val="000000" w:themeColor="text1"/>
          <w:spacing w:val="-12"/>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5"/>
          <w:w w:val="110"/>
          <w:szCs w:val="22"/>
        </w:rPr>
        <w:t xml:space="preserve"> </w:t>
      </w:r>
      <w:r w:rsidRPr="00DD7BD1">
        <w:rPr>
          <w:rFonts w:cs="Calibri"/>
          <w:color w:val="000000" w:themeColor="text1"/>
          <w:w w:val="110"/>
          <w:szCs w:val="22"/>
        </w:rPr>
        <w:t>plan</w:t>
      </w:r>
      <w:r w:rsidRPr="00DD7BD1">
        <w:rPr>
          <w:rFonts w:cs="Calibri"/>
          <w:color w:val="000000" w:themeColor="text1"/>
          <w:spacing w:val="-12"/>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providing</w:t>
      </w:r>
      <w:r w:rsidRPr="00DD7BD1">
        <w:rPr>
          <w:rFonts w:cs="Calibri"/>
          <w:color w:val="000000" w:themeColor="text1"/>
          <w:spacing w:val="-12"/>
          <w:w w:val="110"/>
          <w:szCs w:val="22"/>
        </w:rPr>
        <w:t xml:space="preserve"> </w:t>
      </w:r>
      <w:r w:rsidRPr="00DD7BD1">
        <w:rPr>
          <w:rFonts w:cs="Calibri"/>
          <w:color w:val="000000" w:themeColor="text1"/>
          <w:w w:val="110"/>
          <w:szCs w:val="22"/>
        </w:rPr>
        <w:t>this</w:t>
      </w:r>
      <w:r w:rsidRPr="00DD7BD1">
        <w:rPr>
          <w:rFonts w:cs="Calibri"/>
          <w:color w:val="000000" w:themeColor="text1"/>
          <w:spacing w:val="-12"/>
          <w:w w:val="110"/>
          <w:szCs w:val="22"/>
        </w:rPr>
        <w:t xml:space="preserve"> </w:t>
      </w:r>
      <w:r w:rsidRPr="00DD7BD1">
        <w:rPr>
          <w:rFonts w:cs="Calibri"/>
          <w:color w:val="000000" w:themeColor="text1"/>
          <w:w w:val="110"/>
          <w:szCs w:val="22"/>
        </w:rPr>
        <w:t>information.</w:t>
      </w:r>
      <w:r w:rsidRPr="00DD7BD1">
        <w:rPr>
          <w:rFonts w:cs="Calibri"/>
          <w:color w:val="000000" w:themeColor="text1"/>
          <w:spacing w:val="-13"/>
          <w:w w:val="110"/>
          <w:szCs w:val="22"/>
        </w:rPr>
        <w:t xml:space="preserve"> </w:t>
      </w:r>
      <w:r w:rsidRPr="00DD7BD1">
        <w:rPr>
          <w:rFonts w:cs="Calibri"/>
          <w:color w:val="000000" w:themeColor="text1"/>
          <w:w w:val="110"/>
          <w:szCs w:val="22"/>
        </w:rPr>
        <w:t>For</w:t>
      </w:r>
      <w:r w:rsidRPr="00DD7BD1">
        <w:rPr>
          <w:rFonts w:cs="Calibri"/>
          <w:color w:val="000000" w:themeColor="text1"/>
          <w:spacing w:val="-13"/>
          <w:w w:val="110"/>
          <w:szCs w:val="22"/>
        </w:rPr>
        <w:t xml:space="preserve"> </w:t>
      </w:r>
      <w:r w:rsidRPr="00DD7BD1">
        <w:rPr>
          <w:rFonts w:cs="Calibri"/>
          <w:color w:val="000000" w:themeColor="text1"/>
          <w:w w:val="110"/>
          <w:szCs w:val="22"/>
        </w:rPr>
        <w:t>those</w:t>
      </w:r>
      <w:r w:rsidRPr="00DD7BD1">
        <w:rPr>
          <w:rFonts w:cs="Calibri"/>
          <w:color w:val="000000" w:themeColor="text1"/>
          <w:spacing w:val="-12"/>
          <w:w w:val="110"/>
          <w:szCs w:val="22"/>
        </w:rPr>
        <w:t xml:space="preserve"> </w:t>
      </w:r>
      <w:r w:rsidRPr="00DD7BD1">
        <w:rPr>
          <w:rFonts w:cs="Calibri"/>
          <w:color w:val="000000" w:themeColor="text1"/>
          <w:w w:val="110"/>
          <w:szCs w:val="22"/>
        </w:rPr>
        <w:t>that</w:t>
      </w:r>
      <w:r w:rsidRPr="00DD7BD1">
        <w:rPr>
          <w:rFonts w:cs="Calibri"/>
          <w:color w:val="000000" w:themeColor="text1"/>
          <w:spacing w:val="-15"/>
          <w:w w:val="110"/>
          <w:szCs w:val="22"/>
        </w:rPr>
        <w:t xml:space="preserve"> </w:t>
      </w:r>
      <w:r w:rsidRPr="00DD7BD1">
        <w:rPr>
          <w:rFonts w:cs="Calibri"/>
          <w:color w:val="000000" w:themeColor="text1"/>
          <w:w w:val="110"/>
          <w:szCs w:val="22"/>
        </w:rPr>
        <w:t>don’t</w:t>
      </w:r>
      <w:r w:rsidRPr="00DD7BD1">
        <w:rPr>
          <w:rFonts w:cs="Calibri"/>
          <w:color w:val="000000" w:themeColor="text1"/>
          <w:spacing w:val="-16"/>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3"/>
          <w:w w:val="110"/>
          <w:szCs w:val="22"/>
        </w:rPr>
        <w:t xml:space="preserve"> </w:t>
      </w:r>
      <w:r w:rsidRPr="00DD7BD1">
        <w:rPr>
          <w:rFonts w:cs="Calibri"/>
          <w:color w:val="000000" w:themeColor="text1"/>
          <w:w w:val="110"/>
          <w:szCs w:val="22"/>
        </w:rPr>
        <w:t>well- established compensation structure, the plan will likely involve directing these requests to Human Resources.</w:t>
      </w:r>
      <w:r w:rsidRPr="00DD7BD1">
        <w:rPr>
          <w:rFonts w:cs="Calibri"/>
          <w:color w:val="000000" w:themeColor="text1"/>
          <w:szCs w:val="22"/>
        </w:rPr>
        <w:t xml:space="preserve"> </w:t>
      </w:r>
      <w:r w:rsidRPr="00DD7BD1">
        <w:rPr>
          <w:rFonts w:cs="Calibri"/>
          <w:color w:val="000000" w:themeColor="text1"/>
          <w:w w:val="110"/>
          <w:szCs w:val="22"/>
        </w:rPr>
        <w:t>Ideally,</w:t>
      </w:r>
      <w:r w:rsidRPr="00DD7BD1">
        <w:rPr>
          <w:rFonts w:cs="Calibri"/>
          <w:color w:val="000000" w:themeColor="text1"/>
          <w:spacing w:val="-15"/>
          <w:w w:val="110"/>
          <w:szCs w:val="22"/>
        </w:rPr>
        <w:t xml:space="preserve"> </w:t>
      </w:r>
      <w:r w:rsidRPr="00DD7BD1">
        <w:rPr>
          <w:rFonts w:cs="Calibri"/>
          <w:color w:val="000000" w:themeColor="text1"/>
          <w:w w:val="110"/>
          <w:szCs w:val="22"/>
        </w:rPr>
        <w:t>the</w:t>
      </w:r>
      <w:r w:rsidRPr="00DD7BD1">
        <w:rPr>
          <w:rFonts w:cs="Calibri"/>
          <w:color w:val="000000" w:themeColor="text1"/>
          <w:spacing w:val="-14"/>
          <w:w w:val="110"/>
          <w:szCs w:val="22"/>
        </w:rPr>
        <w:t xml:space="preserve"> </w:t>
      </w:r>
      <w:r w:rsidRPr="00DD7BD1">
        <w:rPr>
          <w:rFonts w:cs="Calibri"/>
          <w:color w:val="000000" w:themeColor="text1"/>
          <w:w w:val="110"/>
          <w:szCs w:val="22"/>
        </w:rPr>
        <w:t>ranges</w:t>
      </w:r>
      <w:r w:rsidRPr="00DD7BD1">
        <w:rPr>
          <w:rFonts w:cs="Calibri"/>
          <w:color w:val="000000" w:themeColor="text1"/>
          <w:spacing w:val="-15"/>
          <w:w w:val="110"/>
          <w:szCs w:val="22"/>
        </w:rPr>
        <w:t xml:space="preserve"> </w:t>
      </w:r>
      <w:r w:rsidRPr="00DD7BD1">
        <w:rPr>
          <w:rFonts w:cs="Calibri"/>
          <w:color w:val="000000" w:themeColor="text1"/>
          <w:w w:val="110"/>
          <w:szCs w:val="22"/>
        </w:rPr>
        <w:t>provided</w:t>
      </w:r>
      <w:r w:rsidRPr="00DD7BD1">
        <w:rPr>
          <w:rFonts w:cs="Calibri"/>
          <w:color w:val="000000" w:themeColor="text1"/>
          <w:spacing w:val="-14"/>
          <w:w w:val="110"/>
          <w:szCs w:val="22"/>
        </w:rPr>
        <w:t xml:space="preserve"> </w:t>
      </w:r>
      <w:r w:rsidRPr="00DD7BD1">
        <w:rPr>
          <w:rFonts w:cs="Calibri"/>
          <w:color w:val="000000" w:themeColor="text1"/>
          <w:w w:val="110"/>
          <w:szCs w:val="22"/>
        </w:rPr>
        <w:t>will</w:t>
      </w:r>
      <w:r w:rsidRPr="00DD7BD1">
        <w:rPr>
          <w:rFonts w:cs="Calibri"/>
          <w:color w:val="000000" w:themeColor="text1"/>
          <w:spacing w:val="-16"/>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reasonable,</w:t>
      </w:r>
      <w:r w:rsidRPr="00DD7BD1">
        <w:rPr>
          <w:rFonts w:cs="Calibri"/>
          <w:color w:val="000000" w:themeColor="text1"/>
          <w:spacing w:val="-14"/>
          <w:w w:val="110"/>
          <w:szCs w:val="22"/>
        </w:rPr>
        <w:t xml:space="preserve"> </w:t>
      </w:r>
      <w:r w:rsidRPr="00DD7BD1">
        <w:rPr>
          <w:rFonts w:cs="Calibri"/>
          <w:color w:val="000000" w:themeColor="text1"/>
          <w:w w:val="110"/>
          <w:szCs w:val="22"/>
        </w:rPr>
        <w:t>documented,</w:t>
      </w:r>
      <w:r w:rsidRPr="00DD7BD1">
        <w:rPr>
          <w:rFonts w:cs="Calibri"/>
          <w:color w:val="000000" w:themeColor="text1"/>
          <w:spacing w:val="-15"/>
          <w:w w:val="110"/>
          <w:szCs w:val="22"/>
        </w:rPr>
        <w:t xml:space="preserve"> </w:t>
      </w:r>
      <w:r w:rsidRPr="00DD7BD1">
        <w:rPr>
          <w:rFonts w:cs="Calibri"/>
          <w:color w:val="000000" w:themeColor="text1"/>
          <w:w w:val="110"/>
          <w:szCs w:val="22"/>
        </w:rPr>
        <w:t>and</w:t>
      </w:r>
      <w:r w:rsidRPr="00DD7BD1">
        <w:rPr>
          <w:rFonts w:cs="Calibri"/>
          <w:color w:val="000000" w:themeColor="text1"/>
          <w:spacing w:val="-14"/>
          <w:w w:val="110"/>
          <w:szCs w:val="22"/>
        </w:rPr>
        <w:t xml:space="preserve"> </w:t>
      </w:r>
      <w:r w:rsidRPr="00DD7BD1">
        <w:rPr>
          <w:rFonts w:cs="Calibri"/>
          <w:color w:val="000000" w:themeColor="text1"/>
          <w:w w:val="110"/>
          <w:szCs w:val="22"/>
        </w:rPr>
        <w:t>won’t</w:t>
      </w:r>
      <w:r w:rsidRPr="00DD7BD1">
        <w:rPr>
          <w:rFonts w:cs="Calibri"/>
          <w:color w:val="000000" w:themeColor="text1"/>
          <w:spacing w:val="-15"/>
          <w:w w:val="110"/>
          <w:szCs w:val="22"/>
        </w:rPr>
        <w:t xml:space="preserve"> </w:t>
      </w:r>
      <w:r w:rsidRPr="00DD7BD1">
        <w:rPr>
          <w:rFonts w:cs="Calibri"/>
          <w:color w:val="000000" w:themeColor="text1"/>
          <w:w w:val="110"/>
          <w:szCs w:val="22"/>
        </w:rPr>
        <w:t>raise</w:t>
      </w:r>
      <w:r w:rsidRPr="00DD7BD1">
        <w:rPr>
          <w:rFonts w:cs="Calibri"/>
          <w:color w:val="000000" w:themeColor="text1"/>
          <w:spacing w:val="-14"/>
          <w:w w:val="110"/>
          <w:szCs w:val="22"/>
        </w:rPr>
        <w:t xml:space="preserve"> </w:t>
      </w:r>
      <w:r w:rsidRPr="00DD7BD1">
        <w:rPr>
          <w:rFonts w:cs="Calibri"/>
          <w:color w:val="000000" w:themeColor="text1"/>
          <w:w w:val="110"/>
          <w:szCs w:val="22"/>
        </w:rPr>
        <w:t>any</w:t>
      </w:r>
      <w:r w:rsidRPr="00DD7BD1">
        <w:rPr>
          <w:rFonts w:cs="Calibri"/>
          <w:color w:val="000000" w:themeColor="text1"/>
          <w:spacing w:val="-14"/>
          <w:w w:val="110"/>
          <w:szCs w:val="22"/>
        </w:rPr>
        <w:t xml:space="preserve"> </w:t>
      </w:r>
      <w:r w:rsidRPr="00DD7BD1">
        <w:rPr>
          <w:rFonts w:cs="Calibri"/>
          <w:color w:val="000000" w:themeColor="text1"/>
          <w:w w:val="110"/>
          <w:szCs w:val="22"/>
        </w:rPr>
        <w:t>red</w:t>
      </w:r>
      <w:r w:rsidRPr="00DD7BD1">
        <w:rPr>
          <w:rFonts w:cs="Calibri"/>
          <w:color w:val="000000" w:themeColor="text1"/>
          <w:spacing w:val="-13"/>
          <w:w w:val="110"/>
          <w:szCs w:val="22"/>
        </w:rPr>
        <w:t xml:space="preserve"> </w:t>
      </w:r>
      <w:r w:rsidRPr="00DD7BD1">
        <w:rPr>
          <w:rFonts w:cs="Calibri"/>
          <w:color w:val="000000" w:themeColor="text1"/>
          <w:w w:val="110"/>
          <w:szCs w:val="22"/>
        </w:rPr>
        <w:t>flags</w:t>
      </w:r>
      <w:r w:rsidRPr="00DD7BD1">
        <w:rPr>
          <w:rFonts w:cs="Calibri"/>
          <w:color w:val="000000" w:themeColor="text1"/>
          <w:spacing w:val="-14"/>
          <w:w w:val="110"/>
          <w:szCs w:val="22"/>
        </w:rPr>
        <w:t xml:space="preserve"> </w:t>
      </w:r>
      <w:r w:rsidRPr="00DD7BD1">
        <w:rPr>
          <w:rFonts w:cs="Calibri"/>
          <w:color w:val="000000" w:themeColor="text1"/>
          <w:w w:val="110"/>
          <w:szCs w:val="22"/>
        </w:rPr>
        <w:t>with</w:t>
      </w:r>
      <w:r w:rsidRPr="00DD7BD1">
        <w:rPr>
          <w:rFonts w:cs="Calibri"/>
          <w:color w:val="000000" w:themeColor="text1"/>
          <w:spacing w:val="-14"/>
          <w:w w:val="110"/>
          <w:szCs w:val="22"/>
        </w:rPr>
        <w:t xml:space="preserve"> </w:t>
      </w:r>
      <w:r w:rsidRPr="00DD7BD1">
        <w:rPr>
          <w:rFonts w:cs="Calibri"/>
          <w:color w:val="000000" w:themeColor="text1"/>
          <w:w w:val="110"/>
          <w:szCs w:val="22"/>
        </w:rPr>
        <w:t>respect</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6"/>
          <w:w w:val="110"/>
          <w:szCs w:val="22"/>
        </w:rPr>
        <w:t xml:space="preserve"> </w:t>
      </w:r>
      <w:r w:rsidRPr="00DD7BD1">
        <w:rPr>
          <w:rFonts w:cs="Calibri"/>
          <w:color w:val="000000" w:themeColor="text1"/>
          <w:spacing w:val="-5"/>
          <w:w w:val="110"/>
          <w:szCs w:val="22"/>
        </w:rPr>
        <w:t>pay</w:t>
      </w:r>
      <w:r w:rsidRPr="00DD7BD1">
        <w:rPr>
          <w:rFonts w:cs="Calibri"/>
          <w:color w:val="000000" w:themeColor="text1"/>
          <w:szCs w:val="22"/>
        </w:rPr>
        <w:t xml:space="preserve"> </w:t>
      </w:r>
      <w:r w:rsidRPr="00DD7BD1">
        <w:rPr>
          <w:rFonts w:cs="Calibri"/>
          <w:color w:val="000000" w:themeColor="text1"/>
          <w:spacing w:val="-2"/>
          <w:w w:val="110"/>
          <w:szCs w:val="22"/>
        </w:rPr>
        <w:t>equity.</w:t>
      </w:r>
    </w:p>
    <w:p w14:paraId="5AEC0171" w14:textId="77777777" w:rsidR="003A22A9" w:rsidRPr="00DD7BD1" w:rsidRDefault="003A22A9" w:rsidP="003A22A9">
      <w:pPr>
        <w:pStyle w:val="BodyText"/>
        <w:spacing w:after="0" w:line="240" w:lineRule="auto"/>
        <w:ind w:right="-180"/>
        <w:rPr>
          <w:rFonts w:cs="Calibri"/>
          <w:w w:val="110"/>
          <w:sz w:val="16"/>
          <w:szCs w:val="16"/>
        </w:rPr>
      </w:pPr>
    </w:p>
    <w:p w14:paraId="2B0026F1" w14:textId="77777777" w:rsidR="003A22A9" w:rsidRPr="00DD7BD1" w:rsidRDefault="003A22A9" w:rsidP="003A22A9">
      <w:pPr>
        <w:pStyle w:val="BodyText"/>
        <w:spacing w:after="0" w:line="240" w:lineRule="auto"/>
        <w:ind w:right="-180"/>
        <w:rPr>
          <w:rFonts w:cs="Calibri"/>
          <w:szCs w:val="22"/>
        </w:rPr>
      </w:pPr>
      <w:r w:rsidRPr="00DD7BD1">
        <w:rPr>
          <w:rFonts w:cs="Calibri"/>
          <w:color w:val="000000" w:themeColor="text1"/>
          <w:w w:val="110"/>
          <w:szCs w:val="22"/>
        </w:rPr>
        <w:t>The</w:t>
      </w:r>
      <w:r w:rsidRPr="00DD7BD1">
        <w:rPr>
          <w:rFonts w:cs="Calibri"/>
          <w:spacing w:val="-17"/>
          <w:w w:val="110"/>
          <w:szCs w:val="22"/>
        </w:rPr>
        <w:t xml:space="preserve"> </w:t>
      </w:r>
      <w:hyperlink r:id="rId744">
        <w:r w:rsidRPr="00DD7BD1">
          <w:rPr>
            <w:rFonts w:cs="Calibri"/>
            <w:color w:val="0000FF"/>
            <w:w w:val="110"/>
            <w:szCs w:val="22"/>
            <w:u w:val="single" w:color="0000FF"/>
          </w:rPr>
          <w:t>guidance</w:t>
        </w:r>
      </w:hyperlink>
      <w:r w:rsidRPr="00DD7BD1">
        <w:rPr>
          <w:rFonts w:cs="Calibri"/>
          <w:color w:val="0000FF"/>
          <w:spacing w:val="-17"/>
          <w:w w:val="110"/>
          <w:szCs w:val="22"/>
        </w:rPr>
        <w:t xml:space="preserve"> </w:t>
      </w:r>
      <w:r w:rsidRPr="00DD7BD1">
        <w:rPr>
          <w:rFonts w:cs="Calibri"/>
          <w:color w:val="000000" w:themeColor="text1"/>
          <w:w w:val="110"/>
          <w:szCs w:val="22"/>
        </w:rPr>
        <w:t>from</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Massachusetts</w:t>
      </w:r>
      <w:r w:rsidRPr="00DD7BD1">
        <w:rPr>
          <w:rFonts w:cs="Calibri"/>
          <w:color w:val="000000" w:themeColor="text1"/>
          <w:spacing w:val="-17"/>
          <w:w w:val="110"/>
          <w:szCs w:val="22"/>
        </w:rPr>
        <w:t xml:space="preserve"> </w:t>
      </w:r>
      <w:r w:rsidRPr="00DD7BD1">
        <w:rPr>
          <w:rFonts w:cs="Calibri"/>
          <w:color w:val="000000" w:themeColor="text1"/>
          <w:w w:val="110"/>
          <w:szCs w:val="22"/>
        </w:rPr>
        <w:t>Attorney</w:t>
      </w:r>
      <w:r w:rsidRPr="00DD7BD1">
        <w:rPr>
          <w:rFonts w:cs="Calibri"/>
          <w:color w:val="000000" w:themeColor="text1"/>
          <w:spacing w:val="-16"/>
          <w:w w:val="110"/>
          <w:szCs w:val="22"/>
        </w:rPr>
        <w:t xml:space="preserve"> </w:t>
      </w:r>
      <w:r w:rsidRPr="00DD7BD1">
        <w:rPr>
          <w:rFonts w:cs="Calibri"/>
          <w:color w:val="000000" w:themeColor="text1"/>
          <w:w w:val="110"/>
          <w:szCs w:val="22"/>
        </w:rPr>
        <w:t>General's</w:t>
      </w:r>
      <w:r w:rsidRPr="00DD7BD1">
        <w:rPr>
          <w:rFonts w:cs="Calibri"/>
          <w:color w:val="000000" w:themeColor="text1"/>
          <w:spacing w:val="-16"/>
          <w:w w:val="110"/>
          <w:szCs w:val="22"/>
        </w:rPr>
        <w:t xml:space="preserve"> </w:t>
      </w:r>
      <w:r w:rsidRPr="00DD7BD1">
        <w:rPr>
          <w:rFonts w:cs="Calibri"/>
          <w:color w:val="000000" w:themeColor="text1"/>
          <w:w w:val="110"/>
          <w:szCs w:val="22"/>
        </w:rPr>
        <w:t>(AG)</w:t>
      </w:r>
      <w:r w:rsidRPr="00DD7BD1">
        <w:rPr>
          <w:rFonts w:cs="Calibri"/>
          <w:color w:val="000000" w:themeColor="text1"/>
          <w:spacing w:val="-17"/>
          <w:w w:val="110"/>
          <w:szCs w:val="22"/>
        </w:rPr>
        <w:t xml:space="preserve"> </w:t>
      </w:r>
      <w:r w:rsidRPr="00DD7BD1">
        <w:rPr>
          <w:rFonts w:cs="Calibri"/>
          <w:color w:val="000000" w:themeColor="text1"/>
          <w:w w:val="110"/>
          <w:szCs w:val="22"/>
        </w:rPr>
        <w:t>Office</w:t>
      </w:r>
      <w:r w:rsidRPr="00DD7BD1">
        <w:rPr>
          <w:rFonts w:cs="Calibri"/>
          <w:color w:val="000000" w:themeColor="text1"/>
          <w:spacing w:val="-16"/>
          <w:w w:val="110"/>
          <w:szCs w:val="22"/>
        </w:rPr>
        <w:t xml:space="preserve"> </w:t>
      </w:r>
      <w:r w:rsidRPr="00DD7BD1">
        <w:rPr>
          <w:rFonts w:cs="Calibri"/>
          <w:color w:val="000000" w:themeColor="text1"/>
          <w:w w:val="110"/>
          <w:szCs w:val="22"/>
        </w:rPr>
        <w:t>provides</w:t>
      </w:r>
      <w:r w:rsidRPr="00DD7BD1">
        <w:rPr>
          <w:rFonts w:cs="Calibri"/>
          <w:color w:val="000000" w:themeColor="text1"/>
          <w:spacing w:val="-17"/>
          <w:w w:val="110"/>
          <w:szCs w:val="22"/>
        </w:rPr>
        <w:t xml:space="preserve"> </w:t>
      </w:r>
      <w:r w:rsidRPr="00DD7BD1">
        <w:rPr>
          <w:rFonts w:cs="Calibri"/>
          <w:color w:val="000000" w:themeColor="text1"/>
          <w:w w:val="110"/>
          <w:szCs w:val="22"/>
        </w:rPr>
        <w:t>further</w:t>
      </w:r>
      <w:r w:rsidRPr="00DD7BD1">
        <w:rPr>
          <w:rFonts w:cs="Calibri"/>
          <w:color w:val="000000" w:themeColor="text1"/>
          <w:spacing w:val="-16"/>
          <w:w w:val="110"/>
          <w:szCs w:val="22"/>
        </w:rPr>
        <w:t xml:space="preserve"> </w:t>
      </w:r>
      <w:r w:rsidRPr="00DD7BD1">
        <w:rPr>
          <w:rFonts w:cs="Calibri"/>
          <w:color w:val="000000" w:themeColor="text1"/>
          <w:w w:val="110"/>
          <w:szCs w:val="22"/>
        </w:rPr>
        <w:t>clarification</w:t>
      </w:r>
      <w:r w:rsidRPr="00DD7BD1">
        <w:rPr>
          <w:rFonts w:cs="Calibri"/>
          <w:color w:val="000000" w:themeColor="text1"/>
          <w:spacing w:val="-17"/>
          <w:w w:val="110"/>
          <w:szCs w:val="22"/>
        </w:rPr>
        <w:t xml:space="preserve"> </w:t>
      </w:r>
      <w:r w:rsidRPr="00DD7BD1">
        <w:rPr>
          <w:rFonts w:cs="Calibri"/>
          <w:color w:val="000000" w:themeColor="text1"/>
          <w:w w:val="110"/>
          <w:szCs w:val="22"/>
        </w:rPr>
        <w:t>on</w:t>
      </w:r>
      <w:r w:rsidRPr="00DD7BD1">
        <w:rPr>
          <w:rFonts w:cs="Calibri"/>
          <w:color w:val="000000" w:themeColor="text1"/>
          <w:spacing w:val="-15"/>
          <w:w w:val="110"/>
          <w:szCs w:val="22"/>
        </w:rPr>
        <w:t xml:space="preserve"> </w:t>
      </w:r>
      <w:r w:rsidRPr="00DD7BD1">
        <w:rPr>
          <w:rFonts w:cs="Calibri"/>
          <w:color w:val="000000" w:themeColor="text1"/>
          <w:w w:val="110"/>
          <w:szCs w:val="22"/>
        </w:rPr>
        <w:t>several</w:t>
      </w:r>
      <w:r w:rsidRPr="00DD7BD1">
        <w:rPr>
          <w:rFonts w:cs="Calibri"/>
          <w:color w:val="000000" w:themeColor="text1"/>
          <w:spacing w:val="-17"/>
          <w:w w:val="110"/>
          <w:szCs w:val="22"/>
        </w:rPr>
        <w:t xml:space="preserve"> </w:t>
      </w:r>
      <w:r w:rsidRPr="00DD7BD1">
        <w:rPr>
          <w:rFonts w:cs="Calibri"/>
          <w:color w:val="000000" w:themeColor="text1"/>
          <w:w w:val="110"/>
          <w:szCs w:val="22"/>
        </w:rPr>
        <w:t>key aspects of the Act, including the following</w:t>
      </w:r>
    </w:p>
    <w:p w14:paraId="3FE2ABB1"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determine</w:t>
      </w:r>
      <w:r w:rsidRPr="00DD7BD1">
        <w:rPr>
          <w:rFonts w:ascii="Calibri" w:hAnsi="Calibri" w:cs="Calibri"/>
          <w:spacing w:val="-15"/>
          <w:w w:val="110"/>
        </w:rPr>
        <w:t xml:space="preserve"> </w:t>
      </w:r>
      <w:r w:rsidRPr="00DD7BD1">
        <w:rPr>
          <w:rFonts w:ascii="Calibri" w:hAnsi="Calibri" w:cs="Calibri"/>
          <w:w w:val="110"/>
        </w:rPr>
        <w:t>if</w:t>
      </w:r>
      <w:r w:rsidRPr="00DD7BD1">
        <w:rPr>
          <w:rFonts w:ascii="Calibri" w:hAnsi="Calibri" w:cs="Calibri"/>
          <w:spacing w:val="-15"/>
          <w:w w:val="110"/>
        </w:rPr>
        <w:t xml:space="preserve"> </w:t>
      </w:r>
      <w:r w:rsidRPr="00DD7BD1">
        <w:rPr>
          <w:rFonts w:ascii="Calibri" w:hAnsi="Calibri" w:cs="Calibri"/>
          <w:w w:val="110"/>
        </w:rPr>
        <w:t>they</w:t>
      </w:r>
      <w:r w:rsidRPr="00DD7BD1">
        <w:rPr>
          <w:rFonts w:ascii="Calibri" w:hAnsi="Calibri" w:cs="Calibri"/>
          <w:spacing w:val="-16"/>
          <w:w w:val="110"/>
        </w:rPr>
        <w:t xml:space="preserve"> </w:t>
      </w:r>
      <w:r w:rsidRPr="00DD7BD1">
        <w:rPr>
          <w:rFonts w:ascii="Calibri" w:hAnsi="Calibri" w:cs="Calibri"/>
          <w:w w:val="110"/>
        </w:rPr>
        <w:t>reach</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25-employee</w:t>
      </w:r>
      <w:r w:rsidRPr="00DD7BD1">
        <w:rPr>
          <w:rFonts w:ascii="Calibri" w:hAnsi="Calibri" w:cs="Calibri"/>
          <w:spacing w:val="-15"/>
          <w:w w:val="110"/>
        </w:rPr>
        <w:t xml:space="preserve"> </w:t>
      </w:r>
      <w:r w:rsidRPr="00DD7BD1">
        <w:rPr>
          <w:rFonts w:ascii="Calibri" w:hAnsi="Calibri" w:cs="Calibri"/>
          <w:w w:val="110"/>
        </w:rPr>
        <w:t>threshold</w:t>
      </w:r>
      <w:r w:rsidRPr="00DD7BD1">
        <w:rPr>
          <w:rFonts w:ascii="Calibri" w:hAnsi="Calibri" w:cs="Calibri"/>
          <w:spacing w:val="-16"/>
          <w:w w:val="110"/>
        </w:rPr>
        <w:t xml:space="preserve"> </w:t>
      </w:r>
      <w:r w:rsidRPr="00DD7BD1">
        <w:rPr>
          <w:rFonts w:ascii="Calibri" w:hAnsi="Calibri" w:cs="Calibri"/>
          <w:w w:val="110"/>
        </w:rPr>
        <w:t>for</w:t>
      </w:r>
      <w:r w:rsidRPr="00DD7BD1">
        <w:rPr>
          <w:rFonts w:ascii="Calibri" w:hAnsi="Calibri" w:cs="Calibri"/>
          <w:spacing w:val="-15"/>
          <w:w w:val="110"/>
        </w:rPr>
        <w:t xml:space="preserve"> </w:t>
      </w:r>
      <w:r w:rsidRPr="00DD7BD1">
        <w:rPr>
          <w:rFonts w:ascii="Calibri" w:hAnsi="Calibri" w:cs="Calibri"/>
          <w:w w:val="110"/>
        </w:rPr>
        <w:t>application</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employers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6"/>
          <w:w w:val="110"/>
        </w:rPr>
        <w:t xml:space="preserve"> </w:t>
      </w:r>
      <w:r w:rsidRPr="00DD7BD1">
        <w:rPr>
          <w:rFonts w:ascii="Calibri" w:hAnsi="Calibri" w:cs="Calibri"/>
          <w:w w:val="110"/>
        </w:rPr>
        <w:t>count</w:t>
      </w:r>
      <w:r w:rsidRPr="00DD7BD1">
        <w:rPr>
          <w:rFonts w:ascii="Calibri" w:hAnsi="Calibri" w:cs="Calibri"/>
          <w:spacing w:val="-15"/>
          <w:w w:val="110"/>
        </w:rPr>
        <w:t xml:space="preserve"> </w:t>
      </w:r>
      <w:r w:rsidRPr="00DD7BD1">
        <w:rPr>
          <w:rFonts w:ascii="Calibri" w:hAnsi="Calibri" w:cs="Calibri"/>
          <w:w w:val="110"/>
        </w:rPr>
        <w:t>all</w:t>
      </w:r>
      <w:r w:rsidRPr="00DD7BD1">
        <w:rPr>
          <w:rFonts w:ascii="Calibri" w:hAnsi="Calibri" w:cs="Calibri"/>
          <w:spacing w:val="-15"/>
          <w:w w:val="110"/>
        </w:rPr>
        <w:t xml:space="preserve"> </w:t>
      </w:r>
      <w:r w:rsidRPr="00DD7BD1">
        <w:rPr>
          <w:rFonts w:ascii="Calibri" w:hAnsi="Calibri" w:cs="Calibri"/>
          <w:w w:val="110"/>
        </w:rPr>
        <w:t>full-time, part-time,</w:t>
      </w:r>
      <w:r w:rsidRPr="00DD7BD1">
        <w:rPr>
          <w:rFonts w:ascii="Calibri" w:hAnsi="Calibri" w:cs="Calibri"/>
          <w:spacing w:val="-2"/>
          <w:w w:val="110"/>
        </w:rPr>
        <w:t xml:space="preserve"> </w:t>
      </w:r>
      <w:r w:rsidRPr="00DD7BD1">
        <w:rPr>
          <w:rFonts w:ascii="Calibri" w:hAnsi="Calibri" w:cs="Calibri"/>
          <w:w w:val="110"/>
        </w:rPr>
        <w:t>seasonal</w:t>
      </w:r>
      <w:r w:rsidRPr="00DD7BD1">
        <w:rPr>
          <w:rFonts w:ascii="Calibri" w:hAnsi="Calibri" w:cs="Calibri"/>
          <w:spacing w:val="-1"/>
          <w:w w:val="110"/>
        </w:rPr>
        <w:t xml:space="preserve"> </w:t>
      </w:r>
      <w:r w:rsidRPr="00DD7BD1">
        <w:rPr>
          <w:rFonts w:ascii="Calibri" w:hAnsi="Calibri" w:cs="Calibri"/>
          <w:w w:val="110"/>
        </w:rPr>
        <w:t>and temporary</w:t>
      </w:r>
      <w:r w:rsidRPr="00DD7BD1">
        <w:rPr>
          <w:rFonts w:ascii="Calibri" w:hAnsi="Calibri" w:cs="Calibri"/>
          <w:spacing w:val="-1"/>
          <w:w w:val="110"/>
        </w:rPr>
        <w:t xml:space="preserve"> </w:t>
      </w:r>
      <w:r w:rsidRPr="00DD7BD1">
        <w:rPr>
          <w:rFonts w:ascii="Calibri" w:hAnsi="Calibri" w:cs="Calibri"/>
          <w:w w:val="110"/>
        </w:rPr>
        <w:t>employees with a</w:t>
      </w:r>
      <w:r w:rsidRPr="00DD7BD1">
        <w:rPr>
          <w:rFonts w:ascii="Calibri" w:hAnsi="Calibri" w:cs="Calibri"/>
          <w:spacing w:val="-1"/>
          <w:w w:val="110"/>
        </w:rPr>
        <w:t xml:space="preserve"> </w:t>
      </w:r>
      <w:r w:rsidRPr="00DD7BD1">
        <w:rPr>
          <w:rFonts w:ascii="Calibri" w:hAnsi="Calibri" w:cs="Calibri"/>
          <w:w w:val="110"/>
        </w:rPr>
        <w:t>primary</w:t>
      </w:r>
      <w:r w:rsidRPr="00DD7BD1">
        <w:rPr>
          <w:rFonts w:ascii="Calibri" w:hAnsi="Calibri" w:cs="Calibri"/>
          <w:spacing w:val="-2"/>
          <w:w w:val="110"/>
        </w:rPr>
        <w:t xml:space="preserve"> </w:t>
      </w:r>
      <w:r w:rsidRPr="00DD7BD1">
        <w:rPr>
          <w:rFonts w:ascii="Calibri" w:hAnsi="Calibri" w:cs="Calibri"/>
          <w:w w:val="110"/>
        </w:rPr>
        <w:t>place</w:t>
      </w:r>
      <w:r w:rsidRPr="00DD7BD1">
        <w:rPr>
          <w:rFonts w:ascii="Calibri" w:hAnsi="Calibri" w:cs="Calibri"/>
          <w:spacing w:val="-1"/>
          <w:w w:val="110"/>
        </w:rPr>
        <w:t xml:space="preserve"> </w:t>
      </w:r>
      <w:r w:rsidRPr="00DD7BD1">
        <w:rPr>
          <w:rFonts w:ascii="Calibri" w:hAnsi="Calibri" w:cs="Calibri"/>
          <w:w w:val="110"/>
        </w:rPr>
        <w:t>of work</w:t>
      </w:r>
      <w:r w:rsidRPr="00DD7BD1">
        <w:rPr>
          <w:rFonts w:ascii="Calibri" w:hAnsi="Calibri" w:cs="Calibri"/>
          <w:spacing w:val="-2"/>
          <w:w w:val="110"/>
        </w:rPr>
        <w:t xml:space="preserve"> </w:t>
      </w:r>
      <w:r w:rsidRPr="00DD7BD1">
        <w:rPr>
          <w:rFonts w:ascii="Calibri" w:hAnsi="Calibri" w:cs="Calibri"/>
          <w:w w:val="110"/>
        </w:rPr>
        <w:t>in Massachusetts. Remote</w:t>
      </w:r>
      <w:r w:rsidRPr="00DD7BD1">
        <w:rPr>
          <w:rFonts w:ascii="Calibri" w:hAnsi="Calibri" w:cs="Calibri"/>
          <w:spacing w:val="-1"/>
          <w:w w:val="110"/>
        </w:rPr>
        <w:t xml:space="preserve"> </w:t>
      </w:r>
      <w:r w:rsidRPr="00DD7BD1">
        <w:rPr>
          <w:rFonts w:ascii="Calibri" w:hAnsi="Calibri" w:cs="Calibri"/>
          <w:w w:val="110"/>
        </w:rPr>
        <w:t>employees who</w:t>
      </w:r>
      <w:r w:rsidRPr="00DD7BD1">
        <w:rPr>
          <w:rFonts w:ascii="Calibri" w:hAnsi="Calibri" w:cs="Calibri"/>
          <w:spacing w:val="-12"/>
          <w:w w:val="110"/>
        </w:rPr>
        <w:t xml:space="preserve"> </w:t>
      </w:r>
      <w:r w:rsidRPr="00DD7BD1">
        <w:rPr>
          <w:rFonts w:ascii="Calibri" w:hAnsi="Calibri" w:cs="Calibri"/>
          <w:w w:val="110"/>
        </w:rPr>
        <w:t>work</w:t>
      </w:r>
      <w:r w:rsidRPr="00DD7BD1">
        <w:rPr>
          <w:rFonts w:ascii="Calibri" w:hAnsi="Calibri" w:cs="Calibri"/>
          <w:spacing w:val="-9"/>
          <w:w w:val="110"/>
        </w:rPr>
        <w:t xml:space="preserve"> </w:t>
      </w:r>
      <w:r w:rsidRPr="00DD7BD1">
        <w:rPr>
          <w:rFonts w:ascii="Calibri" w:hAnsi="Calibri" w:cs="Calibri"/>
          <w:w w:val="110"/>
        </w:rPr>
        <w:t>out</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state</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count</w:t>
      </w:r>
      <w:r w:rsidRPr="00DD7BD1">
        <w:rPr>
          <w:rFonts w:ascii="Calibri" w:hAnsi="Calibri" w:cs="Calibri"/>
          <w:spacing w:val="-6"/>
          <w:w w:val="110"/>
        </w:rPr>
        <w:t xml:space="preserve"> </w:t>
      </w:r>
      <w:r w:rsidRPr="00DD7BD1">
        <w:rPr>
          <w:rFonts w:ascii="Calibri" w:hAnsi="Calibri" w:cs="Calibri"/>
          <w:w w:val="110"/>
        </w:rPr>
        <w:t>toward</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0"/>
          <w:w w:val="110"/>
        </w:rPr>
        <w:t xml:space="preserve"> </w:t>
      </w:r>
      <w:r w:rsidRPr="00DD7BD1">
        <w:rPr>
          <w:rFonts w:ascii="Calibri" w:hAnsi="Calibri" w:cs="Calibri"/>
          <w:w w:val="110"/>
        </w:rPr>
        <w:t>threshold</w:t>
      </w:r>
      <w:r w:rsidRPr="00DD7BD1">
        <w:rPr>
          <w:rFonts w:ascii="Calibri" w:hAnsi="Calibri" w:cs="Calibri"/>
          <w:spacing w:val="-9"/>
          <w:w w:val="110"/>
        </w:rPr>
        <w:t xml:space="preserve"> </w:t>
      </w:r>
      <w:r w:rsidRPr="00DD7BD1">
        <w:rPr>
          <w:rFonts w:ascii="Calibri" w:hAnsi="Calibri" w:cs="Calibri"/>
          <w:w w:val="110"/>
        </w:rPr>
        <w:t>if</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primary</w:t>
      </w:r>
      <w:r w:rsidRPr="00DD7BD1">
        <w:rPr>
          <w:rFonts w:ascii="Calibri" w:hAnsi="Calibri" w:cs="Calibri"/>
          <w:spacing w:val="-11"/>
          <w:w w:val="110"/>
        </w:rPr>
        <w:t xml:space="preserve"> </w:t>
      </w:r>
      <w:r w:rsidRPr="00DD7BD1">
        <w:rPr>
          <w:rFonts w:ascii="Calibri" w:hAnsi="Calibri" w:cs="Calibri"/>
          <w:w w:val="110"/>
        </w:rPr>
        <w:t>place</w:t>
      </w:r>
      <w:r w:rsidRPr="00DD7BD1">
        <w:rPr>
          <w:rFonts w:ascii="Calibri" w:hAnsi="Calibri" w:cs="Calibri"/>
          <w:spacing w:val="-9"/>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work</w:t>
      </w:r>
      <w:r w:rsidRPr="00DD7BD1">
        <w:rPr>
          <w:rFonts w:ascii="Calibri" w:hAnsi="Calibri" w:cs="Calibri"/>
          <w:spacing w:val="-12"/>
          <w:w w:val="110"/>
        </w:rPr>
        <w:t xml:space="preserve"> </w:t>
      </w:r>
      <w:r w:rsidRPr="00DD7BD1">
        <w:rPr>
          <w:rFonts w:ascii="Calibri" w:hAnsi="Calibri" w:cs="Calibri"/>
          <w:w w:val="110"/>
        </w:rPr>
        <w:t>is</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 xml:space="preserve">be </w:t>
      </w:r>
      <w:r w:rsidRPr="00DD7BD1">
        <w:rPr>
          <w:rFonts w:ascii="Calibri" w:hAnsi="Calibri" w:cs="Calibri"/>
          <w:spacing w:val="-2"/>
          <w:w w:val="110"/>
        </w:rPr>
        <w:t>Massachusetts.</w:t>
      </w:r>
    </w:p>
    <w:p w14:paraId="75E16B5B"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definition</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"primary</w:t>
      </w:r>
      <w:r w:rsidRPr="00DD7BD1">
        <w:rPr>
          <w:rFonts w:ascii="Calibri" w:hAnsi="Calibri" w:cs="Calibri"/>
          <w:spacing w:val="-16"/>
          <w:w w:val="110"/>
        </w:rPr>
        <w:t xml:space="preserve"> </w:t>
      </w:r>
      <w:r w:rsidRPr="00DD7BD1">
        <w:rPr>
          <w:rFonts w:ascii="Calibri" w:hAnsi="Calibri" w:cs="Calibri"/>
          <w:w w:val="110"/>
        </w:rPr>
        <w:t>place</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3"/>
          <w:w w:val="110"/>
        </w:rPr>
        <w:t xml:space="preserve"> </w:t>
      </w:r>
      <w:r w:rsidRPr="00DD7BD1">
        <w:rPr>
          <w:rFonts w:ascii="Calibri" w:hAnsi="Calibri" w:cs="Calibri"/>
          <w:w w:val="110"/>
        </w:rPr>
        <w:t>work"</w:t>
      </w:r>
      <w:r w:rsidRPr="00DD7BD1">
        <w:rPr>
          <w:rFonts w:ascii="Calibri" w:hAnsi="Calibri" w:cs="Calibri"/>
          <w:spacing w:val="-15"/>
          <w:w w:val="110"/>
        </w:rPr>
        <w:t xml:space="preserve"> </w:t>
      </w:r>
      <w:r w:rsidRPr="00DD7BD1">
        <w:rPr>
          <w:rFonts w:ascii="Calibri" w:hAnsi="Calibri" w:cs="Calibri"/>
          <w:w w:val="110"/>
        </w:rPr>
        <w:t>under</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is</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same</w:t>
      </w:r>
      <w:r w:rsidRPr="00DD7BD1">
        <w:rPr>
          <w:rFonts w:ascii="Calibri" w:hAnsi="Calibri" w:cs="Calibri"/>
          <w:spacing w:val="-14"/>
          <w:w w:val="110"/>
        </w:rPr>
        <w:t xml:space="preserve"> </w:t>
      </w:r>
      <w:r w:rsidRPr="00DD7BD1">
        <w:rPr>
          <w:rFonts w:ascii="Calibri" w:hAnsi="Calibri" w:cs="Calibri"/>
          <w:w w:val="110"/>
        </w:rPr>
        <w:t>definition</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adopted</w:t>
      </w:r>
      <w:r w:rsidRPr="00DD7BD1">
        <w:rPr>
          <w:rFonts w:ascii="Calibri" w:hAnsi="Calibri" w:cs="Calibri"/>
          <w:spacing w:val="-15"/>
          <w:w w:val="110"/>
        </w:rPr>
        <w:t xml:space="preserve"> </w:t>
      </w:r>
      <w:r w:rsidRPr="00DD7BD1">
        <w:rPr>
          <w:rFonts w:ascii="Calibri" w:hAnsi="Calibri" w:cs="Calibri"/>
          <w:w w:val="110"/>
        </w:rPr>
        <w:t>in</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AG's</w:t>
      </w:r>
      <w:r w:rsidRPr="00DD7BD1">
        <w:rPr>
          <w:rFonts w:ascii="Calibri" w:hAnsi="Calibri" w:cs="Calibri"/>
          <w:spacing w:val="-4"/>
          <w:w w:val="110"/>
        </w:rPr>
        <w:t xml:space="preserve"> </w:t>
      </w:r>
      <w:hyperlink r:id="rId745">
        <w:r w:rsidRPr="00DD7BD1">
          <w:rPr>
            <w:rFonts w:ascii="Calibri" w:hAnsi="Calibri" w:cs="Calibri"/>
            <w:color w:val="0000FF"/>
            <w:w w:val="110"/>
            <w:u w:val="single" w:color="0000FF"/>
          </w:rPr>
          <w:t>Earned</w:t>
        </w:r>
        <w:r w:rsidRPr="00DD7BD1">
          <w:rPr>
            <w:rFonts w:ascii="Calibri" w:hAnsi="Calibri" w:cs="Calibri"/>
            <w:color w:val="0000FF"/>
            <w:spacing w:val="-15"/>
            <w:w w:val="110"/>
            <w:u w:val="single" w:color="0000FF"/>
          </w:rPr>
          <w:t xml:space="preserve"> </w:t>
        </w:r>
        <w:r w:rsidRPr="00DD7BD1">
          <w:rPr>
            <w:rFonts w:ascii="Calibri" w:hAnsi="Calibri" w:cs="Calibri"/>
            <w:color w:val="0000FF"/>
            <w:w w:val="110"/>
            <w:u w:val="single" w:color="0000FF"/>
          </w:rPr>
          <w:t>Sick</w:t>
        </w:r>
        <w:r w:rsidRPr="00DD7BD1">
          <w:rPr>
            <w:rFonts w:ascii="Calibri" w:hAnsi="Calibri" w:cs="Calibri"/>
            <w:color w:val="0000FF"/>
            <w:spacing w:val="-16"/>
            <w:w w:val="110"/>
            <w:u w:val="single" w:color="0000FF"/>
          </w:rPr>
          <w:t xml:space="preserve"> </w:t>
        </w:r>
        <w:r w:rsidRPr="00DD7BD1">
          <w:rPr>
            <w:rFonts w:ascii="Calibri" w:hAnsi="Calibri" w:cs="Calibri"/>
            <w:color w:val="0000FF"/>
            <w:w w:val="110"/>
            <w:u w:val="single" w:color="0000FF"/>
          </w:rPr>
          <w:t>Time</w:t>
        </w:r>
      </w:hyperlink>
      <w:r w:rsidRPr="00DD7BD1">
        <w:rPr>
          <w:rFonts w:ascii="Calibri" w:hAnsi="Calibri" w:cs="Calibri"/>
          <w:color w:val="0000FF"/>
          <w:w w:val="110"/>
        </w:rPr>
        <w:t xml:space="preserve"> </w:t>
      </w:r>
      <w:hyperlink r:id="rId746">
        <w:r w:rsidRPr="00DD7BD1">
          <w:rPr>
            <w:rFonts w:ascii="Calibri" w:hAnsi="Calibri" w:cs="Calibri"/>
            <w:color w:val="0000FF"/>
            <w:w w:val="110"/>
            <w:u w:val="single" w:color="0000FF"/>
          </w:rPr>
          <w:t>FAQs</w:t>
        </w:r>
        <w:r w:rsidRPr="00DD7BD1">
          <w:rPr>
            <w:rFonts w:ascii="Calibri" w:hAnsi="Calibri" w:cs="Calibri"/>
            <w:w w:val="110"/>
          </w:rPr>
          <w:t>.</w:t>
        </w:r>
      </w:hyperlink>
      <w:r w:rsidRPr="00DD7BD1">
        <w:rPr>
          <w:rFonts w:ascii="Calibri" w:hAnsi="Calibri" w:cs="Calibri"/>
          <w:spacing w:val="-5"/>
          <w:w w:val="110"/>
        </w:rPr>
        <w:t xml:space="preserve"> </w:t>
      </w:r>
      <w:r w:rsidRPr="00DD7BD1">
        <w:rPr>
          <w:rFonts w:ascii="Calibri" w:hAnsi="Calibri" w:cs="Calibri"/>
          <w:w w:val="110"/>
        </w:rPr>
        <w:t>Under</w:t>
      </w:r>
      <w:r w:rsidRPr="00DD7BD1">
        <w:rPr>
          <w:rFonts w:ascii="Calibri" w:hAnsi="Calibri" w:cs="Calibri"/>
          <w:spacing w:val="-5"/>
          <w:w w:val="110"/>
        </w:rPr>
        <w:t xml:space="preserve"> </w:t>
      </w:r>
      <w:r w:rsidRPr="00DD7BD1">
        <w:rPr>
          <w:rFonts w:ascii="Calibri" w:hAnsi="Calibri" w:cs="Calibri"/>
          <w:w w:val="110"/>
        </w:rPr>
        <w:t>those</w:t>
      </w:r>
      <w:r w:rsidRPr="00DD7BD1">
        <w:rPr>
          <w:rFonts w:ascii="Calibri" w:hAnsi="Calibri" w:cs="Calibri"/>
          <w:spacing w:val="-5"/>
          <w:w w:val="110"/>
        </w:rPr>
        <w:t xml:space="preserve"> </w:t>
      </w:r>
      <w:r w:rsidRPr="00DD7BD1">
        <w:rPr>
          <w:rFonts w:ascii="Calibri" w:hAnsi="Calibri" w:cs="Calibri"/>
          <w:w w:val="110"/>
        </w:rPr>
        <w:t>FAQs,</w:t>
      </w:r>
      <w:r w:rsidRPr="00DD7BD1">
        <w:rPr>
          <w:rFonts w:ascii="Calibri" w:hAnsi="Calibri" w:cs="Calibri"/>
          <w:spacing w:val="-6"/>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2"/>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4"/>
          <w:w w:val="110"/>
        </w:rPr>
        <w:t xml:space="preserve"> </w:t>
      </w:r>
      <w:r w:rsidRPr="00DD7BD1">
        <w:rPr>
          <w:rFonts w:ascii="Calibri" w:hAnsi="Calibri" w:cs="Calibri"/>
          <w:w w:val="110"/>
        </w:rPr>
        <w:t>include</w:t>
      </w:r>
      <w:r w:rsidRPr="00DD7BD1">
        <w:rPr>
          <w:rFonts w:ascii="Calibri" w:hAnsi="Calibri" w:cs="Calibri"/>
          <w:spacing w:val="-5"/>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who:</w:t>
      </w:r>
    </w:p>
    <w:p w14:paraId="63E07BE4" w14:textId="77777777" w:rsidR="003A22A9" w:rsidRPr="00DD7BD1"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8"/>
          <w:w w:val="110"/>
        </w:rPr>
        <w:t xml:space="preserve"> </w:t>
      </w:r>
      <w:r w:rsidRPr="00DD7BD1">
        <w:rPr>
          <w:rFonts w:ascii="Calibri" w:hAnsi="Calibri" w:cs="Calibri"/>
          <w:w w:val="110"/>
        </w:rPr>
        <w:t>hours</w:t>
      </w:r>
      <w:r w:rsidRPr="00DD7BD1">
        <w:rPr>
          <w:rFonts w:ascii="Calibri" w:hAnsi="Calibri" w:cs="Calibri"/>
          <w:spacing w:val="-7"/>
          <w:w w:val="110"/>
        </w:rPr>
        <w:t xml:space="preserve"> </w:t>
      </w:r>
      <w:r w:rsidRPr="00DD7BD1">
        <w:rPr>
          <w:rFonts w:ascii="Calibri" w:hAnsi="Calibri" w:cs="Calibri"/>
          <w:w w:val="110"/>
        </w:rPr>
        <w:t>traveling</w:t>
      </w:r>
      <w:r w:rsidRPr="00DD7BD1">
        <w:rPr>
          <w:rFonts w:ascii="Calibri" w:hAnsi="Calibri" w:cs="Calibri"/>
          <w:spacing w:val="-4"/>
          <w:w w:val="110"/>
        </w:rPr>
        <w:t xml:space="preserve"> </w:t>
      </w:r>
      <w:r w:rsidRPr="00DD7BD1">
        <w:rPr>
          <w:rFonts w:ascii="Calibri" w:hAnsi="Calibri" w:cs="Calibri"/>
          <w:w w:val="110"/>
        </w:rPr>
        <w:t>outside</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but</w:t>
      </w:r>
      <w:r w:rsidRPr="00DD7BD1">
        <w:rPr>
          <w:rFonts w:ascii="Calibri" w:hAnsi="Calibri" w:cs="Calibri"/>
          <w:spacing w:val="-7"/>
          <w:w w:val="110"/>
        </w:rPr>
        <w:t xml:space="preserve"> </w:t>
      </w:r>
      <w:r w:rsidRPr="00DD7BD1">
        <w:rPr>
          <w:rFonts w:ascii="Calibri" w:hAnsi="Calibri" w:cs="Calibri"/>
          <w:w w:val="110"/>
        </w:rPr>
        <w:t>return</w:t>
      </w:r>
      <w:r w:rsidRPr="00DD7BD1">
        <w:rPr>
          <w:rFonts w:ascii="Calibri" w:hAnsi="Calibri" w:cs="Calibri"/>
          <w:spacing w:val="-7"/>
          <w:w w:val="110"/>
        </w:rPr>
        <w:t xml:space="preserve"> </w:t>
      </w:r>
      <w:r w:rsidRPr="00DD7BD1">
        <w:rPr>
          <w:rFonts w:ascii="Calibri" w:hAnsi="Calibri" w:cs="Calibri"/>
          <w:w w:val="110"/>
        </w:rPr>
        <w:t>regularly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base</w:t>
      </w:r>
      <w:r w:rsidRPr="00DD7BD1">
        <w:rPr>
          <w:rFonts w:ascii="Calibri" w:hAnsi="Calibri" w:cs="Calibri"/>
          <w:spacing w:val="-7"/>
          <w:w w:val="110"/>
        </w:rPr>
        <w:t xml:space="preserve"> </w:t>
      </w:r>
      <w:r w:rsidRPr="00DD7BD1">
        <w:rPr>
          <w:rFonts w:ascii="Calibri" w:hAnsi="Calibri" w:cs="Calibri"/>
          <w:w w:val="110"/>
        </w:rPr>
        <w:t xml:space="preserve">of </w:t>
      </w:r>
      <w:r w:rsidRPr="00DD7BD1">
        <w:rPr>
          <w:rFonts w:ascii="Calibri" w:hAnsi="Calibri" w:cs="Calibri"/>
          <w:spacing w:val="-2"/>
          <w:w w:val="110"/>
        </w:rPr>
        <w:t>operations</w:t>
      </w:r>
    </w:p>
    <w:p w14:paraId="35FDC128"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telecommute</w:t>
      </w:r>
      <w:r w:rsidRPr="00DD7BD1">
        <w:rPr>
          <w:rFonts w:ascii="Calibri" w:hAnsi="Calibri" w:cs="Calibri"/>
          <w:spacing w:val="-14"/>
          <w:w w:val="110"/>
        </w:rPr>
        <w:t xml:space="preserve"> </w:t>
      </w:r>
      <w:r w:rsidRPr="00DD7BD1">
        <w:rPr>
          <w:rFonts w:ascii="Calibri" w:hAnsi="Calibri" w:cs="Calibri"/>
          <w:w w:val="110"/>
        </w:rPr>
        <w:t>through</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13"/>
          <w:w w:val="110"/>
        </w:rPr>
        <w:t xml:space="preserve"> </w:t>
      </w:r>
      <w:r w:rsidRPr="00DD7BD1">
        <w:rPr>
          <w:rFonts w:ascii="Calibri" w:hAnsi="Calibri" w:cs="Calibri"/>
          <w:w w:val="110"/>
        </w:rPr>
        <w:t>arrangement</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2"/>
          <w:w w:val="110"/>
        </w:rPr>
        <w:t xml:space="preserve"> </w:t>
      </w:r>
      <w:r w:rsidRPr="00DD7BD1">
        <w:rPr>
          <w:rFonts w:ascii="Calibri" w:hAnsi="Calibri" w:cs="Calibri"/>
          <w:w w:val="110"/>
        </w:rPr>
        <w:t>their</w:t>
      </w:r>
      <w:r w:rsidRPr="00DD7BD1">
        <w:rPr>
          <w:rFonts w:ascii="Calibri" w:hAnsi="Calibri" w:cs="Calibri"/>
          <w:spacing w:val="-14"/>
          <w:w w:val="110"/>
        </w:rPr>
        <w:t xml:space="preserve"> </w:t>
      </w:r>
      <w:r w:rsidRPr="00DD7BD1">
        <w:rPr>
          <w:rFonts w:ascii="Calibri" w:hAnsi="Calibri" w:cs="Calibri"/>
          <w:w w:val="110"/>
        </w:rPr>
        <w:t>employer</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a</w:t>
      </w:r>
      <w:r w:rsidRPr="00DD7BD1">
        <w:rPr>
          <w:rFonts w:ascii="Calibri" w:hAnsi="Calibri" w:cs="Calibri"/>
          <w:spacing w:val="-13"/>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spacing w:val="-2"/>
          <w:w w:val="110"/>
        </w:rPr>
        <w:t>worksite</w:t>
      </w:r>
    </w:p>
    <w:p w14:paraId="62E7E183"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plurality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working</w:t>
      </w:r>
      <w:r w:rsidRPr="00DD7BD1">
        <w:rPr>
          <w:rFonts w:ascii="Calibri" w:hAnsi="Calibri" w:cs="Calibri"/>
          <w:spacing w:val="-13"/>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w w:val="110"/>
        </w:rPr>
        <w:t>over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course</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one</w:t>
      </w:r>
      <w:r w:rsidRPr="00DD7BD1">
        <w:rPr>
          <w:rFonts w:ascii="Calibri" w:hAnsi="Calibri" w:cs="Calibri"/>
          <w:spacing w:val="-14"/>
          <w:w w:val="110"/>
        </w:rPr>
        <w:t xml:space="preserve"> </w:t>
      </w:r>
      <w:r w:rsidRPr="00DD7BD1">
        <w:rPr>
          <w:rFonts w:ascii="Calibri" w:hAnsi="Calibri" w:cs="Calibri"/>
          <w:spacing w:val="-4"/>
          <w:w w:val="110"/>
        </w:rPr>
        <w:t>year</w:t>
      </w:r>
    </w:p>
    <w:p w14:paraId="74C35174"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Act</w:t>
      </w:r>
      <w:r w:rsidRPr="00DD7BD1">
        <w:rPr>
          <w:rFonts w:ascii="Calibri" w:hAnsi="Calibri" w:cs="Calibri"/>
          <w:spacing w:val="-4"/>
          <w:w w:val="110"/>
        </w:rPr>
        <w:t xml:space="preserve"> </w:t>
      </w:r>
      <w:r w:rsidRPr="00DD7BD1">
        <w:rPr>
          <w:rFonts w:ascii="Calibri" w:hAnsi="Calibri" w:cs="Calibri"/>
          <w:w w:val="110"/>
        </w:rPr>
        <w:t>applies</w:t>
      </w:r>
      <w:r w:rsidRPr="00DD7BD1">
        <w:rPr>
          <w:rFonts w:ascii="Calibri" w:hAnsi="Calibri" w:cs="Calibri"/>
          <w:spacing w:val="-3"/>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all</w:t>
      </w:r>
      <w:r w:rsidRPr="00DD7BD1">
        <w:rPr>
          <w:rFonts w:ascii="Calibri" w:hAnsi="Calibri" w:cs="Calibri"/>
          <w:spacing w:val="-5"/>
          <w:w w:val="110"/>
        </w:rPr>
        <w:t xml:space="preserve"> </w:t>
      </w:r>
      <w:r w:rsidRPr="00DD7BD1">
        <w:rPr>
          <w:rFonts w:ascii="Calibri" w:hAnsi="Calibri" w:cs="Calibri"/>
          <w:w w:val="110"/>
        </w:rPr>
        <w:t>job</w:t>
      </w:r>
      <w:r w:rsidRPr="00DD7BD1">
        <w:rPr>
          <w:rFonts w:ascii="Calibri" w:hAnsi="Calibri" w:cs="Calibri"/>
          <w:spacing w:val="-3"/>
          <w:w w:val="110"/>
        </w:rPr>
        <w:t xml:space="preserve"> </w:t>
      </w:r>
      <w:r w:rsidRPr="00DD7BD1">
        <w:rPr>
          <w:rFonts w:ascii="Calibri" w:hAnsi="Calibri" w:cs="Calibri"/>
          <w:w w:val="110"/>
        </w:rPr>
        <w:t>postings</w:t>
      </w:r>
      <w:r w:rsidRPr="00DD7BD1">
        <w:rPr>
          <w:rFonts w:ascii="Calibri" w:hAnsi="Calibri" w:cs="Calibri"/>
          <w:spacing w:val="-3"/>
          <w:w w:val="110"/>
        </w:rPr>
        <w:t xml:space="preserve"> </w:t>
      </w:r>
      <w:r w:rsidRPr="00DD7BD1">
        <w:rPr>
          <w:rFonts w:ascii="Calibri" w:hAnsi="Calibri" w:cs="Calibri"/>
          <w:w w:val="110"/>
        </w:rPr>
        <w:t>where</w:t>
      </w:r>
      <w:r w:rsidRPr="00DD7BD1">
        <w:rPr>
          <w:rFonts w:ascii="Calibri" w:hAnsi="Calibri" w:cs="Calibri"/>
          <w:spacing w:val="-4"/>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position's</w:t>
      </w:r>
      <w:r w:rsidRPr="00DD7BD1">
        <w:rPr>
          <w:rFonts w:ascii="Calibri" w:hAnsi="Calibri" w:cs="Calibri"/>
          <w:spacing w:val="-3"/>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4"/>
          <w:w w:val="110"/>
        </w:rPr>
        <w:t xml:space="preserve"> </w:t>
      </w:r>
      <w:r w:rsidRPr="00DD7BD1">
        <w:rPr>
          <w:rFonts w:ascii="Calibri" w:hAnsi="Calibri" w:cs="Calibri"/>
          <w:w w:val="110"/>
        </w:rPr>
        <w:t>of</w:t>
      </w:r>
      <w:r w:rsidRPr="00DD7BD1">
        <w:rPr>
          <w:rFonts w:ascii="Calibri" w:hAnsi="Calibri" w:cs="Calibri"/>
          <w:spacing w:val="-4"/>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is Massachusetts.</w:t>
      </w:r>
      <w:r w:rsidRPr="00DD7BD1">
        <w:rPr>
          <w:rFonts w:ascii="Calibri" w:hAnsi="Calibri" w:cs="Calibri"/>
          <w:spacing w:val="-4"/>
          <w:w w:val="110"/>
        </w:rPr>
        <w:t xml:space="preserve"> </w:t>
      </w:r>
      <w:r w:rsidRPr="00DD7BD1">
        <w:rPr>
          <w:rFonts w:ascii="Calibri" w:hAnsi="Calibri" w:cs="Calibri"/>
          <w:w w:val="110"/>
        </w:rPr>
        <w:t>However,</w:t>
      </w:r>
      <w:r w:rsidRPr="00DD7BD1">
        <w:rPr>
          <w:rFonts w:ascii="Calibri" w:hAnsi="Calibri" w:cs="Calibri"/>
          <w:spacing w:val="-5"/>
          <w:w w:val="110"/>
        </w:rPr>
        <w:t xml:space="preserve"> </w:t>
      </w:r>
      <w:r w:rsidRPr="00DD7BD1">
        <w:rPr>
          <w:rFonts w:ascii="Calibri" w:hAnsi="Calibri" w:cs="Calibri"/>
          <w:w w:val="110"/>
        </w:rPr>
        <w:t>remote 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worksite</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remote</w:t>
      </w:r>
      <w:r w:rsidRPr="00DD7BD1">
        <w:rPr>
          <w:rFonts w:ascii="Calibri" w:hAnsi="Calibri" w:cs="Calibri"/>
          <w:spacing w:val="-3"/>
          <w:w w:val="110"/>
        </w:rPr>
        <w:t xml:space="preserve"> </w:t>
      </w:r>
      <w:r w:rsidRPr="00DD7BD1">
        <w:rPr>
          <w:rFonts w:ascii="Calibri" w:hAnsi="Calibri" w:cs="Calibri"/>
          <w:w w:val="110"/>
        </w:rPr>
        <w:t>employees</w:t>
      </w:r>
      <w:r w:rsidRPr="00DD7BD1">
        <w:rPr>
          <w:rFonts w:ascii="Calibri" w:hAnsi="Calibri" w:cs="Calibri"/>
          <w:spacing w:val="-1"/>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3"/>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1"/>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are included</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6"/>
          <w:w w:val="110"/>
        </w:rPr>
        <w:t xml:space="preserve"> </w:t>
      </w:r>
      <w:r w:rsidRPr="00DD7BD1">
        <w:rPr>
          <w:rFonts w:ascii="Calibri" w:hAnsi="Calibri" w:cs="Calibri"/>
          <w:w w:val="110"/>
        </w:rPr>
        <w:t>this</w:t>
      </w:r>
      <w:r w:rsidRPr="00DD7BD1">
        <w:rPr>
          <w:rFonts w:ascii="Calibri" w:hAnsi="Calibri" w:cs="Calibri"/>
          <w:spacing w:val="-5"/>
          <w:w w:val="110"/>
        </w:rPr>
        <w:t xml:space="preserve"> </w:t>
      </w:r>
      <w:r w:rsidRPr="00DD7BD1">
        <w:rPr>
          <w:rFonts w:ascii="Calibri" w:hAnsi="Calibri" w:cs="Calibri"/>
          <w:w w:val="110"/>
        </w:rPr>
        <w:t>requirement.</w:t>
      </w:r>
      <w:r w:rsidRPr="00DD7BD1">
        <w:rPr>
          <w:rFonts w:ascii="Calibri" w:hAnsi="Calibri" w:cs="Calibri"/>
          <w:spacing w:val="-6"/>
          <w:w w:val="110"/>
        </w:rPr>
        <w:t xml:space="preserve"> </w:t>
      </w:r>
      <w:r w:rsidRPr="00DD7BD1">
        <w:rPr>
          <w:rFonts w:ascii="Calibri" w:hAnsi="Calibri" w:cs="Calibri"/>
          <w:w w:val="110"/>
        </w:rPr>
        <w:t>If</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6"/>
          <w:w w:val="110"/>
        </w:rPr>
        <w:t xml:space="preserve"> </w:t>
      </w:r>
      <w:r w:rsidRPr="00DD7BD1">
        <w:rPr>
          <w:rFonts w:ascii="Calibri" w:hAnsi="Calibri" w:cs="Calibri"/>
          <w:w w:val="110"/>
        </w:rPr>
        <w:t>employee</w:t>
      </w:r>
      <w:r w:rsidRPr="00DD7BD1">
        <w:rPr>
          <w:rFonts w:ascii="Calibri" w:hAnsi="Calibri" w:cs="Calibri"/>
          <w:spacing w:val="-6"/>
          <w:w w:val="110"/>
        </w:rPr>
        <w:t xml:space="preserve"> </w:t>
      </w:r>
      <w:r w:rsidRPr="00DD7BD1">
        <w:rPr>
          <w:rFonts w:ascii="Calibri" w:hAnsi="Calibri" w:cs="Calibri"/>
          <w:w w:val="110"/>
        </w:rPr>
        <w:t>hired</w:t>
      </w:r>
      <w:r w:rsidRPr="00DD7BD1">
        <w:rPr>
          <w:rFonts w:ascii="Calibri" w:hAnsi="Calibri" w:cs="Calibri"/>
          <w:spacing w:val="-5"/>
          <w:w w:val="110"/>
        </w:rPr>
        <w:t xml:space="preserve"> </w:t>
      </w:r>
      <w:r w:rsidRPr="00DD7BD1">
        <w:rPr>
          <w:rFonts w:ascii="Calibri" w:hAnsi="Calibri" w:cs="Calibri"/>
          <w:w w:val="110"/>
        </w:rPr>
        <w:t>for</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position</w:t>
      </w:r>
      <w:r w:rsidRPr="00DD7BD1">
        <w:rPr>
          <w:rFonts w:ascii="Calibri" w:hAnsi="Calibri" w:cs="Calibri"/>
          <w:spacing w:val="-6"/>
          <w:w w:val="110"/>
        </w:rPr>
        <w:t xml:space="preserve"> </w:t>
      </w:r>
      <w:r w:rsidRPr="00DD7BD1">
        <w:rPr>
          <w:rFonts w:ascii="Calibri" w:hAnsi="Calibri" w:cs="Calibri"/>
          <w:w w:val="110"/>
        </w:rPr>
        <w:t>may</w:t>
      </w:r>
      <w:r w:rsidRPr="00DD7BD1">
        <w:rPr>
          <w:rFonts w:ascii="Calibri" w:hAnsi="Calibri" w:cs="Calibri"/>
          <w:spacing w:val="-7"/>
          <w:w w:val="110"/>
        </w:rPr>
        <w:t xml:space="preserve"> </w:t>
      </w:r>
      <w:r w:rsidRPr="00DD7BD1">
        <w:rPr>
          <w:rFonts w:ascii="Calibri" w:hAnsi="Calibri" w:cs="Calibri"/>
          <w:w w:val="110"/>
        </w:rPr>
        <w:t>have</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primary</w:t>
      </w:r>
      <w:r w:rsidRPr="00DD7BD1">
        <w:rPr>
          <w:rFonts w:ascii="Calibri" w:hAnsi="Calibri" w:cs="Calibri"/>
          <w:spacing w:val="-6"/>
          <w:w w:val="110"/>
        </w:rPr>
        <w:t xml:space="preserve"> </w:t>
      </w:r>
      <w:r w:rsidRPr="00DD7BD1">
        <w:rPr>
          <w:rFonts w:ascii="Calibri" w:hAnsi="Calibri" w:cs="Calibri"/>
          <w:w w:val="110"/>
        </w:rPr>
        <w:t>place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 (even if the employee hired could also be located outside of Massachusetts), employers would be well advised to comply with the Act's requirements for that posting.</w:t>
      </w:r>
    </w:p>
    <w:p w14:paraId="0418BA71" w14:textId="77777777" w:rsidR="003A22A9" w:rsidRPr="00DD7BD1" w:rsidRDefault="003A22A9" w:rsidP="003A22A9">
      <w:pPr>
        <w:pStyle w:val="ListParagraph"/>
        <w:widowControl w:val="0"/>
        <w:tabs>
          <w:tab w:val="left" w:pos="1080"/>
        </w:tabs>
        <w:autoSpaceDE w:val="0"/>
        <w:autoSpaceDN w:val="0"/>
        <w:spacing w:after="0" w:line="240" w:lineRule="auto"/>
        <w:ind w:left="0" w:right="-180"/>
        <w:contextualSpacing w:val="0"/>
        <w:rPr>
          <w:rFonts w:ascii="Calibri" w:hAnsi="Calibri" w:cs="Calibri"/>
        </w:rPr>
      </w:pPr>
    </w:p>
    <w:p w14:paraId="43B538B9" w14:textId="77777777" w:rsidR="003A22A9" w:rsidRPr="00DD7BD1" w:rsidRDefault="003A22A9" w:rsidP="003A22A9">
      <w:pPr>
        <w:pStyle w:val="Heading4"/>
        <w:spacing w:before="0" w:line="240" w:lineRule="auto"/>
        <w:ind w:right="-180"/>
        <w:rPr>
          <w:rFonts w:ascii="Calibri" w:hAnsi="Calibri" w:cs="Calibri"/>
          <w:b/>
          <w:bCs/>
          <w:i w:val="0"/>
          <w:iCs w:val="0"/>
        </w:rPr>
      </w:pPr>
      <w:r w:rsidRPr="00DD7BD1">
        <w:rPr>
          <w:rFonts w:ascii="Calibri" w:hAnsi="Calibri" w:cs="Calibri"/>
          <w:b/>
          <w:bCs/>
          <w:i w:val="0"/>
          <w:iCs w:val="0"/>
          <w:color w:val="auto"/>
          <w:spacing w:val="-8"/>
        </w:rPr>
        <w:t>REMINDER:</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8"/>
        </w:rPr>
        <w:t>Annual</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Wage</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Data</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Reporting</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Obligations</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8"/>
        </w:rPr>
        <w:t>–</w:t>
      </w:r>
      <w:r w:rsidRPr="00DD7BD1">
        <w:rPr>
          <w:rFonts w:ascii="Calibri" w:hAnsi="Calibri" w:cs="Calibri"/>
          <w:b/>
          <w:bCs/>
          <w:i w:val="0"/>
          <w:iCs w:val="0"/>
          <w:color w:val="auto"/>
          <w:spacing w:val="-7"/>
        </w:rPr>
        <w:t xml:space="preserve"> </w:t>
      </w:r>
      <w:r w:rsidRPr="00DD7BD1">
        <w:rPr>
          <w:rFonts w:ascii="Calibri" w:hAnsi="Calibri" w:cs="Calibri"/>
          <w:b/>
          <w:bCs/>
          <w:i w:val="0"/>
          <w:iCs w:val="0"/>
          <w:color w:val="C00000"/>
          <w:spacing w:val="-8"/>
        </w:rPr>
        <w:t>Feb</w:t>
      </w:r>
      <w:r w:rsidRPr="00DD7BD1">
        <w:rPr>
          <w:rFonts w:ascii="Calibri" w:hAnsi="Calibri" w:cs="Calibri"/>
          <w:b/>
          <w:bCs/>
          <w:i w:val="0"/>
          <w:iCs w:val="0"/>
          <w:color w:val="C00000"/>
          <w:spacing w:val="-3"/>
        </w:rPr>
        <w:t xml:space="preserve"> </w:t>
      </w:r>
      <w:r w:rsidRPr="00DD7BD1">
        <w:rPr>
          <w:rFonts w:ascii="Calibri" w:hAnsi="Calibri" w:cs="Calibri"/>
          <w:b/>
          <w:bCs/>
          <w:i w:val="0"/>
          <w:iCs w:val="0"/>
          <w:color w:val="C00000"/>
          <w:spacing w:val="-8"/>
        </w:rPr>
        <w:t>1,</w:t>
      </w:r>
      <w:r w:rsidRPr="00DD7BD1">
        <w:rPr>
          <w:rFonts w:ascii="Calibri" w:hAnsi="Calibri" w:cs="Calibri"/>
          <w:b/>
          <w:bCs/>
          <w:i w:val="0"/>
          <w:iCs w:val="0"/>
          <w:color w:val="C00000"/>
          <w:spacing w:val="-4"/>
        </w:rPr>
        <w:t xml:space="preserve"> </w:t>
      </w:r>
      <w:r w:rsidRPr="00DD7BD1">
        <w:rPr>
          <w:rFonts w:ascii="Calibri" w:hAnsi="Calibri" w:cs="Calibri"/>
          <w:b/>
          <w:bCs/>
          <w:i w:val="0"/>
          <w:iCs w:val="0"/>
          <w:color w:val="C00000"/>
          <w:spacing w:val="-8"/>
        </w:rPr>
        <w:t>2026,</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next</w:t>
      </w:r>
      <w:r w:rsidRPr="00DD7BD1">
        <w:rPr>
          <w:rFonts w:ascii="Calibri" w:hAnsi="Calibri" w:cs="Calibri"/>
          <w:b/>
          <w:bCs/>
          <w:i w:val="0"/>
          <w:iCs w:val="0"/>
          <w:color w:val="C00000"/>
          <w:spacing w:val="-7"/>
        </w:rPr>
        <w:t xml:space="preserve"> </w:t>
      </w:r>
      <w:r w:rsidRPr="00DD7BD1">
        <w:rPr>
          <w:rFonts w:ascii="Calibri" w:hAnsi="Calibri" w:cs="Calibri"/>
          <w:b/>
          <w:bCs/>
          <w:i w:val="0"/>
          <w:iCs w:val="0"/>
          <w:color w:val="C00000"/>
          <w:spacing w:val="-8"/>
        </w:rPr>
        <w:t>reporting</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deadline</w:t>
      </w:r>
    </w:p>
    <w:p w14:paraId="1A4DE97A" w14:textId="77777777" w:rsidR="003A22A9" w:rsidRPr="00DD7BD1" w:rsidRDefault="003A22A9" w:rsidP="003A22A9">
      <w:pPr>
        <w:pStyle w:val="BodyText"/>
        <w:spacing w:after="0" w:line="240" w:lineRule="auto"/>
        <w:ind w:right="-180"/>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pacing w:val="-2"/>
          <w:w w:val="110"/>
          <w:szCs w:val="22"/>
        </w:rPr>
        <w:t>has</w:t>
      </w:r>
      <w:r w:rsidRPr="00DD7BD1">
        <w:rPr>
          <w:rFonts w:cs="Calibri"/>
          <w:color w:val="auto"/>
          <w:spacing w:val="-8"/>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required,</w:t>
      </w:r>
      <w:r w:rsidRPr="00DD7BD1">
        <w:rPr>
          <w:rFonts w:cs="Calibri"/>
          <w:color w:val="auto"/>
          <w:spacing w:val="-7"/>
          <w:w w:val="110"/>
          <w:szCs w:val="22"/>
        </w:rPr>
        <w:t xml:space="preserve"> </w:t>
      </w:r>
      <w:r w:rsidRPr="00DD7BD1">
        <w:rPr>
          <w:rFonts w:cs="Calibri"/>
          <w:color w:val="auto"/>
          <w:spacing w:val="-2"/>
          <w:w w:val="110"/>
          <w:szCs w:val="22"/>
        </w:rPr>
        <w:t>since</w:t>
      </w:r>
      <w:r w:rsidRPr="00DD7BD1">
        <w:rPr>
          <w:rFonts w:cs="Calibri"/>
          <w:color w:val="auto"/>
          <w:spacing w:val="-6"/>
          <w:w w:val="110"/>
          <w:szCs w:val="22"/>
        </w:rPr>
        <w:t xml:space="preserve"> </w:t>
      </w:r>
      <w:r w:rsidRPr="00DD7BD1">
        <w:rPr>
          <w:rFonts w:cs="Calibri"/>
          <w:color w:val="auto"/>
          <w:spacing w:val="-2"/>
          <w:w w:val="110"/>
          <w:szCs w:val="22"/>
        </w:rPr>
        <w:t>Feb.</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7"/>
          <w:w w:val="110"/>
          <w:szCs w:val="22"/>
        </w:rPr>
        <w:t xml:space="preserve"> </w:t>
      </w:r>
      <w:r w:rsidRPr="00DD7BD1">
        <w:rPr>
          <w:rFonts w:cs="Calibri"/>
          <w:color w:val="auto"/>
          <w:spacing w:val="-2"/>
          <w:w w:val="110"/>
          <w:szCs w:val="22"/>
        </w:rPr>
        <w:t>2025,</w:t>
      </w:r>
      <w:r w:rsidRPr="00DD7BD1">
        <w:rPr>
          <w:rFonts w:cs="Calibri"/>
          <w:color w:val="auto"/>
          <w:spacing w:val="-7"/>
          <w:w w:val="110"/>
          <w:szCs w:val="22"/>
        </w:rPr>
        <w:t xml:space="preserve"> </w:t>
      </w:r>
      <w:r w:rsidRPr="00DD7BD1">
        <w:rPr>
          <w:rFonts w:cs="Calibri"/>
          <w:color w:val="auto"/>
          <w:spacing w:val="-2"/>
          <w:w w:val="110"/>
          <w:szCs w:val="22"/>
        </w:rPr>
        <w:t>that</w:t>
      </w:r>
      <w:r w:rsidRPr="00DD7BD1">
        <w:rPr>
          <w:rFonts w:cs="Calibri"/>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6"/>
          <w:w w:val="110"/>
          <w:szCs w:val="22"/>
        </w:rPr>
        <w:t xml:space="preserve"> </w:t>
      </w:r>
      <w:r w:rsidRPr="00DD7BD1">
        <w:rPr>
          <w:rFonts w:cs="Calibri"/>
          <w:color w:val="auto"/>
          <w:spacing w:val="-2"/>
          <w:w w:val="110"/>
          <w:szCs w:val="22"/>
        </w:rPr>
        <w:t>with</w:t>
      </w:r>
      <w:r w:rsidRPr="00DD7BD1">
        <w:rPr>
          <w:rFonts w:cs="Calibri"/>
          <w:color w:val="auto"/>
          <w:spacing w:val="-10"/>
          <w:w w:val="110"/>
          <w:szCs w:val="22"/>
        </w:rPr>
        <w:t xml:space="preserve"> </w:t>
      </w:r>
      <w:r w:rsidRPr="00DD7BD1">
        <w:rPr>
          <w:rFonts w:cs="Calibri"/>
          <w:color w:val="auto"/>
          <w:spacing w:val="-2"/>
          <w:w w:val="110"/>
          <w:szCs w:val="22"/>
        </w:rPr>
        <w:t>100</w:t>
      </w:r>
      <w:r w:rsidRPr="00DD7BD1">
        <w:rPr>
          <w:rFonts w:cs="Calibri"/>
          <w:color w:val="auto"/>
          <w:spacing w:val="-8"/>
          <w:w w:val="110"/>
          <w:szCs w:val="22"/>
        </w:rPr>
        <w:t xml:space="preserve"> </w:t>
      </w:r>
      <w:r w:rsidRPr="00DD7BD1">
        <w:rPr>
          <w:rFonts w:cs="Calibri"/>
          <w:color w:val="auto"/>
          <w:spacing w:val="-2"/>
          <w:w w:val="110"/>
          <w:szCs w:val="22"/>
        </w:rPr>
        <w:t>or</w:t>
      </w:r>
      <w:r w:rsidRPr="00DD7BD1">
        <w:rPr>
          <w:rFonts w:cs="Calibri"/>
          <w:color w:val="auto"/>
          <w:spacing w:val="-10"/>
          <w:w w:val="110"/>
          <w:szCs w:val="22"/>
        </w:rPr>
        <w:t xml:space="preserve"> </w:t>
      </w:r>
      <w:r w:rsidRPr="00DD7BD1">
        <w:rPr>
          <w:rFonts w:cs="Calibri"/>
          <w:color w:val="auto"/>
          <w:spacing w:val="-2"/>
          <w:w w:val="110"/>
          <w:szCs w:val="22"/>
        </w:rPr>
        <w:t>more</w:t>
      </w:r>
      <w:r w:rsidRPr="00DD7BD1">
        <w:rPr>
          <w:rFonts w:cs="Calibri"/>
          <w:color w:val="auto"/>
          <w:spacing w:val="-6"/>
          <w:w w:val="110"/>
          <w:szCs w:val="22"/>
        </w:rPr>
        <w:t xml:space="preserve"> </w:t>
      </w:r>
      <w:r w:rsidRPr="00DD7BD1">
        <w:rPr>
          <w:rFonts w:cs="Calibri"/>
          <w:color w:val="auto"/>
          <w:spacing w:val="-2"/>
          <w:w w:val="110"/>
          <w:szCs w:val="22"/>
        </w:rPr>
        <w:t>employees</w:t>
      </w:r>
      <w:r w:rsidRPr="00DD7BD1">
        <w:rPr>
          <w:rFonts w:cs="Calibri"/>
          <w:color w:val="auto"/>
          <w:spacing w:val="-8"/>
          <w:w w:val="110"/>
          <w:szCs w:val="22"/>
        </w:rPr>
        <w:t xml:space="preserve"> </w:t>
      </w:r>
      <w:r w:rsidRPr="00DD7BD1">
        <w:rPr>
          <w:rFonts w:cs="Calibri"/>
          <w:color w:val="auto"/>
          <w:spacing w:val="-2"/>
          <w:w w:val="110"/>
          <w:szCs w:val="22"/>
        </w:rPr>
        <w:t>submit</w:t>
      </w:r>
      <w:r w:rsidRPr="00DD7BD1">
        <w:rPr>
          <w:rFonts w:cs="Calibri"/>
          <w:color w:val="auto"/>
          <w:spacing w:val="-10"/>
          <w:w w:val="110"/>
          <w:szCs w:val="22"/>
        </w:rPr>
        <w:t xml:space="preserve"> </w:t>
      </w:r>
      <w:r w:rsidRPr="00DD7BD1">
        <w:rPr>
          <w:rFonts w:cs="Calibri"/>
          <w:color w:val="auto"/>
          <w:spacing w:val="-5"/>
          <w:w w:val="110"/>
          <w:szCs w:val="22"/>
        </w:rPr>
        <w:t xml:space="preserve">an </w:t>
      </w:r>
      <w:r w:rsidRPr="00DD7BD1">
        <w:rPr>
          <w:rFonts w:cs="Calibri"/>
          <w:color w:val="auto"/>
          <w:w w:val="110"/>
          <w:szCs w:val="22"/>
        </w:rPr>
        <w:t>annual</w:t>
      </w:r>
      <w:r w:rsidRPr="00DD7BD1">
        <w:rPr>
          <w:rFonts w:cs="Calibri"/>
          <w:color w:val="auto"/>
          <w:spacing w:val="-7"/>
          <w:w w:val="110"/>
          <w:szCs w:val="22"/>
        </w:rPr>
        <w:t xml:space="preserve"> </w:t>
      </w:r>
      <w:hyperlink r:id="rId747">
        <w:r w:rsidRPr="00DD7BD1">
          <w:rPr>
            <w:rFonts w:cs="Calibri"/>
            <w:color w:val="0000FF"/>
            <w:w w:val="110"/>
            <w:szCs w:val="22"/>
            <w:u w:val="single" w:color="0000FF"/>
          </w:rPr>
          <w:t>aggregate</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wage</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data</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report</w:t>
        </w:r>
        <w:r w:rsidRPr="00DD7BD1">
          <w:rPr>
            <w:rFonts w:cs="Calibri"/>
            <w:w w:val="110"/>
            <w:szCs w:val="22"/>
          </w:rPr>
          <w:t>,</w:t>
        </w:r>
      </w:hyperlink>
      <w:r w:rsidRPr="00DD7BD1">
        <w:rPr>
          <w:rFonts w:cs="Calibri"/>
          <w:spacing w:val="-7"/>
          <w:w w:val="110"/>
          <w:szCs w:val="22"/>
        </w:rPr>
        <w:t xml:space="preserve"> </w:t>
      </w: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workforce</w:t>
      </w:r>
      <w:r w:rsidRPr="00DD7BD1">
        <w:rPr>
          <w:rFonts w:cs="Calibri"/>
          <w:color w:val="auto"/>
          <w:spacing w:val="-3"/>
          <w:w w:val="110"/>
          <w:szCs w:val="22"/>
        </w:rPr>
        <w:t xml:space="preserve"> </w:t>
      </w:r>
      <w:r w:rsidRPr="00DD7BD1">
        <w:rPr>
          <w:rFonts w:cs="Calibri"/>
          <w:color w:val="auto"/>
          <w:w w:val="110"/>
          <w:szCs w:val="22"/>
        </w:rPr>
        <w:t>demographic</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pay</w:t>
      </w:r>
      <w:r w:rsidRPr="00DD7BD1">
        <w:rPr>
          <w:rFonts w:cs="Calibri"/>
          <w:color w:val="auto"/>
          <w:spacing w:val="-3"/>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categorized</w:t>
      </w:r>
      <w:r w:rsidRPr="00DD7BD1">
        <w:rPr>
          <w:rFonts w:cs="Calibri"/>
          <w:color w:val="auto"/>
          <w:spacing w:val="-3"/>
          <w:w w:val="110"/>
          <w:szCs w:val="22"/>
        </w:rPr>
        <w:t xml:space="preserve"> </w:t>
      </w:r>
      <w:r w:rsidRPr="00DD7BD1">
        <w:rPr>
          <w:rFonts w:cs="Calibri"/>
          <w:color w:val="auto"/>
          <w:w w:val="110"/>
          <w:szCs w:val="22"/>
        </w:rPr>
        <w:t>by</w:t>
      </w:r>
      <w:r w:rsidRPr="00DD7BD1">
        <w:rPr>
          <w:rFonts w:cs="Calibri"/>
          <w:color w:val="auto"/>
          <w:spacing w:val="-3"/>
          <w:w w:val="110"/>
          <w:szCs w:val="22"/>
        </w:rPr>
        <w:t xml:space="preserve"> </w:t>
      </w:r>
      <w:r w:rsidRPr="00DD7BD1">
        <w:rPr>
          <w:rFonts w:cs="Calibri"/>
          <w:color w:val="auto"/>
          <w:w w:val="110"/>
          <w:szCs w:val="22"/>
        </w:rPr>
        <w:t>race,</w:t>
      </w:r>
      <w:r w:rsidRPr="00DD7BD1">
        <w:rPr>
          <w:rFonts w:cs="Calibri"/>
          <w:color w:val="auto"/>
          <w:spacing w:val="-7"/>
          <w:w w:val="110"/>
          <w:szCs w:val="22"/>
        </w:rPr>
        <w:t xml:space="preserve"> </w:t>
      </w:r>
      <w:r w:rsidRPr="00DD7BD1">
        <w:rPr>
          <w:rFonts w:cs="Calibri"/>
          <w:color w:val="auto"/>
          <w:w w:val="110"/>
          <w:szCs w:val="22"/>
        </w:rPr>
        <w:t>ethnicity, sex</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job</w:t>
      </w:r>
      <w:r w:rsidRPr="00DD7BD1">
        <w:rPr>
          <w:rFonts w:cs="Calibri"/>
          <w:color w:val="auto"/>
          <w:spacing w:val="-6"/>
          <w:w w:val="110"/>
          <w:szCs w:val="22"/>
        </w:rPr>
        <w:t xml:space="preserve"> </w:t>
      </w:r>
      <w:r w:rsidRPr="00DD7BD1">
        <w:rPr>
          <w:rFonts w:cs="Calibri"/>
          <w:color w:val="auto"/>
          <w:w w:val="110"/>
          <w:szCs w:val="22"/>
        </w:rPr>
        <w:t>category.</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reports</w:t>
      </w:r>
      <w:r w:rsidRPr="00DD7BD1">
        <w:rPr>
          <w:rFonts w:cs="Calibri"/>
          <w:color w:val="auto"/>
          <w:spacing w:val="-6"/>
          <w:w w:val="110"/>
          <w:szCs w:val="22"/>
        </w:rPr>
        <w:t xml:space="preserve"> </w:t>
      </w:r>
      <w:r w:rsidRPr="00DD7BD1">
        <w:rPr>
          <w:rFonts w:cs="Calibri"/>
          <w:color w:val="auto"/>
          <w:w w:val="110"/>
          <w:szCs w:val="22"/>
        </w:rPr>
        <w:t>but</w:t>
      </w:r>
      <w:r w:rsidRPr="00DD7BD1">
        <w:rPr>
          <w:rFonts w:cs="Calibri"/>
          <w:color w:val="auto"/>
          <w:spacing w:val="-5"/>
          <w:w w:val="110"/>
          <w:szCs w:val="22"/>
        </w:rPr>
        <w:t xml:space="preserve"> </w:t>
      </w:r>
      <w:r w:rsidRPr="00DD7BD1">
        <w:rPr>
          <w:rFonts w:cs="Calibri"/>
          <w:color w:val="auto"/>
          <w:w w:val="110"/>
          <w:szCs w:val="22"/>
        </w:rPr>
        <w:t>rather</w:t>
      </w:r>
      <w:r w:rsidRPr="00DD7BD1">
        <w:rPr>
          <w:rFonts w:cs="Calibri"/>
          <w:color w:val="auto"/>
          <w:spacing w:val="-5"/>
          <w:w w:val="110"/>
          <w:szCs w:val="22"/>
        </w:rPr>
        <w:t xml:space="preserve"> </w:t>
      </w:r>
      <w:r w:rsidRPr="00DD7BD1">
        <w:rPr>
          <w:rFonts w:cs="Calibri"/>
          <w:color w:val="auto"/>
          <w:w w:val="110"/>
          <w:szCs w:val="22"/>
        </w:rPr>
        <w:t>copies</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same</w:t>
      </w:r>
      <w:r w:rsidRPr="00DD7BD1">
        <w:rPr>
          <w:rFonts w:cs="Calibri"/>
          <w:color w:val="auto"/>
          <w:spacing w:val="-3"/>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data</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w:t>
      </w:r>
      <w:r w:rsidRPr="00DD7BD1">
        <w:rPr>
          <w:rFonts w:cs="Calibri"/>
          <w:color w:val="auto"/>
          <w:spacing w:val="-5"/>
          <w:w w:val="110"/>
          <w:szCs w:val="22"/>
        </w:rPr>
        <w:t xml:space="preserve"> </w:t>
      </w:r>
      <w:r w:rsidRPr="00DD7BD1">
        <w:rPr>
          <w:rFonts w:cs="Calibri"/>
          <w:color w:val="auto"/>
          <w:w w:val="110"/>
          <w:szCs w:val="22"/>
        </w:rPr>
        <w:t xml:space="preserve">Equal </w:t>
      </w:r>
      <w:r w:rsidRPr="00DD7BD1">
        <w:rPr>
          <w:rFonts w:cs="Calibri"/>
          <w:color w:val="auto"/>
          <w:szCs w:val="22"/>
        </w:rPr>
        <w:t>Employment</w:t>
      </w:r>
      <w:r w:rsidRPr="00DD7BD1">
        <w:rPr>
          <w:rFonts w:cs="Calibri"/>
          <w:color w:val="auto"/>
          <w:spacing w:val="37"/>
          <w:szCs w:val="22"/>
        </w:rPr>
        <w:t xml:space="preserve"> </w:t>
      </w:r>
      <w:r w:rsidRPr="00DD7BD1">
        <w:rPr>
          <w:rFonts w:cs="Calibri"/>
          <w:color w:val="auto"/>
          <w:szCs w:val="22"/>
        </w:rPr>
        <w:t>Opportunity</w:t>
      </w:r>
      <w:r w:rsidRPr="00DD7BD1">
        <w:rPr>
          <w:rFonts w:cs="Calibri"/>
          <w:color w:val="auto"/>
          <w:spacing w:val="40"/>
          <w:szCs w:val="22"/>
        </w:rPr>
        <w:t xml:space="preserve"> </w:t>
      </w:r>
      <w:r w:rsidRPr="00DD7BD1">
        <w:rPr>
          <w:rFonts w:cs="Calibri"/>
          <w:color w:val="auto"/>
          <w:szCs w:val="22"/>
        </w:rPr>
        <w:t>Commission</w:t>
      </w:r>
      <w:r w:rsidRPr="00DD7BD1">
        <w:rPr>
          <w:rFonts w:cs="Calibri"/>
          <w:color w:val="auto"/>
          <w:spacing w:val="39"/>
          <w:szCs w:val="22"/>
        </w:rPr>
        <w:t xml:space="preserve"> </w:t>
      </w:r>
      <w:r w:rsidRPr="00DD7BD1">
        <w:rPr>
          <w:rFonts w:cs="Calibri"/>
          <w:color w:val="auto"/>
          <w:szCs w:val="22"/>
        </w:rPr>
        <w:t>(EEOC)</w:t>
      </w:r>
      <w:r w:rsidRPr="00DD7BD1">
        <w:rPr>
          <w:rFonts w:cs="Calibri"/>
          <w:color w:val="auto"/>
          <w:spacing w:val="39"/>
          <w:szCs w:val="22"/>
        </w:rPr>
        <w:t xml:space="preserve"> </w:t>
      </w:r>
      <w:r w:rsidRPr="00DD7BD1">
        <w:rPr>
          <w:rFonts w:cs="Calibri"/>
          <w:color w:val="auto"/>
          <w:szCs w:val="22"/>
        </w:rPr>
        <w:t>Employer</w:t>
      </w:r>
      <w:r w:rsidRPr="00DD7BD1">
        <w:rPr>
          <w:rFonts w:cs="Calibri"/>
          <w:color w:val="auto"/>
          <w:spacing w:val="40"/>
          <w:szCs w:val="22"/>
        </w:rPr>
        <w:t xml:space="preserve"> </w:t>
      </w:r>
      <w:r w:rsidRPr="00DD7BD1">
        <w:rPr>
          <w:rFonts w:cs="Calibri"/>
          <w:color w:val="auto"/>
          <w:szCs w:val="22"/>
        </w:rPr>
        <w:t>Information</w:t>
      </w:r>
      <w:r w:rsidRPr="00DD7BD1">
        <w:rPr>
          <w:rFonts w:cs="Calibri"/>
          <w:color w:val="auto"/>
          <w:spacing w:val="40"/>
          <w:szCs w:val="22"/>
        </w:rPr>
        <w:t xml:space="preserve"> </w:t>
      </w:r>
      <w:r w:rsidRPr="00DD7BD1">
        <w:rPr>
          <w:rFonts w:cs="Calibri"/>
          <w:color w:val="auto"/>
          <w:szCs w:val="22"/>
        </w:rPr>
        <w:t>Report,</w:t>
      </w:r>
      <w:r w:rsidRPr="00DD7BD1">
        <w:rPr>
          <w:rFonts w:cs="Calibri"/>
          <w:color w:val="auto"/>
          <w:spacing w:val="40"/>
          <w:szCs w:val="22"/>
        </w:rPr>
        <w:t xml:space="preserve"> </w:t>
      </w:r>
      <w:r w:rsidRPr="00DD7BD1">
        <w:rPr>
          <w:rFonts w:cs="Calibri"/>
          <w:color w:val="auto"/>
          <w:szCs w:val="22"/>
        </w:rPr>
        <w:t>commonly</w:t>
      </w:r>
      <w:r w:rsidRPr="00DD7BD1">
        <w:rPr>
          <w:rFonts w:cs="Calibri"/>
          <w:color w:val="auto"/>
          <w:spacing w:val="40"/>
          <w:szCs w:val="22"/>
        </w:rPr>
        <w:t xml:space="preserve"> </w:t>
      </w:r>
      <w:r w:rsidRPr="00DD7BD1">
        <w:rPr>
          <w:rFonts w:cs="Calibri"/>
          <w:color w:val="auto"/>
          <w:szCs w:val="22"/>
        </w:rPr>
        <w:t>known</w:t>
      </w:r>
      <w:r w:rsidRPr="00DD7BD1">
        <w:rPr>
          <w:rFonts w:cs="Calibri"/>
          <w:color w:val="auto"/>
          <w:spacing w:val="40"/>
          <w:szCs w:val="22"/>
        </w:rPr>
        <w:t xml:space="preserve"> </w:t>
      </w:r>
      <w:r w:rsidRPr="00DD7BD1">
        <w:rPr>
          <w:rFonts w:cs="Calibri"/>
          <w:color w:val="auto"/>
          <w:szCs w:val="22"/>
        </w:rPr>
        <w:t>as</w:t>
      </w:r>
      <w:r w:rsidRPr="00DD7BD1">
        <w:rPr>
          <w:rFonts w:cs="Calibri"/>
          <w:color w:val="auto"/>
          <w:spacing w:val="40"/>
          <w:szCs w:val="22"/>
        </w:rPr>
        <w:t xml:space="preserve"> </w:t>
      </w:r>
      <w:r w:rsidRPr="00DD7BD1">
        <w:rPr>
          <w:rFonts w:cs="Calibri"/>
          <w:color w:val="auto"/>
          <w:szCs w:val="22"/>
        </w:rPr>
        <w:t>an</w:t>
      </w:r>
      <w:r w:rsidRPr="00DD7BD1">
        <w:rPr>
          <w:rFonts w:cs="Calibri"/>
          <w:color w:val="auto"/>
          <w:spacing w:val="40"/>
          <w:szCs w:val="22"/>
        </w:rPr>
        <w:t xml:space="preserve"> </w:t>
      </w:r>
      <w:r w:rsidRPr="00DD7BD1">
        <w:rPr>
          <w:rFonts w:cs="Calibri"/>
          <w:color w:val="auto"/>
          <w:szCs w:val="22"/>
        </w:rPr>
        <w:t>EEO-1</w:t>
      </w:r>
      <w:r w:rsidRPr="00DD7BD1">
        <w:rPr>
          <w:rFonts w:cs="Calibri"/>
          <w:color w:val="auto"/>
          <w:spacing w:val="40"/>
          <w:szCs w:val="22"/>
        </w:rPr>
        <w:t xml:space="preserve"> </w:t>
      </w:r>
      <w:r w:rsidRPr="00DD7BD1">
        <w:rPr>
          <w:rFonts w:cs="Calibri"/>
          <w:color w:val="auto"/>
          <w:szCs w:val="22"/>
        </w:rPr>
        <w:t xml:space="preserve">report.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file</w:t>
      </w:r>
      <w:r w:rsidRPr="00DD7BD1">
        <w:rPr>
          <w:rFonts w:cs="Calibri"/>
          <w:color w:val="auto"/>
          <w:spacing w:val="-17"/>
          <w:w w:val="110"/>
          <w:szCs w:val="22"/>
        </w:rPr>
        <w:t xml:space="preserve"> </w:t>
      </w:r>
      <w:r w:rsidRPr="00DD7BD1">
        <w:rPr>
          <w:rFonts w:cs="Calibri"/>
          <w:color w:val="auto"/>
          <w:w w:val="110"/>
          <w:szCs w:val="22"/>
        </w:rPr>
        <w:t>EEO-3</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EEO-5</w:t>
      </w:r>
      <w:r w:rsidRPr="00DD7BD1">
        <w:rPr>
          <w:rFonts w:cs="Calibri"/>
          <w:color w:val="auto"/>
          <w:spacing w:val="-16"/>
          <w:w w:val="110"/>
          <w:szCs w:val="22"/>
        </w:rPr>
        <w:t xml:space="preserve"> </w:t>
      </w:r>
      <w:r w:rsidRPr="00DD7BD1">
        <w:rPr>
          <w:rFonts w:cs="Calibri"/>
          <w:color w:val="auto"/>
          <w:w w:val="110"/>
          <w:szCs w:val="22"/>
        </w:rPr>
        <w:t>reports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submit</w:t>
      </w:r>
      <w:r w:rsidRPr="00DD7BD1">
        <w:rPr>
          <w:rFonts w:cs="Calibri"/>
          <w:color w:val="auto"/>
          <w:spacing w:val="-17"/>
          <w:w w:val="110"/>
          <w:szCs w:val="22"/>
        </w:rPr>
        <w:t xml:space="preserve"> </w:t>
      </w:r>
      <w:r w:rsidRPr="00DD7BD1">
        <w:rPr>
          <w:rFonts w:cs="Calibri"/>
          <w:color w:val="auto"/>
          <w:w w:val="110"/>
          <w:szCs w:val="22"/>
        </w:rPr>
        <w:t>these</w:t>
      </w:r>
      <w:r w:rsidRPr="00DD7BD1">
        <w:rPr>
          <w:rFonts w:cs="Calibri"/>
          <w:color w:val="auto"/>
          <w:spacing w:val="-17"/>
          <w:w w:val="110"/>
          <w:szCs w:val="22"/>
        </w:rPr>
        <w:t xml:space="preserve"> </w:t>
      </w:r>
      <w:r w:rsidRPr="00DD7BD1">
        <w:rPr>
          <w:rFonts w:cs="Calibri"/>
          <w:color w:val="auto"/>
          <w:w w:val="110"/>
          <w:szCs w:val="22"/>
        </w:rPr>
        <w:t>reports</w:t>
      </w:r>
      <w:r w:rsidRPr="00DD7BD1">
        <w:rPr>
          <w:rFonts w:cs="Calibri"/>
          <w:color w:val="auto"/>
          <w:spacing w:val="-16"/>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6"/>
          <w:w w:val="110"/>
          <w:szCs w:val="22"/>
        </w:rPr>
        <w:t xml:space="preserve"> </w:t>
      </w:r>
      <w:r w:rsidRPr="00DD7BD1">
        <w:rPr>
          <w:rFonts w:cs="Calibri"/>
          <w:color w:val="auto"/>
          <w:w w:val="110"/>
          <w:szCs w:val="22"/>
        </w:rPr>
        <w:t>Feb.</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 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9"/>
          <w:w w:val="110"/>
          <w:szCs w:val="22"/>
        </w:rPr>
        <w:t xml:space="preserve"> </w:t>
      </w:r>
      <w:r w:rsidRPr="00DD7BD1">
        <w:rPr>
          <w:rFonts w:cs="Calibri"/>
          <w:color w:val="auto"/>
          <w:w w:val="110"/>
          <w:szCs w:val="22"/>
        </w:rPr>
        <w:t>EEO-4</w:t>
      </w:r>
      <w:r w:rsidRPr="00DD7BD1">
        <w:rPr>
          <w:rFonts w:cs="Calibri"/>
          <w:color w:val="auto"/>
          <w:spacing w:val="-9"/>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submit</w:t>
      </w:r>
      <w:r w:rsidRPr="00DD7BD1">
        <w:rPr>
          <w:rFonts w:cs="Calibri"/>
          <w:color w:val="auto"/>
          <w:spacing w:val="-10"/>
          <w:w w:val="110"/>
          <w:szCs w:val="22"/>
        </w:rPr>
        <w:t xml:space="preserve"> </w:t>
      </w:r>
      <w:r w:rsidRPr="00DD7BD1">
        <w:rPr>
          <w:rFonts w:cs="Calibri"/>
          <w:color w:val="auto"/>
          <w:w w:val="110"/>
          <w:szCs w:val="22"/>
        </w:rPr>
        <w:t>these</w:t>
      </w:r>
      <w:r w:rsidRPr="00DD7BD1">
        <w:rPr>
          <w:rFonts w:cs="Calibri"/>
          <w:color w:val="auto"/>
          <w:spacing w:val="-12"/>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every</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2"/>
          <w:w w:val="110"/>
          <w:szCs w:val="22"/>
        </w:rPr>
        <w:t xml:space="preserve"> </w:t>
      </w:r>
      <w:r w:rsidRPr="00DD7BD1">
        <w:rPr>
          <w:rFonts w:cs="Calibri"/>
          <w:color w:val="auto"/>
          <w:w w:val="110"/>
          <w:szCs w:val="22"/>
        </w:rPr>
        <w:t>year</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w w:val="110"/>
          <w:szCs w:val="22"/>
        </w:rPr>
        <w:t>Feb.</w:t>
      </w:r>
      <w:r w:rsidRPr="00DD7BD1">
        <w:rPr>
          <w:rFonts w:cs="Calibri"/>
          <w:color w:val="auto"/>
          <w:spacing w:val="-12"/>
          <w:w w:val="110"/>
          <w:szCs w:val="22"/>
        </w:rPr>
        <w:t xml:space="preserve"> </w:t>
      </w:r>
      <w:r w:rsidRPr="00DD7BD1">
        <w:rPr>
          <w:rFonts w:cs="Calibri"/>
          <w:color w:val="auto"/>
          <w:w w:val="110"/>
          <w:szCs w:val="22"/>
        </w:rPr>
        <w:t>1,</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with</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Act's</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disclosures,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100-employee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10"/>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reporting</w:t>
      </w:r>
      <w:r w:rsidRPr="00DD7BD1">
        <w:rPr>
          <w:rFonts w:cs="Calibri"/>
          <w:color w:val="auto"/>
          <w:spacing w:val="-7"/>
          <w:w w:val="110"/>
          <w:szCs w:val="22"/>
        </w:rPr>
        <w:t xml:space="preserve"> </w:t>
      </w:r>
      <w:r w:rsidRPr="00DD7BD1">
        <w:rPr>
          <w:rFonts w:cs="Calibri"/>
          <w:color w:val="auto"/>
          <w:w w:val="110"/>
          <w:szCs w:val="22"/>
        </w:rPr>
        <w:t>includes all</w:t>
      </w:r>
      <w:r w:rsidRPr="00DD7BD1">
        <w:rPr>
          <w:rFonts w:cs="Calibri"/>
          <w:color w:val="auto"/>
          <w:spacing w:val="-11"/>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part-time,</w:t>
      </w:r>
      <w:r w:rsidRPr="00DD7BD1">
        <w:rPr>
          <w:rFonts w:cs="Calibri"/>
          <w:color w:val="auto"/>
          <w:spacing w:val="-12"/>
          <w:w w:val="110"/>
          <w:szCs w:val="22"/>
        </w:rPr>
        <w:t xml:space="preserve"> </w:t>
      </w:r>
      <w:r w:rsidRPr="00DD7BD1">
        <w:rPr>
          <w:rFonts w:cs="Calibri"/>
          <w:color w:val="auto"/>
          <w:w w:val="110"/>
          <w:szCs w:val="22"/>
        </w:rPr>
        <w:t>seasonal,</w:t>
      </w:r>
      <w:r w:rsidRPr="00DD7BD1">
        <w:rPr>
          <w:rFonts w:cs="Calibri"/>
          <w:color w:val="auto"/>
          <w:spacing w:val="-9"/>
          <w:w w:val="110"/>
          <w:szCs w:val="22"/>
        </w:rPr>
        <w:t xml:space="preserve"> </w:t>
      </w:r>
      <w:r w:rsidRPr="00DD7BD1">
        <w:rPr>
          <w:rFonts w:cs="Calibri"/>
          <w:color w:val="auto"/>
          <w:w w:val="110"/>
          <w:szCs w:val="22"/>
        </w:rPr>
        <w:t>temporary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remote</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primary</w:t>
      </w:r>
      <w:r w:rsidRPr="00DD7BD1">
        <w:rPr>
          <w:rFonts w:cs="Calibri"/>
          <w:color w:val="auto"/>
          <w:spacing w:val="-11"/>
          <w:w w:val="110"/>
          <w:szCs w:val="22"/>
        </w:rPr>
        <w:t xml:space="preserve"> </w:t>
      </w:r>
      <w:r w:rsidRPr="00DD7BD1">
        <w:rPr>
          <w:rFonts w:cs="Calibri"/>
          <w:color w:val="auto"/>
          <w:w w:val="110"/>
          <w:szCs w:val="22"/>
        </w:rPr>
        <w:t>place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work</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Massachusetts.</w:t>
      </w:r>
    </w:p>
    <w:p w14:paraId="3A029FBF" w14:textId="77777777" w:rsidR="003A22A9" w:rsidRPr="00DD7BD1" w:rsidRDefault="003A22A9" w:rsidP="003A22A9">
      <w:pPr>
        <w:pStyle w:val="BodyText"/>
        <w:spacing w:after="0" w:line="240" w:lineRule="auto"/>
        <w:ind w:right="-180"/>
        <w:rPr>
          <w:rFonts w:cs="Calibri"/>
          <w:color w:val="auto"/>
          <w:szCs w:val="22"/>
        </w:rPr>
      </w:pPr>
    </w:p>
    <w:p w14:paraId="11B74598" w14:textId="46EF38D3" w:rsidR="003A22A9" w:rsidRPr="00DD7BD1" w:rsidRDefault="003A22A9" w:rsidP="003A22A9">
      <w:pPr>
        <w:pStyle w:val="Heading1"/>
        <w:spacing w:before="0" w:beforeAutospacing="0" w:after="0" w:afterAutospacing="0"/>
        <w:ind w:right="-187"/>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State’s Paid Family &amp; Medical Leave Updates - </w:t>
      </w:r>
      <w:r w:rsidRPr="00DD7BD1">
        <w:rPr>
          <w:rFonts w:ascii="Calibri" w:hAnsi="Calibri" w:cs="Calibri"/>
          <w:bCs w:val="0"/>
          <w:color w:val="C00000"/>
          <w:spacing w:val="-2"/>
          <w:kern w:val="0"/>
          <w:sz w:val="28"/>
          <w:szCs w:val="24"/>
        </w:rPr>
        <w:t>Eff August 31, 2025</w:t>
      </w:r>
    </w:p>
    <w:p w14:paraId="3EF59E94" w14:textId="77777777" w:rsidR="003A22A9" w:rsidRPr="00DD7BD1" w:rsidRDefault="003A22A9" w:rsidP="003A22A9">
      <w:pPr>
        <w:pStyle w:val="BodyText"/>
        <w:spacing w:after="0" w:line="240" w:lineRule="auto"/>
        <w:ind w:right="-187"/>
        <w:rPr>
          <w:rFonts w:cs="Calibri"/>
          <w:color w:val="auto"/>
          <w:w w:val="115"/>
          <w:szCs w:val="22"/>
        </w:rPr>
      </w:pP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Massachusetts</w:t>
      </w:r>
      <w:r w:rsidRPr="00DD7BD1">
        <w:rPr>
          <w:rFonts w:cs="Calibri"/>
          <w:color w:val="auto"/>
          <w:spacing w:val="-10"/>
          <w:w w:val="115"/>
          <w:szCs w:val="22"/>
        </w:rPr>
        <w:t xml:space="preserve"> </w:t>
      </w:r>
      <w:r w:rsidRPr="00DD7BD1">
        <w:rPr>
          <w:rFonts w:cs="Calibri"/>
          <w:color w:val="auto"/>
          <w:spacing w:val="-2"/>
          <w:w w:val="115"/>
          <w:szCs w:val="22"/>
        </w:rPr>
        <w:t>Department</w:t>
      </w:r>
      <w:r w:rsidRPr="00DD7BD1">
        <w:rPr>
          <w:rFonts w:cs="Calibri"/>
          <w:color w:val="auto"/>
          <w:spacing w:val="-13"/>
          <w:w w:val="115"/>
          <w:szCs w:val="22"/>
        </w:rPr>
        <w:t xml:space="preserve"> </w:t>
      </w:r>
      <w:r w:rsidRPr="00DD7BD1">
        <w:rPr>
          <w:rFonts w:cs="Calibri"/>
          <w:color w:val="auto"/>
          <w:spacing w:val="-2"/>
          <w:w w:val="115"/>
          <w:szCs w:val="22"/>
        </w:rPr>
        <w:t>of</w:t>
      </w:r>
      <w:r w:rsidRPr="00DD7BD1">
        <w:rPr>
          <w:rFonts w:cs="Calibri"/>
          <w:color w:val="auto"/>
          <w:spacing w:val="-11"/>
          <w:w w:val="115"/>
          <w:szCs w:val="22"/>
        </w:rPr>
        <w:t xml:space="preserve"> </w:t>
      </w:r>
      <w:r w:rsidRPr="00DD7BD1">
        <w:rPr>
          <w:rFonts w:cs="Calibri"/>
          <w:color w:val="auto"/>
          <w:spacing w:val="-2"/>
          <w:w w:val="115"/>
          <w:szCs w:val="22"/>
        </w:rPr>
        <w:t>Family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Medical</w:t>
      </w:r>
      <w:r w:rsidRPr="00DD7BD1">
        <w:rPr>
          <w:rFonts w:cs="Calibri"/>
          <w:color w:val="auto"/>
          <w:spacing w:val="-11"/>
          <w:w w:val="115"/>
          <w:szCs w:val="22"/>
        </w:rPr>
        <w:t xml:space="preserve"> </w:t>
      </w:r>
      <w:r w:rsidRPr="00DD7BD1">
        <w:rPr>
          <w:rFonts w:cs="Calibri"/>
          <w:color w:val="auto"/>
          <w:spacing w:val="-2"/>
          <w:w w:val="115"/>
          <w:szCs w:val="22"/>
        </w:rPr>
        <w:t>Leave</w:t>
      </w:r>
      <w:r w:rsidRPr="00DD7BD1">
        <w:rPr>
          <w:rFonts w:cs="Calibri"/>
          <w:color w:val="auto"/>
          <w:spacing w:val="-12"/>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“Department”)</w:t>
      </w:r>
      <w:r w:rsidRPr="00DD7BD1">
        <w:rPr>
          <w:rFonts w:cs="Calibri"/>
          <w:color w:val="auto"/>
          <w:spacing w:val="-11"/>
          <w:w w:val="115"/>
          <w:szCs w:val="22"/>
        </w:rPr>
        <w:t xml:space="preserve"> </w:t>
      </w:r>
      <w:r w:rsidRPr="00DD7BD1">
        <w:rPr>
          <w:rFonts w:cs="Calibri"/>
          <w:color w:val="auto"/>
          <w:spacing w:val="-2"/>
          <w:w w:val="115"/>
          <w:szCs w:val="22"/>
        </w:rPr>
        <w:t>recently</w:t>
      </w:r>
      <w:r w:rsidRPr="00DD7BD1">
        <w:rPr>
          <w:rFonts w:cs="Calibri"/>
          <w:color w:val="auto"/>
          <w:spacing w:val="-11"/>
          <w:w w:val="115"/>
          <w:szCs w:val="22"/>
        </w:rPr>
        <w:t xml:space="preserve"> </w:t>
      </w:r>
      <w:r w:rsidRPr="00DD7BD1">
        <w:rPr>
          <w:rFonts w:cs="Calibri"/>
          <w:color w:val="auto"/>
          <w:spacing w:val="-2"/>
          <w:w w:val="115"/>
          <w:szCs w:val="22"/>
        </w:rPr>
        <w:t>updated</w:t>
      </w:r>
      <w:r w:rsidRPr="00DD7BD1">
        <w:rPr>
          <w:rFonts w:cs="Calibri"/>
          <w:color w:val="auto"/>
          <w:spacing w:val="-10"/>
          <w:w w:val="115"/>
          <w:szCs w:val="22"/>
        </w:rPr>
        <w:t xml:space="preserve"> </w:t>
      </w:r>
      <w:r w:rsidRPr="00DD7BD1">
        <w:rPr>
          <w:rFonts w:cs="Calibri"/>
          <w:color w:val="auto"/>
          <w:spacing w:val="-2"/>
          <w:w w:val="115"/>
          <w:szCs w:val="22"/>
        </w:rPr>
        <w:t>its</w:t>
      </w:r>
      <w:r w:rsidRPr="00DD7BD1">
        <w:rPr>
          <w:rFonts w:cs="Calibri"/>
          <w:color w:val="auto"/>
          <w:spacing w:val="-10"/>
          <w:w w:val="115"/>
          <w:szCs w:val="22"/>
        </w:rPr>
        <w:t xml:space="preserve"> </w:t>
      </w:r>
      <w:r w:rsidRPr="00DD7BD1">
        <w:rPr>
          <w:rFonts w:cs="Calibri"/>
          <w:color w:val="auto"/>
          <w:spacing w:val="-2"/>
          <w:w w:val="115"/>
          <w:szCs w:val="22"/>
        </w:rPr>
        <w:t xml:space="preserve">Employer </w:t>
      </w:r>
      <w:r w:rsidRPr="00DD7BD1">
        <w:rPr>
          <w:rFonts w:cs="Calibri"/>
          <w:color w:val="auto"/>
          <w:w w:val="110"/>
          <w:szCs w:val="22"/>
        </w:rPr>
        <w:t>Portal,</w:t>
      </w:r>
      <w:r w:rsidRPr="00DD7BD1">
        <w:rPr>
          <w:rFonts w:cs="Calibri"/>
          <w:color w:val="auto"/>
          <w:spacing w:val="-3"/>
          <w:w w:val="110"/>
          <w:szCs w:val="22"/>
        </w:rPr>
        <w:t xml:space="preserve"> </w:t>
      </w:r>
      <w:r w:rsidRPr="00DD7BD1">
        <w:rPr>
          <w:rFonts w:cs="Calibri"/>
          <w:color w:val="auto"/>
          <w:w w:val="110"/>
          <w:szCs w:val="22"/>
        </w:rPr>
        <w:t>issued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reminder</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reporting</w:t>
      </w:r>
      <w:r w:rsidRPr="00DD7BD1">
        <w:rPr>
          <w:rFonts w:cs="Calibri"/>
          <w:color w:val="auto"/>
          <w:spacing w:val="-2"/>
          <w:w w:val="110"/>
          <w:szCs w:val="22"/>
        </w:rPr>
        <w:t xml:space="preserve"> </w:t>
      </w:r>
      <w:r w:rsidRPr="00DD7BD1">
        <w:rPr>
          <w:rFonts w:cs="Calibri"/>
          <w:color w:val="auto"/>
          <w:w w:val="110"/>
          <w:szCs w:val="22"/>
        </w:rPr>
        <w:t>deadline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6"/>
          <w:w w:val="110"/>
          <w:szCs w:val="22"/>
        </w:rPr>
        <w:t xml:space="preserve"> </w:t>
      </w:r>
      <w:r w:rsidRPr="00DD7BD1">
        <w:rPr>
          <w:rFonts w:cs="Calibri"/>
          <w:color w:val="auto"/>
          <w:w w:val="110"/>
          <w:szCs w:val="22"/>
        </w:rPr>
        <w:t>31,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summarized</w:t>
      </w:r>
      <w:r w:rsidRPr="00DD7BD1">
        <w:rPr>
          <w:rFonts w:cs="Calibri"/>
          <w:color w:val="auto"/>
          <w:spacing w:val="-2"/>
          <w:w w:val="110"/>
          <w:szCs w:val="22"/>
        </w:rPr>
        <w:t xml:space="preserve"> </w:t>
      </w:r>
      <w:r w:rsidRPr="00DD7BD1">
        <w:rPr>
          <w:rFonts w:cs="Calibri"/>
          <w:color w:val="auto"/>
          <w:w w:val="110"/>
          <w:szCs w:val="22"/>
        </w:rPr>
        <w:t>tax</w:t>
      </w:r>
      <w:r w:rsidRPr="00DD7BD1">
        <w:rPr>
          <w:rFonts w:cs="Calibri"/>
          <w:color w:val="auto"/>
          <w:spacing w:val="-6"/>
          <w:w w:val="110"/>
          <w:szCs w:val="22"/>
        </w:rPr>
        <w:t xml:space="preserve"> </w:t>
      </w:r>
      <w:r w:rsidRPr="00DD7BD1">
        <w:rPr>
          <w:rFonts w:cs="Calibri"/>
          <w:color w:val="auto"/>
          <w:w w:val="110"/>
          <w:szCs w:val="22"/>
        </w:rPr>
        <w:t xml:space="preserve">guidance </w:t>
      </w:r>
      <w:r w:rsidRPr="00DD7BD1">
        <w:rPr>
          <w:rFonts w:cs="Calibri"/>
          <w:color w:val="auto"/>
          <w:w w:val="115"/>
          <w:szCs w:val="22"/>
        </w:rPr>
        <w:t>concerning</w:t>
      </w:r>
      <w:r w:rsidRPr="00DD7BD1">
        <w:rPr>
          <w:rFonts w:cs="Calibri"/>
          <w:color w:val="auto"/>
          <w:spacing w:val="-13"/>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Massachusetts</w:t>
      </w:r>
      <w:r w:rsidRPr="00DD7BD1">
        <w:rPr>
          <w:rFonts w:cs="Calibri"/>
          <w:color w:val="auto"/>
          <w:spacing w:val="-13"/>
          <w:w w:val="115"/>
          <w:szCs w:val="22"/>
        </w:rPr>
        <w:t xml:space="preserve"> </w:t>
      </w:r>
      <w:r w:rsidRPr="00DD7BD1">
        <w:rPr>
          <w:rFonts w:cs="Calibri"/>
          <w:color w:val="auto"/>
          <w:w w:val="115"/>
          <w:szCs w:val="22"/>
        </w:rPr>
        <w:t>Paid</w:t>
      </w:r>
      <w:r w:rsidRPr="00DD7BD1">
        <w:rPr>
          <w:rFonts w:cs="Calibri"/>
          <w:color w:val="auto"/>
          <w:spacing w:val="-12"/>
          <w:w w:val="115"/>
          <w:szCs w:val="22"/>
        </w:rPr>
        <w:t xml:space="preserve"> </w:t>
      </w:r>
      <w:r w:rsidRPr="00DD7BD1">
        <w:rPr>
          <w:rFonts w:cs="Calibri"/>
          <w:color w:val="auto"/>
          <w:w w:val="115"/>
          <w:szCs w:val="22"/>
        </w:rPr>
        <w:t>Family</w:t>
      </w:r>
      <w:r w:rsidRPr="00DD7BD1">
        <w:rPr>
          <w:rFonts w:cs="Calibri"/>
          <w:color w:val="auto"/>
          <w:spacing w:val="-13"/>
          <w:w w:val="115"/>
          <w:szCs w:val="22"/>
        </w:rPr>
        <w:t xml:space="preserve"> </w:t>
      </w:r>
      <w:r w:rsidRPr="00DD7BD1">
        <w:rPr>
          <w:rFonts w:cs="Calibri"/>
          <w:color w:val="auto"/>
          <w:w w:val="115"/>
          <w:szCs w:val="22"/>
        </w:rPr>
        <w:t>and</w:t>
      </w:r>
      <w:r w:rsidRPr="00DD7BD1">
        <w:rPr>
          <w:rFonts w:cs="Calibri"/>
          <w:color w:val="auto"/>
          <w:spacing w:val="-17"/>
          <w:w w:val="115"/>
          <w:szCs w:val="22"/>
        </w:rPr>
        <w:t xml:space="preserve"> </w:t>
      </w:r>
      <w:r w:rsidRPr="00DD7BD1">
        <w:rPr>
          <w:rFonts w:cs="Calibri"/>
          <w:color w:val="auto"/>
          <w:w w:val="115"/>
          <w:szCs w:val="22"/>
        </w:rPr>
        <w:t>Medical</w:t>
      </w:r>
      <w:r w:rsidRPr="00DD7BD1">
        <w:rPr>
          <w:rFonts w:cs="Calibri"/>
          <w:color w:val="auto"/>
          <w:spacing w:val="-13"/>
          <w:w w:val="115"/>
          <w:szCs w:val="22"/>
        </w:rPr>
        <w:t xml:space="preserve"> </w:t>
      </w:r>
      <w:r w:rsidRPr="00DD7BD1">
        <w:rPr>
          <w:rFonts w:cs="Calibri"/>
          <w:color w:val="auto"/>
          <w:w w:val="115"/>
          <w:szCs w:val="22"/>
        </w:rPr>
        <w:t>Leave</w:t>
      </w:r>
      <w:r w:rsidRPr="00DD7BD1">
        <w:rPr>
          <w:rFonts w:cs="Calibri"/>
          <w:color w:val="auto"/>
          <w:spacing w:val="-11"/>
          <w:w w:val="115"/>
          <w:szCs w:val="22"/>
        </w:rPr>
        <w:t xml:space="preserve"> </w:t>
      </w:r>
      <w:r w:rsidRPr="00DD7BD1">
        <w:rPr>
          <w:rFonts w:cs="Calibri"/>
          <w:color w:val="auto"/>
          <w:w w:val="115"/>
          <w:szCs w:val="22"/>
        </w:rPr>
        <w:t>law</w:t>
      </w:r>
      <w:r w:rsidRPr="00DD7BD1">
        <w:rPr>
          <w:rFonts w:cs="Calibri"/>
          <w:color w:val="auto"/>
          <w:spacing w:val="-14"/>
          <w:w w:val="115"/>
          <w:szCs w:val="22"/>
        </w:rPr>
        <w:t xml:space="preserve"> </w:t>
      </w:r>
      <w:r w:rsidRPr="00DD7BD1">
        <w:rPr>
          <w:rFonts w:cs="Calibri"/>
          <w:color w:val="auto"/>
          <w:w w:val="115"/>
          <w:szCs w:val="22"/>
        </w:rPr>
        <w:t>(“MAPFML”).</w:t>
      </w:r>
    </w:p>
    <w:p w14:paraId="6FD15CBE" w14:textId="77777777" w:rsidR="003A22A9" w:rsidRPr="00DD7BD1" w:rsidRDefault="003A22A9" w:rsidP="003A22A9">
      <w:pPr>
        <w:pStyle w:val="BodyText"/>
        <w:spacing w:after="0" w:line="240" w:lineRule="auto"/>
        <w:ind w:right="-187"/>
        <w:rPr>
          <w:rFonts w:cs="Calibri"/>
          <w:szCs w:val="22"/>
        </w:rPr>
      </w:pPr>
    </w:p>
    <w:p w14:paraId="4DDFE214" w14:textId="77777777" w:rsidR="003A22A9" w:rsidRPr="00DD7BD1" w:rsidRDefault="003A22A9" w:rsidP="003A22A9">
      <w:pPr>
        <w:pStyle w:val="Heading4"/>
        <w:spacing w:before="0" w:line="240" w:lineRule="auto"/>
        <w:ind w:right="-187"/>
        <w:jc w:val="both"/>
        <w:rPr>
          <w:rFonts w:ascii="Calibri" w:hAnsi="Calibri" w:cs="Calibri"/>
          <w:b/>
          <w:bCs/>
          <w:i w:val="0"/>
          <w:iCs w:val="0"/>
          <w:color w:val="auto"/>
        </w:rPr>
      </w:pPr>
      <w:r w:rsidRPr="00DD7BD1">
        <w:rPr>
          <w:rFonts w:ascii="Calibri" w:hAnsi="Calibri" w:cs="Calibri"/>
          <w:b/>
          <w:bCs/>
          <w:i w:val="0"/>
          <w:iCs w:val="0"/>
          <w:color w:val="auto"/>
          <w:w w:val="90"/>
        </w:rPr>
        <w:t>Exempt</w:t>
      </w:r>
      <w:r w:rsidRPr="00DD7BD1">
        <w:rPr>
          <w:rFonts w:ascii="Calibri" w:hAnsi="Calibri" w:cs="Calibri"/>
          <w:b/>
          <w:bCs/>
          <w:i w:val="0"/>
          <w:iCs w:val="0"/>
          <w:color w:val="auto"/>
          <w:spacing w:val="17"/>
        </w:rPr>
        <w:t xml:space="preserve"> </w:t>
      </w:r>
      <w:r w:rsidRPr="00DD7BD1">
        <w:rPr>
          <w:rFonts w:ascii="Calibri" w:hAnsi="Calibri" w:cs="Calibri"/>
          <w:b/>
          <w:bCs/>
          <w:i w:val="0"/>
          <w:iCs w:val="0"/>
          <w:color w:val="auto"/>
          <w:w w:val="90"/>
        </w:rPr>
        <w:t>Private</w:t>
      </w:r>
      <w:r w:rsidRPr="00DD7BD1">
        <w:rPr>
          <w:rFonts w:ascii="Calibri" w:hAnsi="Calibri" w:cs="Calibri"/>
          <w:b/>
          <w:bCs/>
          <w:i w:val="0"/>
          <w:iCs w:val="0"/>
          <w:color w:val="auto"/>
          <w:spacing w:val="22"/>
        </w:rPr>
        <w:t xml:space="preserve"> </w:t>
      </w:r>
      <w:r w:rsidRPr="00DD7BD1">
        <w:rPr>
          <w:rFonts w:ascii="Calibri" w:hAnsi="Calibri" w:cs="Calibri"/>
          <w:b/>
          <w:bCs/>
          <w:i w:val="0"/>
          <w:iCs w:val="0"/>
          <w:color w:val="auto"/>
          <w:w w:val="90"/>
        </w:rPr>
        <w:t>Plan</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Employer</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Reporting</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spacing w:val="-2"/>
          <w:w w:val="90"/>
        </w:rPr>
        <w:t>Deadline</w:t>
      </w:r>
    </w:p>
    <w:p w14:paraId="20F0F940" w14:textId="77777777" w:rsidR="003A22A9" w:rsidRPr="00DD7BD1" w:rsidRDefault="003A22A9" w:rsidP="003A22A9">
      <w:pPr>
        <w:pStyle w:val="BodyText"/>
        <w:spacing w:after="0" w:line="240" w:lineRule="auto"/>
        <w:ind w:right="-187"/>
        <w:rPr>
          <w:rFonts w:cs="Calibri"/>
          <w:color w:val="auto"/>
          <w:w w:val="110"/>
          <w:szCs w:val="22"/>
        </w:rPr>
      </w:pPr>
      <w:r w:rsidRPr="00DD7BD1">
        <w:rPr>
          <w:rFonts w:cs="Calibri"/>
          <w:color w:val="auto"/>
          <w:w w:val="110"/>
          <w:szCs w:val="22"/>
        </w:rPr>
        <w:t>Employers that meet their Paid Family and Medical Leave (PFML) law obligations through an approved M.G.L. c. 175M,</w:t>
      </w:r>
      <w:r w:rsidRPr="00DD7BD1">
        <w:rPr>
          <w:rFonts w:cs="Calibri"/>
          <w:color w:val="auto"/>
          <w:spacing w:val="-16"/>
          <w:w w:val="110"/>
          <w:szCs w:val="22"/>
        </w:rPr>
        <w:t xml:space="preserve"> </w:t>
      </w:r>
      <w:r w:rsidRPr="00DD7BD1">
        <w:rPr>
          <w:rFonts w:cs="Calibri"/>
          <w:color w:val="auto"/>
          <w:w w:val="110"/>
          <w:szCs w:val="22"/>
        </w:rPr>
        <w:t>sec.</w:t>
      </w:r>
      <w:r w:rsidRPr="00DD7BD1">
        <w:rPr>
          <w:rFonts w:cs="Calibri"/>
          <w:color w:val="auto"/>
          <w:spacing w:val="-14"/>
          <w:w w:val="110"/>
          <w:szCs w:val="22"/>
        </w:rPr>
        <w:t xml:space="preserve"> </w:t>
      </w:r>
      <w:r w:rsidRPr="00DD7BD1">
        <w:rPr>
          <w:rFonts w:cs="Calibri"/>
          <w:color w:val="auto"/>
          <w:w w:val="110"/>
          <w:szCs w:val="22"/>
        </w:rPr>
        <w:t>11</w:t>
      </w:r>
      <w:r w:rsidRPr="00DD7BD1">
        <w:rPr>
          <w:rFonts w:cs="Calibri"/>
          <w:color w:val="auto"/>
          <w:spacing w:val="-16"/>
          <w:w w:val="110"/>
          <w:szCs w:val="22"/>
        </w:rPr>
        <w:t xml:space="preserve"> </w:t>
      </w:r>
      <w:r w:rsidRPr="00DD7BD1">
        <w:rPr>
          <w:rFonts w:cs="Calibri"/>
          <w:color w:val="auto"/>
          <w:w w:val="110"/>
          <w:szCs w:val="22"/>
        </w:rPr>
        <w:t>private</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maintain</w:t>
      </w:r>
      <w:r w:rsidRPr="00DD7BD1">
        <w:rPr>
          <w:rFonts w:cs="Calibri"/>
          <w:color w:val="auto"/>
          <w:spacing w:val="-14"/>
          <w:w w:val="110"/>
          <w:szCs w:val="22"/>
        </w:rPr>
        <w:t xml:space="preserve"> </w:t>
      </w:r>
      <w:r w:rsidRPr="00DD7BD1">
        <w:rPr>
          <w:rFonts w:cs="Calibri"/>
          <w:color w:val="auto"/>
          <w:w w:val="110"/>
          <w:szCs w:val="22"/>
        </w:rPr>
        <w:t>reports,</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records</w:t>
      </w:r>
      <w:r w:rsidRPr="00DD7BD1">
        <w:rPr>
          <w:rFonts w:cs="Calibri"/>
          <w:color w:val="auto"/>
          <w:spacing w:val="-14"/>
          <w:w w:val="110"/>
          <w:szCs w:val="22"/>
        </w:rPr>
        <w:t xml:space="preserve"> </w:t>
      </w:r>
      <w:r w:rsidRPr="00DD7BD1">
        <w:rPr>
          <w:rFonts w:cs="Calibri"/>
          <w:color w:val="auto"/>
          <w:w w:val="110"/>
          <w:szCs w:val="22"/>
        </w:rPr>
        <w:t>related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approved</w:t>
      </w:r>
      <w:r w:rsidRPr="00DD7BD1">
        <w:rPr>
          <w:rFonts w:cs="Calibri"/>
          <w:color w:val="auto"/>
          <w:spacing w:val="-16"/>
          <w:w w:val="110"/>
          <w:szCs w:val="22"/>
        </w:rPr>
        <w:t xml:space="preserve"> </w:t>
      </w:r>
      <w:r w:rsidRPr="00DD7BD1">
        <w:rPr>
          <w:rFonts w:cs="Calibri"/>
          <w:color w:val="auto"/>
          <w:w w:val="110"/>
          <w:szCs w:val="22"/>
        </w:rPr>
        <w:t>plan and</w:t>
      </w:r>
      <w:r w:rsidRPr="00DD7BD1">
        <w:rPr>
          <w:rFonts w:cs="Calibri"/>
          <w:color w:val="auto"/>
          <w:spacing w:val="-2"/>
          <w:w w:val="110"/>
          <w:szCs w:val="22"/>
        </w:rPr>
        <w:t xml:space="preserve"> </w:t>
      </w:r>
      <w:r w:rsidRPr="00DD7BD1">
        <w:rPr>
          <w:rFonts w:cs="Calibri"/>
          <w:color w:val="auto"/>
          <w:w w:val="110"/>
          <w:szCs w:val="22"/>
        </w:rPr>
        <w:t>furnish</w:t>
      </w:r>
      <w:r w:rsidRPr="00DD7BD1">
        <w:rPr>
          <w:rFonts w:cs="Calibri"/>
          <w:color w:val="auto"/>
          <w:spacing w:val="-2"/>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Department</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Family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Medical</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2"/>
          <w:w w:val="110"/>
          <w:szCs w:val="22"/>
        </w:rPr>
        <w:t xml:space="preserve"> </w:t>
      </w:r>
      <w:r w:rsidRPr="00DD7BD1">
        <w:rPr>
          <w:rFonts w:cs="Calibri"/>
          <w:color w:val="auto"/>
          <w:w w:val="110"/>
          <w:szCs w:val="22"/>
        </w:rPr>
        <w:t>(DFML)</w:t>
      </w:r>
      <w:r w:rsidRPr="00DD7BD1">
        <w:rPr>
          <w:rFonts w:cs="Calibri"/>
          <w:color w:val="auto"/>
          <w:spacing w:val="-4"/>
          <w:w w:val="110"/>
          <w:szCs w:val="22"/>
        </w:rPr>
        <w:t xml:space="preserve"> </w:t>
      </w:r>
      <w:r w:rsidRPr="00DD7BD1">
        <w:rPr>
          <w:rFonts w:cs="Calibri"/>
          <w:color w:val="auto"/>
          <w:w w:val="110"/>
          <w:szCs w:val="22"/>
        </w:rPr>
        <w:t>on</w:t>
      </w:r>
      <w:r w:rsidRPr="00DD7BD1">
        <w:rPr>
          <w:rFonts w:cs="Calibri"/>
          <w:color w:val="auto"/>
          <w:spacing w:val="-2"/>
          <w:w w:val="110"/>
          <w:szCs w:val="22"/>
        </w:rPr>
        <w:t xml:space="preserve"> </w:t>
      </w:r>
      <w:r w:rsidRPr="00DD7BD1">
        <w:rPr>
          <w:rFonts w:cs="Calibri"/>
          <w:color w:val="auto"/>
          <w:w w:val="110"/>
          <w:szCs w:val="22"/>
        </w:rPr>
        <w:t>request.</w:t>
      </w:r>
    </w:p>
    <w:p w14:paraId="5796D9E0" w14:textId="77777777" w:rsidR="003A22A9" w:rsidRPr="00DD7BD1" w:rsidRDefault="003A22A9" w:rsidP="003A22A9">
      <w:pPr>
        <w:pStyle w:val="BodyText"/>
        <w:spacing w:after="0" w:line="240" w:lineRule="auto"/>
        <w:ind w:right="-187"/>
        <w:rPr>
          <w:rFonts w:cs="Calibri"/>
          <w:szCs w:val="22"/>
        </w:rPr>
      </w:pPr>
    </w:p>
    <w:p w14:paraId="5131471B" w14:textId="77777777" w:rsidR="003A22A9" w:rsidRPr="00DD7BD1" w:rsidRDefault="003A22A9" w:rsidP="003A22A9">
      <w:pPr>
        <w:spacing w:after="0" w:line="240" w:lineRule="auto"/>
        <w:ind w:right="-187"/>
        <w:jc w:val="both"/>
        <w:rPr>
          <w:rFonts w:ascii="Calibri" w:hAnsi="Calibri" w:cs="Calibri"/>
        </w:rPr>
      </w:pPr>
      <w:r w:rsidRPr="00DD7BD1">
        <w:rPr>
          <w:rFonts w:ascii="Calibri" w:hAnsi="Calibri" w:cs="Calibri"/>
          <w:w w:val="105"/>
        </w:rPr>
        <w:t>Employers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are</w:t>
      </w:r>
      <w:r w:rsidRPr="00DD7BD1">
        <w:rPr>
          <w:rFonts w:ascii="Calibri" w:hAnsi="Calibri" w:cs="Calibri"/>
          <w:spacing w:val="40"/>
          <w:w w:val="105"/>
        </w:rPr>
        <w:t xml:space="preserve"> </w:t>
      </w:r>
      <w:r w:rsidRPr="00DD7BD1">
        <w:rPr>
          <w:rFonts w:ascii="Calibri" w:hAnsi="Calibri" w:cs="Calibri"/>
          <w:color w:val="C00000"/>
          <w:w w:val="105"/>
          <w:u w:val="single" w:color="C00000"/>
        </w:rPr>
        <w:t>self-insured</w:t>
      </w:r>
      <w:r w:rsidRPr="00DD7BD1">
        <w:rPr>
          <w:rFonts w:ascii="Calibri" w:hAnsi="Calibri" w:cs="Calibri"/>
          <w:w w:val="105"/>
        </w:rPr>
        <w:t>,</w:t>
      </w:r>
      <w:r w:rsidRPr="00DD7BD1">
        <w:rPr>
          <w:rFonts w:ascii="Calibri" w:hAnsi="Calibri" w:cs="Calibri"/>
          <w:spacing w:val="40"/>
          <w:w w:val="105"/>
        </w:rPr>
        <w:t xml:space="preserve"> </w:t>
      </w:r>
      <w:r w:rsidRPr="00DD7BD1">
        <w:rPr>
          <w:rFonts w:ascii="Calibri" w:hAnsi="Calibri" w:cs="Calibri"/>
          <w:w w:val="105"/>
        </w:rPr>
        <w:t>third</w:t>
      </w:r>
      <w:r w:rsidRPr="00DD7BD1">
        <w:rPr>
          <w:rFonts w:ascii="Calibri" w:hAnsi="Calibri" w:cs="Calibri"/>
          <w:spacing w:val="40"/>
          <w:w w:val="105"/>
        </w:rPr>
        <w:t xml:space="preserve"> </w:t>
      </w:r>
      <w:r w:rsidRPr="00DD7BD1">
        <w:rPr>
          <w:rFonts w:ascii="Calibri" w:hAnsi="Calibri" w:cs="Calibri"/>
          <w:w w:val="105"/>
        </w:rPr>
        <w:t>parties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administer</w:t>
      </w:r>
      <w:r w:rsidRPr="00DD7BD1">
        <w:rPr>
          <w:rFonts w:ascii="Calibri" w:hAnsi="Calibri" w:cs="Calibri"/>
          <w:spacing w:val="40"/>
          <w:w w:val="105"/>
        </w:rPr>
        <w:t xml:space="preserve"> </w:t>
      </w:r>
      <w:r w:rsidRPr="00DD7BD1">
        <w:rPr>
          <w:rFonts w:ascii="Calibri" w:hAnsi="Calibri" w:cs="Calibri"/>
          <w:w w:val="105"/>
        </w:rPr>
        <w:t>private</w:t>
      </w:r>
      <w:r w:rsidRPr="00DD7BD1">
        <w:rPr>
          <w:rFonts w:ascii="Calibri" w:hAnsi="Calibri" w:cs="Calibri"/>
          <w:spacing w:val="40"/>
          <w:w w:val="105"/>
        </w:rPr>
        <w:t xml:space="preserve"> </w:t>
      </w:r>
      <w:r w:rsidRPr="00DD7BD1">
        <w:rPr>
          <w:rFonts w:ascii="Calibri" w:hAnsi="Calibri" w:cs="Calibri"/>
          <w:w w:val="105"/>
        </w:rPr>
        <w:t>plans,</w:t>
      </w:r>
      <w:r w:rsidRPr="00DD7BD1">
        <w:rPr>
          <w:rFonts w:ascii="Calibri" w:hAnsi="Calibri" w:cs="Calibri"/>
          <w:spacing w:val="40"/>
          <w:w w:val="105"/>
        </w:rPr>
        <w:t xml:space="preserve"> </w:t>
      </w:r>
      <w:r w:rsidRPr="00DD7BD1">
        <w:rPr>
          <w:rFonts w:ascii="Calibri" w:hAnsi="Calibri" w:cs="Calibri"/>
          <w:w w:val="105"/>
        </w:rPr>
        <w:t>and</w:t>
      </w:r>
      <w:r w:rsidRPr="00DD7BD1">
        <w:rPr>
          <w:rFonts w:ascii="Calibri" w:hAnsi="Calibri" w:cs="Calibri"/>
          <w:spacing w:val="40"/>
          <w:w w:val="105"/>
        </w:rPr>
        <w:t xml:space="preserve"> </w:t>
      </w:r>
      <w:r w:rsidRPr="00DD7BD1">
        <w:rPr>
          <w:rFonts w:ascii="Calibri" w:hAnsi="Calibri" w:cs="Calibri"/>
          <w:color w:val="C00000"/>
          <w:w w:val="105"/>
        </w:rPr>
        <w:t>private</w:t>
      </w:r>
      <w:r w:rsidRPr="00DD7BD1">
        <w:rPr>
          <w:rFonts w:ascii="Calibri" w:hAnsi="Calibri" w:cs="Calibri"/>
          <w:color w:val="C00000"/>
          <w:spacing w:val="40"/>
          <w:w w:val="105"/>
        </w:rPr>
        <w:t xml:space="preserve"> </w:t>
      </w:r>
      <w:r w:rsidRPr="00DD7BD1">
        <w:rPr>
          <w:rFonts w:ascii="Calibri" w:hAnsi="Calibri" w:cs="Calibri"/>
          <w:color w:val="C00000"/>
          <w:w w:val="105"/>
        </w:rPr>
        <w:t>plan</w:t>
      </w:r>
      <w:r w:rsidRPr="00DD7BD1">
        <w:rPr>
          <w:rFonts w:ascii="Calibri" w:hAnsi="Calibri" w:cs="Calibri"/>
          <w:color w:val="C00000"/>
          <w:spacing w:val="40"/>
          <w:w w:val="105"/>
        </w:rPr>
        <w:t xml:space="preserve"> </w:t>
      </w:r>
      <w:r w:rsidRPr="00DD7BD1">
        <w:rPr>
          <w:rFonts w:ascii="Calibri" w:hAnsi="Calibri" w:cs="Calibri"/>
          <w:color w:val="C00000"/>
          <w:w w:val="105"/>
        </w:rPr>
        <w:t>insurance</w:t>
      </w:r>
      <w:r w:rsidRPr="00DD7BD1">
        <w:rPr>
          <w:rFonts w:ascii="Calibri" w:hAnsi="Calibri" w:cs="Calibri"/>
          <w:color w:val="C00000"/>
          <w:spacing w:val="40"/>
          <w:w w:val="105"/>
        </w:rPr>
        <w:t xml:space="preserve"> </w:t>
      </w:r>
      <w:r w:rsidRPr="00DD7BD1">
        <w:rPr>
          <w:rFonts w:ascii="Calibri" w:hAnsi="Calibri" w:cs="Calibri"/>
          <w:color w:val="C00000"/>
          <w:w w:val="105"/>
        </w:rPr>
        <w:t xml:space="preserve">carriers </w:t>
      </w:r>
      <w:r w:rsidRPr="00DD7BD1">
        <w:rPr>
          <w:rFonts w:ascii="Calibri" w:hAnsi="Calibri" w:cs="Calibri"/>
        </w:rPr>
        <w:t>should</w:t>
      </w:r>
      <w:r w:rsidRPr="00DD7BD1">
        <w:rPr>
          <w:rFonts w:ascii="Calibri" w:hAnsi="Calibri" w:cs="Calibri"/>
          <w:spacing w:val="-12"/>
        </w:rPr>
        <w:t xml:space="preserve"> </w:t>
      </w:r>
      <w:r w:rsidRPr="00DD7BD1">
        <w:rPr>
          <w:rFonts w:ascii="Calibri" w:hAnsi="Calibri" w:cs="Calibri"/>
        </w:rPr>
        <w:t>be</w:t>
      </w:r>
      <w:r w:rsidRPr="00DD7BD1">
        <w:rPr>
          <w:rFonts w:ascii="Calibri" w:hAnsi="Calibri" w:cs="Calibri"/>
          <w:spacing w:val="-9"/>
        </w:rPr>
        <w:t xml:space="preserve"> </w:t>
      </w:r>
      <w:r w:rsidRPr="00DD7BD1">
        <w:rPr>
          <w:rFonts w:ascii="Calibri" w:hAnsi="Calibri" w:cs="Calibri"/>
        </w:rPr>
        <w:t>prepared</w:t>
      </w:r>
      <w:r w:rsidRPr="00DD7BD1">
        <w:rPr>
          <w:rFonts w:ascii="Calibri" w:hAnsi="Calibri" w:cs="Calibri"/>
          <w:spacing w:val="-9"/>
        </w:rPr>
        <w:t xml:space="preserve"> </w:t>
      </w:r>
      <w:r w:rsidRPr="00DD7BD1">
        <w:rPr>
          <w:rFonts w:ascii="Calibri" w:hAnsi="Calibri" w:cs="Calibri"/>
        </w:rPr>
        <w:t>to</w:t>
      </w:r>
      <w:r w:rsidRPr="00DD7BD1">
        <w:rPr>
          <w:rFonts w:ascii="Calibri" w:hAnsi="Calibri" w:cs="Calibri"/>
          <w:spacing w:val="-6"/>
        </w:rPr>
        <w:t xml:space="preserve"> </w:t>
      </w:r>
      <w:r w:rsidRPr="00DD7BD1">
        <w:rPr>
          <w:rFonts w:ascii="Calibri" w:hAnsi="Calibri" w:cs="Calibri"/>
          <w:b/>
        </w:rPr>
        <w:t>submit</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required</w:t>
      </w:r>
      <w:r w:rsidRPr="00DD7BD1">
        <w:rPr>
          <w:rFonts w:ascii="Calibri" w:hAnsi="Calibri" w:cs="Calibri"/>
          <w:b/>
          <w:spacing w:val="-11"/>
        </w:rPr>
        <w:t xml:space="preserve"> </w:t>
      </w:r>
      <w:r w:rsidRPr="00DD7BD1">
        <w:rPr>
          <w:rFonts w:ascii="Calibri" w:hAnsi="Calibri" w:cs="Calibri"/>
          <w:b/>
        </w:rPr>
        <w:t>private</w:t>
      </w:r>
      <w:r w:rsidRPr="00DD7BD1">
        <w:rPr>
          <w:rFonts w:ascii="Calibri" w:hAnsi="Calibri" w:cs="Calibri"/>
          <w:b/>
          <w:spacing w:val="-11"/>
        </w:rPr>
        <w:t xml:space="preserve"> </w:t>
      </w:r>
      <w:r w:rsidRPr="00DD7BD1">
        <w:rPr>
          <w:rFonts w:ascii="Calibri" w:hAnsi="Calibri" w:cs="Calibri"/>
          <w:b/>
        </w:rPr>
        <w:t>plan</w:t>
      </w:r>
      <w:r w:rsidRPr="00DD7BD1">
        <w:rPr>
          <w:rFonts w:ascii="Calibri" w:hAnsi="Calibri" w:cs="Calibri"/>
          <w:b/>
          <w:spacing w:val="-11"/>
        </w:rPr>
        <w:t xml:space="preserve"> </w:t>
      </w:r>
      <w:r w:rsidRPr="00DD7BD1">
        <w:rPr>
          <w:rFonts w:ascii="Calibri" w:hAnsi="Calibri" w:cs="Calibri"/>
          <w:b/>
        </w:rPr>
        <w:t>data</w:t>
      </w:r>
      <w:r w:rsidRPr="00DD7BD1">
        <w:rPr>
          <w:rFonts w:ascii="Calibri" w:hAnsi="Calibri" w:cs="Calibri"/>
          <w:b/>
          <w:spacing w:val="-11"/>
        </w:rPr>
        <w:t xml:space="preserve"> </w:t>
      </w:r>
      <w:r w:rsidRPr="00DD7BD1">
        <w:rPr>
          <w:rFonts w:ascii="Calibri" w:hAnsi="Calibri" w:cs="Calibri"/>
          <w:b/>
        </w:rPr>
        <w:t>to</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Department</w:t>
      </w:r>
      <w:r w:rsidRPr="00DD7BD1">
        <w:rPr>
          <w:rFonts w:ascii="Calibri" w:hAnsi="Calibri" w:cs="Calibri"/>
          <w:b/>
          <w:spacing w:val="-10"/>
        </w:rPr>
        <w:t xml:space="preserve"> </w:t>
      </w:r>
      <w:r w:rsidRPr="00DD7BD1">
        <w:rPr>
          <w:rFonts w:ascii="Calibri" w:hAnsi="Calibri" w:cs="Calibri"/>
          <w:b/>
        </w:rPr>
        <w:t>by</w:t>
      </w:r>
      <w:r w:rsidRPr="00DD7BD1">
        <w:rPr>
          <w:rFonts w:ascii="Calibri" w:hAnsi="Calibri" w:cs="Calibri"/>
          <w:b/>
          <w:spacing w:val="-7"/>
        </w:rPr>
        <w:t xml:space="preserve"> </w:t>
      </w:r>
      <w:r w:rsidRPr="00DD7BD1">
        <w:rPr>
          <w:rFonts w:ascii="Calibri" w:hAnsi="Calibri" w:cs="Calibri"/>
          <w:b/>
          <w:u w:val="single"/>
        </w:rPr>
        <w:t>August</w:t>
      </w:r>
      <w:r w:rsidRPr="00DD7BD1">
        <w:rPr>
          <w:rFonts w:ascii="Calibri" w:hAnsi="Calibri" w:cs="Calibri"/>
          <w:b/>
          <w:spacing w:val="-10"/>
          <w:u w:val="single"/>
        </w:rPr>
        <w:t xml:space="preserve"> </w:t>
      </w:r>
      <w:r w:rsidRPr="00DD7BD1">
        <w:rPr>
          <w:rFonts w:ascii="Calibri" w:hAnsi="Calibri" w:cs="Calibri"/>
          <w:b/>
          <w:u w:val="single"/>
        </w:rPr>
        <w:t>31,</w:t>
      </w:r>
      <w:r w:rsidRPr="00DD7BD1">
        <w:rPr>
          <w:rFonts w:ascii="Calibri" w:hAnsi="Calibri" w:cs="Calibri"/>
          <w:b/>
          <w:spacing w:val="-11"/>
          <w:u w:val="single"/>
        </w:rPr>
        <w:t xml:space="preserve"> </w:t>
      </w:r>
      <w:r w:rsidRPr="00DD7BD1">
        <w:rPr>
          <w:rFonts w:ascii="Calibri" w:hAnsi="Calibri" w:cs="Calibri"/>
          <w:b/>
          <w:u w:val="single"/>
        </w:rPr>
        <w:t>2025</w:t>
      </w:r>
      <w:r w:rsidRPr="00DD7BD1">
        <w:rPr>
          <w:rFonts w:ascii="Calibri" w:hAnsi="Calibri" w:cs="Calibri"/>
        </w:rPr>
        <w:t>.</w:t>
      </w:r>
    </w:p>
    <w:p w14:paraId="6A81C3C1"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enlist</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benefits</w:t>
      </w:r>
      <w:r w:rsidRPr="00DD7BD1">
        <w:rPr>
          <w:rFonts w:cs="Calibri"/>
          <w:color w:val="auto"/>
          <w:spacing w:val="-10"/>
          <w:w w:val="110"/>
          <w:szCs w:val="22"/>
        </w:rPr>
        <w:t xml:space="preserve"> </w:t>
      </w:r>
      <w:r w:rsidRPr="00DD7BD1">
        <w:rPr>
          <w:rFonts w:cs="Calibri"/>
          <w:color w:val="auto"/>
          <w:w w:val="110"/>
          <w:szCs w:val="22"/>
        </w:rPr>
        <w:t>broker</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assist</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determining</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types</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plan</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reporting obligation is applicable.</w:t>
      </w:r>
    </w:p>
    <w:p w14:paraId="51CF1700" w14:textId="77777777" w:rsidR="003A22A9" w:rsidRPr="00DD7BD1" w:rsidRDefault="003A22A9" w:rsidP="003A22A9">
      <w:pPr>
        <w:spacing w:after="0" w:line="240" w:lineRule="auto"/>
        <w:rPr>
          <w:rFonts w:ascii="Calibri" w:hAnsi="Calibri" w:cs="Calibri"/>
          <w:b/>
          <w:bCs/>
          <w:shd w:val="clear" w:color="auto" w:fill="FFFFFF"/>
          <w:lang w:val="en"/>
        </w:rPr>
      </w:pPr>
    </w:p>
    <w:p w14:paraId="153CDC64" w14:textId="6FD4CD26" w:rsidR="001D4173" w:rsidRPr="00DD7BD1" w:rsidRDefault="001D4173" w:rsidP="001D417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MA Paid Family &amp; Medical Leave Updates from the Department - </w:t>
      </w:r>
      <w:r w:rsidRPr="00DD7BD1">
        <w:rPr>
          <w:rFonts w:ascii="Calibri" w:hAnsi="Calibri" w:cs="Calibri"/>
          <w:b/>
          <w:bCs/>
          <w:color w:val="C00000"/>
          <w:sz w:val="28"/>
          <w:szCs w:val="28"/>
          <w:shd w:val="clear" w:color="auto" w:fill="FFFFFF"/>
          <w:lang w:val="en"/>
        </w:rPr>
        <w:t>Eff August 31, 2025</w:t>
      </w:r>
    </w:p>
    <w:bookmarkEnd w:id="103"/>
    <w:p w14:paraId="5ADF98F5"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DD7BD1" w:rsidRDefault="001D4173" w:rsidP="001D4173">
      <w:pPr>
        <w:spacing w:after="0" w:line="240" w:lineRule="auto"/>
        <w:jc w:val="both"/>
        <w:rPr>
          <w:rFonts w:ascii="Calibri" w:hAnsi="Calibri" w:cs="Calibri"/>
          <w:sz w:val="16"/>
          <w:szCs w:val="16"/>
          <w:shd w:val="clear" w:color="auto" w:fill="FFFFFF"/>
        </w:rPr>
      </w:pPr>
    </w:p>
    <w:p w14:paraId="2BAB3FC6"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Employer Portal Updates</w:t>
      </w:r>
    </w:p>
    <w:p w14:paraId="63BA4EEB"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DD7BD1" w:rsidRDefault="001D4173" w:rsidP="001D4173">
      <w:pPr>
        <w:spacing w:after="0" w:line="240" w:lineRule="auto"/>
        <w:jc w:val="both"/>
        <w:rPr>
          <w:rFonts w:ascii="Calibri" w:hAnsi="Calibri" w:cs="Calibri"/>
          <w:b/>
          <w:bCs/>
          <w:sz w:val="16"/>
          <w:szCs w:val="16"/>
          <w:shd w:val="clear" w:color="auto" w:fill="FFFFFF"/>
        </w:rPr>
      </w:pPr>
    </w:p>
    <w:p w14:paraId="29A08C46" w14:textId="77777777" w:rsidR="001D4173" w:rsidRPr="00DD7BD1" w:rsidRDefault="001D4173" w:rsidP="001D417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 Private Plan Employer Reporting Deadline</w:t>
      </w:r>
    </w:p>
    <w:p w14:paraId="0F32197F"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that meet their Paid Family and Medical Leave (PFML) law obligations through an </w:t>
      </w:r>
      <w:r w:rsidRPr="00DD7BD1">
        <w:rPr>
          <w:rFonts w:ascii="Calibri" w:hAnsi="Calibri" w:cs="Calibri"/>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DD7BD1">
        <w:rPr>
          <w:rFonts w:ascii="Calibri" w:hAnsi="Calibri" w:cs="Calibri"/>
          <w:shd w:val="clear" w:color="auto" w:fill="FFFFFF"/>
        </w:rPr>
        <w:t>.</w:t>
      </w:r>
    </w:p>
    <w:p w14:paraId="1008DC3B" w14:textId="77777777" w:rsidR="001D4173" w:rsidRPr="00DD7BD1" w:rsidRDefault="001D4173" w:rsidP="001D4173">
      <w:pPr>
        <w:spacing w:after="0" w:line="240" w:lineRule="auto"/>
        <w:jc w:val="both"/>
        <w:rPr>
          <w:rFonts w:ascii="Calibri" w:hAnsi="Calibri" w:cs="Calibri"/>
          <w:shd w:val="clear" w:color="auto" w:fill="FFFFFF"/>
        </w:rPr>
      </w:pPr>
    </w:p>
    <w:p w14:paraId="3EF574A9"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who are </w:t>
      </w:r>
      <w:r w:rsidRPr="00DD7BD1">
        <w:rPr>
          <w:rFonts w:ascii="Calibri" w:hAnsi="Calibri" w:cs="Calibri"/>
          <w:color w:val="C00000"/>
          <w:u w:val="single"/>
          <w:shd w:val="clear" w:color="auto" w:fill="FFFFFF"/>
        </w:rPr>
        <w:t>self-insured</w:t>
      </w:r>
      <w:r w:rsidRPr="00DD7BD1">
        <w:rPr>
          <w:rFonts w:ascii="Calibri" w:hAnsi="Calibri" w:cs="Calibri"/>
          <w:shd w:val="clear" w:color="auto" w:fill="FFFFFF"/>
        </w:rPr>
        <w:t>, third parties who administer private plans, and private plan insurance carriers should be prepared to submit the required private plan data to the Department by </w:t>
      </w:r>
      <w:r w:rsidRPr="00DD7BD1">
        <w:rPr>
          <w:rFonts w:ascii="Calibri" w:hAnsi="Calibri" w:cs="Calibri"/>
          <w:u w:val="single"/>
          <w:shd w:val="clear" w:color="auto" w:fill="FFFFFF"/>
        </w:rPr>
        <w:t>August 31, 2025</w:t>
      </w:r>
      <w:r w:rsidRPr="00DD7BD1">
        <w:rPr>
          <w:rFonts w:ascii="Calibri" w:hAnsi="Calibri" w:cs="Calibri"/>
          <w:shd w:val="clear" w:color="auto" w:fill="FFFFFF"/>
        </w:rPr>
        <w:t>. The Reporting Templates for 2025 are available on the Department website at the </w:t>
      </w:r>
      <w:hyperlink r:id="rId748" w:anchor="general-information" w:tgtFrame="_blank" w:history="1">
        <w:r w:rsidRPr="00DD7BD1">
          <w:rPr>
            <w:rStyle w:val="Hyperlink"/>
            <w:rFonts w:ascii="Calibri" w:hAnsi="Calibri" w:cs="Calibri"/>
            <w:shd w:val="clear" w:color="auto" w:fill="FFFFFF"/>
          </w:rPr>
          <w:t>Employer Private Plan Reporting Obligations</w:t>
        </w:r>
      </w:hyperlink>
      <w:r w:rsidRPr="00DD7BD1">
        <w:rPr>
          <w:rFonts w:ascii="Calibri" w:hAnsi="Calibri" w:cs="Calibri"/>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Pr="00DD7BD1" w:rsidRDefault="001D4173" w:rsidP="001D4173">
      <w:pPr>
        <w:spacing w:after="0" w:line="240" w:lineRule="auto"/>
        <w:jc w:val="both"/>
        <w:rPr>
          <w:rFonts w:ascii="Calibri" w:hAnsi="Calibri" w:cs="Calibri"/>
          <w:shd w:val="clear" w:color="auto" w:fill="FFFFFF"/>
        </w:rPr>
      </w:pPr>
    </w:p>
    <w:p w14:paraId="55EF8618"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should enlist their benefits broker to assist in determining their types of plan and whether the reporting obligation is applicable.</w:t>
      </w:r>
    </w:p>
    <w:bookmarkEnd w:id="104"/>
    <w:p w14:paraId="43D31E44" w14:textId="77777777" w:rsidR="001D4173" w:rsidRPr="00DD7BD1" w:rsidRDefault="001D4173" w:rsidP="00BD445F">
      <w:pPr>
        <w:spacing w:after="0" w:line="240" w:lineRule="auto"/>
        <w:jc w:val="center"/>
        <w:rPr>
          <w:rFonts w:ascii="Calibri" w:hAnsi="Calibri" w:cs="Calibri"/>
          <w:b/>
          <w:bCs/>
          <w:shd w:val="clear" w:color="auto" w:fill="FFFFFF"/>
          <w:lang w:val="en"/>
        </w:rPr>
      </w:pPr>
    </w:p>
    <w:p w14:paraId="5850F342" w14:textId="2F67FFF5" w:rsidR="00BD445F" w:rsidRPr="00DD7BD1" w:rsidRDefault="00BD445F" w:rsidP="009962E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Pay Transparency Employer Obligations – </w:t>
      </w:r>
      <w:r w:rsidR="00402F96" w:rsidRPr="00DD7BD1">
        <w:rPr>
          <w:rFonts w:ascii="Calibri" w:hAnsi="Calibri" w:cs="Calibri"/>
          <w:b/>
          <w:bCs/>
          <w:color w:val="C00000"/>
          <w:sz w:val="28"/>
          <w:szCs w:val="28"/>
          <w:shd w:val="clear" w:color="auto" w:fill="FFFFFF"/>
          <w:lang w:val="en"/>
        </w:rPr>
        <w:t>Eff July 31 &amp; Oct 29, 2025</w:t>
      </w:r>
    </w:p>
    <w:p w14:paraId="5ECAD7A9" w14:textId="72ACD122" w:rsidR="00784E6F" w:rsidRPr="00DD7BD1" w:rsidRDefault="00BD445F" w:rsidP="009962E5">
      <w:pPr>
        <w:spacing w:after="0" w:line="240" w:lineRule="auto"/>
        <w:rPr>
          <w:rFonts w:ascii="Calibri" w:hAnsi="Calibri" w:cs="Calibri"/>
        </w:rPr>
      </w:pPr>
      <w:r w:rsidRPr="00DD7BD1">
        <w:rPr>
          <w:rFonts w:ascii="Calibri" w:hAnsi="Calibri" w:cs="Calibri"/>
        </w:rPr>
        <w:t>Governor Healey signed  salary range transparency legislation that imposes new salary disclosure requirements on Massachusetts employers last summer.</w:t>
      </w:r>
    </w:p>
    <w:p w14:paraId="41D08134" w14:textId="77777777" w:rsidR="009962E5" w:rsidRPr="00DD7BD1" w:rsidRDefault="009962E5" w:rsidP="009962E5">
      <w:pPr>
        <w:spacing w:after="0" w:line="240" w:lineRule="auto"/>
        <w:rPr>
          <w:rFonts w:ascii="Calibri" w:hAnsi="Calibri" w:cs="Calibri"/>
        </w:rPr>
      </w:pPr>
    </w:p>
    <w:p w14:paraId="17E47F25" w14:textId="3697209C" w:rsidR="00784E6F" w:rsidRPr="00DD7BD1" w:rsidRDefault="00784E6F" w:rsidP="009962E5">
      <w:pPr>
        <w:spacing w:after="0" w:line="240" w:lineRule="auto"/>
        <w:rPr>
          <w:rFonts w:ascii="Calibri" w:hAnsi="Calibri" w:cs="Calibri"/>
        </w:rPr>
      </w:pPr>
      <w:r w:rsidRPr="00DD7BD1">
        <w:rPr>
          <w:rFonts w:ascii="Calibri" w:hAnsi="Calibri" w:cs="Calibri"/>
        </w:rPr>
        <w:t xml:space="preserve">Beginning </w:t>
      </w:r>
      <w:r w:rsidRPr="00DD7BD1">
        <w:rPr>
          <w:rFonts w:ascii="Calibri" w:hAnsi="Calibri" w:cs="Calibri"/>
          <w:color w:val="C00000"/>
        </w:rPr>
        <w:t>October 29, 2025</w:t>
      </w:r>
      <w:r w:rsidRPr="00DD7BD1">
        <w:rPr>
          <w:rFonts w:ascii="Calibri" w:hAnsi="Calibri" w:cs="Calibri"/>
        </w:rPr>
        <w:t>, the “</w:t>
      </w:r>
      <w:hyperlink r:id="rId749" w:tgtFrame="_blank" w:history="1">
        <w:r w:rsidRPr="00DD7BD1">
          <w:rPr>
            <w:rStyle w:val="Hyperlink"/>
            <w:rFonts w:ascii="Calibri" w:hAnsi="Calibri" w:cs="Calibri"/>
          </w:rPr>
          <w:t>Massachusetts Act Relative to Salary Range Transparency</w:t>
        </w:r>
      </w:hyperlink>
      <w:r w:rsidRPr="00DD7BD1">
        <w:rPr>
          <w:rFonts w:ascii="Calibri" w:hAnsi="Calibri" w:cs="Calibri"/>
        </w:rPr>
        <w:t xml:space="preserve">” requires employers with </w:t>
      </w:r>
      <w:r w:rsidRPr="00DD7BD1">
        <w:rPr>
          <w:rFonts w:ascii="Calibri" w:hAnsi="Calibri" w:cs="Calibri"/>
          <w:u w:val="single"/>
        </w:rPr>
        <w:t>25 or more employees in Massachusetts</w:t>
      </w:r>
      <w:r w:rsidRPr="00DD7BD1">
        <w:rPr>
          <w:rFonts w:ascii="Calibri" w:hAnsi="Calibri" w:cs="Calibri"/>
        </w:rPr>
        <w:t xml:space="preserve"> to </w:t>
      </w:r>
    </w:p>
    <w:p w14:paraId="33EE794C"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(1) disclose the </w:t>
      </w:r>
      <w:r w:rsidRPr="00DD7BD1">
        <w:rPr>
          <w:rFonts w:ascii="Calibri" w:hAnsi="Calibri" w:cs="Calibri"/>
          <w:b/>
          <w:bCs/>
        </w:rPr>
        <w:t>pay range</w:t>
      </w:r>
      <w:r w:rsidRPr="00DD7BD1">
        <w:rPr>
          <w:rFonts w:ascii="Calibri" w:hAnsi="Calibri" w:cs="Calibri"/>
        </w:rPr>
        <w:t xml:space="preserve"> for a “particular and specific employment position” in the job posting, and </w:t>
      </w:r>
    </w:p>
    <w:p w14:paraId="5EB01DB1" w14:textId="77777777" w:rsidR="00784E6F" w:rsidRPr="00DD7BD1" w:rsidRDefault="00784E6F" w:rsidP="009962E5">
      <w:pPr>
        <w:spacing w:after="0" w:line="240" w:lineRule="auto"/>
        <w:rPr>
          <w:rFonts w:ascii="Calibri" w:hAnsi="Calibri" w:cs="Calibri"/>
        </w:rPr>
      </w:pPr>
      <w:r w:rsidRPr="00DD7BD1">
        <w:rPr>
          <w:rFonts w:ascii="Calibri" w:hAnsi="Calibri" w:cs="Calibri"/>
        </w:rPr>
        <w:t>(2) provide the pay range for a “particular and specific employment position” to an employee who is offered a promotion or transfer to such position, and</w:t>
      </w:r>
    </w:p>
    <w:p w14:paraId="256FFB46"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 (3) upon request, provide the </w:t>
      </w:r>
      <w:r w:rsidRPr="00DD7BD1">
        <w:rPr>
          <w:rFonts w:ascii="Calibri" w:hAnsi="Calibri" w:cs="Calibri"/>
          <w:b/>
          <w:bCs/>
        </w:rPr>
        <w:t>pay range</w:t>
      </w:r>
      <w:r w:rsidRPr="00DD7BD1">
        <w:rPr>
          <w:rFonts w:ascii="Calibri" w:hAnsi="Calibri" w:cs="Calibri"/>
        </w:rPr>
        <w:t xml:space="preserve"> for a “particular and specific employment position” to an employee holding that position or an applicant for the position.</w:t>
      </w:r>
    </w:p>
    <w:p w14:paraId="432ACF4F"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The legislation also requires private employers with </w:t>
      </w:r>
      <w:r w:rsidRPr="00DD7BD1">
        <w:rPr>
          <w:rFonts w:ascii="Calibri" w:hAnsi="Calibri" w:cs="Calibri"/>
          <w:u w:val="single"/>
        </w:rPr>
        <w:t>100 or more Massachusetts employees</w:t>
      </w:r>
      <w:r w:rsidRPr="00DD7BD1">
        <w:rPr>
          <w:rFonts w:ascii="Calibri" w:hAnsi="Calibri" w:cs="Calibri"/>
        </w:rPr>
        <w:t xml:space="preserve"> to </w:t>
      </w:r>
      <w:r w:rsidRPr="00DD7BD1">
        <w:rPr>
          <w:rFonts w:ascii="Calibri" w:hAnsi="Calibri" w:cs="Calibri"/>
          <w:u w:val="single"/>
        </w:rPr>
        <w:t>submit EEO and pay data to the Commonwealth annually</w:t>
      </w:r>
      <w:r w:rsidRPr="00DD7BD1">
        <w:rPr>
          <w:rFonts w:ascii="Calibri" w:hAnsi="Calibri" w:cs="Calibri"/>
        </w:rPr>
        <w:t xml:space="preserve">, </w:t>
      </w:r>
      <w:r w:rsidRPr="00DD7BD1">
        <w:rPr>
          <w:rFonts w:ascii="Calibri" w:hAnsi="Calibri" w:cs="Calibri"/>
          <w:color w:val="C00000"/>
        </w:rPr>
        <w:t xml:space="preserve">February 1, for </w:t>
      </w:r>
      <w:r w:rsidRPr="00DD7BD1">
        <w:rPr>
          <w:rFonts w:ascii="Calibri" w:hAnsi="Calibri" w:cs="Calibri"/>
        </w:rPr>
        <w:t>purposes of aggregated public reporting by the Massachusetts Department of Labor. </w:t>
      </w:r>
    </w:p>
    <w:p w14:paraId="3EB61CE2" w14:textId="77777777" w:rsidR="00784E6F" w:rsidRPr="00DD7BD1" w:rsidRDefault="00784E6F" w:rsidP="009962E5">
      <w:pPr>
        <w:spacing w:after="0" w:line="240" w:lineRule="auto"/>
        <w:rPr>
          <w:rFonts w:ascii="Calibri" w:hAnsi="Calibri" w:cs="Calibri"/>
        </w:rPr>
      </w:pPr>
    </w:p>
    <w:p w14:paraId="5C5FD201"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Employers must submit their first round of EEO and pay data to the Commonwealth by </w:t>
      </w:r>
      <w:r w:rsidRPr="00DD7BD1">
        <w:rPr>
          <w:rFonts w:ascii="Calibri" w:hAnsi="Calibri" w:cs="Calibri"/>
          <w:color w:val="C00000"/>
        </w:rPr>
        <w:t xml:space="preserve">February 3, 2025. </w:t>
      </w:r>
      <w:r w:rsidRPr="00DD7BD1">
        <w:rPr>
          <w:rFonts w:ascii="Calibri" w:hAnsi="Calibri" w:cs="Calibri"/>
        </w:rPr>
        <w:t>(Feb 1 falls on a Saturday)</w:t>
      </w:r>
    </w:p>
    <w:p w14:paraId="63085511" w14:textId="77777777" w:rsidR="00BD445F" w:rsidRPr="00DD7BD1" w:rsidRDefault="00BD445F" w:rsidP="009962E5">
      <w:pPr>
        <w:spacing w:after="0" w:line="240" w:lineRule="auto"/>
        <w:rPr>
          <w:rFonts w:ascii="Calibri" w:hAnsi="Calibri" w:cs="Calibri"/>
          <w:sz w:val="16"/>
          <w:szCs w:val="16"/>
        </w:rPr>
      </w:pPr>
    </w:p>
    <w:p w14:paraId="51B44BCF" w14:textId="4536B66A" w:rsidR="00BD445F" w:rsidRPr="00DD7BD1" w:rsidRDefault="00BD445F" w:rsidP="009962E5">
      <w:pPr>
        <w:spacing w:after="0" w:line="240" w:lineRule="auto"/>
        <w:rPr>
          <w:rFonts w:ascii="Calibri" w:hAnsi="Calibri" w:cs="Calibri"/>
        </w:rPr>
      </w:pPr>
      <w:r w:rsidRPr="00DD7BD1">
        <w:rPr>
          <w:rFonts w:ascii="Calibri" w:hAnsi="Calibri" w:cs="Calibri"/>
          <w:b/>
          <w:bCs/>
        </w:rPr>
        <w:t>Salary Range Posting Requirements</w:t>
      </w:r>
      <w:r w:rsidR="00402F96" w:rsidRPr="00DD7BD1">
        <w:rPr>
          <w:rFonts w:ascii="Calibri" w:hAnsi="Calibri" w:cs="Calibri"/>
          <w:b/>
          <w:bCs/>
        </w:rPr>
        <w:t xml:space="preserve"> – </w:t>
      </w:r>
      <w:r w:rsidR="00402F96" w:rsidRPr="00DD7BD1">
        <w:rPr>
          <w:rFonts w:ascii="Calibri" w:hAnsi="Calibri" w:cs="Calibri"/>
          <w:b/>
          <w:bCs/>
          <w:color w:val="C00000"/>
        </w:rPr>
        <w:t>Oct 29,2025</w:t>
      </w:r>
    </w:p>
    <w:p w14:paraId="0CCD2DDA" w14:textId="77777777" w:rsidR="00BD445F" w:rsidRPr="00DD7BD1" w:rsidRDefault="00BD445F" w:rsidP="009962E5">
      <w:pPr>
        <w:spacing w:after="0" w:line="240" w:lineRule="auto"/>
        <w:rPr>
          <w:rFonts w:ascii="Calibri" w:hAnsi="Calibri" w:cs="Calibri"/>
        </w:rPr>
      </w:pPr>
      <w:r w:rsidRPr="00DD7BD1">
        <w:rPr>
          <w:rFonts w:ascii="Calibri" w:hAnsi="Calibri" w:cs="Calibri"/>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post the “pay range” for a particular position on all job postings,</w:t>
      </w:r>
    </w:p>
    <w:p w14:paraId="518DCBA8"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disclose the pay range for a position to employees who are offered a promotion or a transfer to a new position with different job responsibilities, and</w:t>
      </w:r>
    </w:p>
    <w:p w14:paraId="47CABC94"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upon request, provide the pay range for a particular position to an employee holding the position or to an applicant for the position.</w:t>
      </w:r>
    </w:p>
    <w:p w14:paraId="5E7F62C2" w14:textId="77777777" w:rsidR="009962E5" w:rsidRPr="00DD7BD1" w:rsidRDefault="009962E5" w:rsidP="009962E5">
      <w:pPr>
        <w:spacing w:after="0" w:line="240" w:lineRule="auto"/>
        <w:rPr>
          <w:rFonts w:ascii="Calibri" w:hAnsi="Calibri" w:cs="Calibri"/>
        </w:rPr>
      </w:pPr>
    </w:p>
    <w:p w14:paraId="47B15DB8" w14:textId="76F98C11" w:rsidR="00BD445F" w:rsidRPr="00DD7BD1" w:rsidRDefault="00BD445F" w:rsidP="009962E5">
      <w:pPr>
        <w:spacing w:after="0" w:line="240" w:lineRule="auto"/>
        <w:rPr>
          <w:rFonts w:ascii="Calibri" w:hAnsi="Calibri" w:cs="Calibri"/>
        </w:rPr>
      </w:pPr>
      <w:r w:rsidRPr="00DD7BD1">
        <w:rPr>
          <w:rFonts w:ascii="Calibri" w:hAnsi="Calibri" w:cs="Calibri"/>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DD7BD1" w:rsidRDefault="00BD445F" w:rsidP="009962E5">
      <w:pPr>
        <w:spacing w:after="0" w:line="240" w:lineRule="auto"/>
        <w:rPr>
          <w:rFonts w:ascii="Calibri" w:hAnsi="Calibri" w:cs="Calibri"/>
        </w:rPr>
      </w:pPr>
      <w:r w:rsidRPr="00DD7BD1">
        <w:rPr>
          <w:rFonts w:ascii="Calibri" w:hAnsi="Calibri" w:cs="Calibri"/>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DD7BD1" w:rsidRDefault="00BD445F" w:rsidP="00BD445F">
      <w:pPr>
        <w:spacing w:after="0" w:line="240" w:lineRule="auto"/>
        <w:rPr>
          <w:rFonts w:ascii="Calibri" w:hAnsi="Calibri" w:cs="Calibri"/>
          <w:b/>
          <w:bCs/>
          <w:sz w:val="16"/>
          <w:szCs w:val="16"/>
        </w:rPr>
      </w:pPr>
    </w:p>
    <w:p w14:paraId="2FF44101"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Reporting Obligations</w:t>
      </w:r>
    </w:p>
    <w:p w14:paraId="486E800E" w14:textId="77777777" w:rsidR="00BD445F" w:rsidRPr="00DD7BD1" w:rsidRDefault="00BD445F" w:rsidP="00BD445F">
      <w:pPr>
        <w:spacing w:after="0" w:line="240" w:lineRule="auto"/>
        <w:rPr>
          <w:rFonts w:ascii="Calibri" w:hAnsi="Calibri" w:cs="Calibri"/>
        </w:rPr>
      </w:pPr>
      <w:r w:rsidRPr="00DD7BD1">
        <w:rPr>
          <w:rFonts w:ascii="Calibri" w:hAnsi="Calibri" w:cs="Calibri"/>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0EAB183D" w14:textId="77777777" w:rsidR="009962E5" w:rsidRPr="00DD7BD1" w:rsidRDefault="009962E5" w:rsidP="00BD445F">
      <w:pPr>
        <w:spacing w:after="0" w:line="240" w:lineRule="auto"/>
        <w:rPr>
          <w:rFonts w:ascii="Calibri" w:hAnsi="Calibri" w:cs="Calibri"/>
        </w:rPr>
      </w:pPr>
    </w:p>
    <w:p w14:paraId="523377D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DD7BD1">
        <w:rPr>
          <w:rFonts w:ascii="Calibri" w:hAnsi="Calibri" w:cs="Calibri"/>
          <w:color w:val="C00000"/>
        </w:rPr>
        <w:t xml:space="preserve">February 1. </w:t>
      </w:r>
      <w:r w:rsidRPr="00DD7BD1">
        <w:rPr>
          <w:rFonts w:ascii="Calibri" w:hAnsi="Calibri" w:cs="Calibri"/>
        </w:rPr>
        <w:t>The Secretary will then provide this information to the Massachusetts Department of Labor  for the publication of aggregated data on its website by July 1 of each year.</w:t>
      </w:r>
    </w:p>
    <w:p w14:paraId="6CD87436" w14:textId="77777777" w:rsidR="009962E5" w:rsidRPr="00DD7BD1" w:rsidRDefault="009962E5" w:rsidP="00BD445F">
      <w:pPr>
        <w:spacing w:after="0" w:line="240" w:lineRule="auto"/>
        <w:rPr>
          <w:rFonts w:ascii="Calibri" w:hAnsi="Calibri" w:cs="Calibri"/>
        </w:rPr>
      </w:pPr>
    </w:p>
    <w:p w14:paraId="1B8A773D" w14:textId="77777777" w:rsidR="00BD445F" w:rsidRPr="00DD7BD1" w:rsidRDefault="00BD445F" w:rsidP="00BD445F">
      <w:pPr>
        <w:spacing w:after="0" w:line="240" w:lineRule="auto"/>
        <w:rPr>
          <w:rFonts w:ascii="Calibri" w:hAnsi="Calibri" w:cs="Calibri"/>
        </w:rPr>
      </w:pPr>
      <w:r w:rsidRPr="00DD7BD1">
        <w:rPr>
          <w:rFonts w:ascii="Calibri" w:hAnsi="Calibri" w:cs="Calibri"/>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DD7BD1" w:rsidRDefault="00BD445F" w:rsidP="00BD445F">
      <w:pPr>
        <w:spacing w:after="0" w:line="240" w:lineRule="auto"/>
        <w:rPr>
          <w:rFonts w:ascii="Calibri" w:hAnsi="Calibri" w:cs="Calibri"/>
          <w:b/>
          <w:bCs/>
          <w:sz w:val="16"/>
          <w:szCs w:val="16"/>
        </w:rPr>
      </w:pPr>
    </w:p>
    <w:p w14:paraId="51FB4F9C" w14:textId="77777777" w:rsidR="00BD445F" w:rsidRPr="00DD7BD1" w:rsidRDefault="00BD445F" w:rsidP="00BD445F">
      <w:pPr>
        <w:spacing w:after="0" w:line="240" w:lineRule="auto"/>
        <w:rPr>
          <w:rFonts w:ascii="Calibri" w:hAnsi="Calibri" w:cs="Calibri"/>
          <w:b/>
          <w:bCs/>
        </w:rPr>
      </w:pPr>
      <w:r w:rsidRPr="00DD7BD1">
        <w:rPr>
          <w:rFonts w:ascii="Calibri" w:hAnsi="Calibri" w:cs="Calibri"/>
          <w:b/>
          <w:bCs/>
        </w:rPr>
        <w:t>FAQs</w:t>
      </w:r>
    </w:p>
    <w:p w14:paraId="312A038B" w14:textId="77777777" w:rsidR="00BD445F" w:rsidRPr="00DD7BD1" w:rsidRDefault="00BD445F" w:rsidP="00BD445F">
      <w:pPr>
        <w:spacing w:after="0" w:line="240" w:lineRule="auto"/>
        <w:rPr>
          <w:rFonts w:ascii="Calibri" w:hAnsi="Calibri" w:cs="Calibri"/>
        </w:rPr>
      </w:pPr>
      <w:r w:rsidRPr="00DD7BD1">
        <w:rPr>
          <w:rFonts w:ascii="Calibri" w:hAnsi="Calibri" w:cs="Calibri"/>
        </w:rPr>
        <w:t>The state’s Executive Office of Labor and Workforce Development has released </w:t>
      </w:r>
      <w:hyperlink r:id="rId750" w:tgtFrame="_blank" w:history="1">
        <w:r w:rsidRPr="00DD7BD1">
          <w:rPr>
            <w:rStyle w:val="Hyperlink"/>
            <w:rFonts w:ascii="Calibri" w:hAnsi="Calibri" w:cs="Calibri"/>
          </w:rPr>
          <w:t>FAQs</w:t>
        </w:r>
      </w:hyperlink>
      <w:r w:rsidRPr="00DD7BD1">
        <w:rPr>
          <w:rFonts w:ascii="Calibri" w:hAnsi="Calibri" w:cs="Calibri"/>
        </w:rPr>
        <w:t> for the workforce data reporting. The link to submit the report through the Secretary of State’s web portal will be posted on the FAQs page when it’s available.</w:t>
      </w:r>
    </w:p>
    <w:p w14:paraId="33D6A63E" w14:textId="77777777" w:rsidR="00BD445F" w:rsidRPr="00DD7BD1" w:rsidRDefault="00BD445F" w:rsidP="00BD445F">
      <w:pPr>
        <w:spacing w:after="0" w:line="240" w:lineRule="auto"/>
        <w:rPr>
          <w:rFonts w:ascii="Calibri" w:hAnsi="Calibri" w:cs="Calibri"/>
          <w:b/>
          <w:bCs/>
          <w:sz w:val="16"/>
          <w:szCs w:val="16"/>
        </w:rPr>
      </w:pPr>
    </w:p>
    <w:p w14:paraId="4CB45B95"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Enforcement and Penalties</w:t>
      </w:r>
    </w:p>
    <w:p w14:paraId="3E2A52C6" w14:textId="77777777" w:rsidR="00BD445F" w:rsidRPr="00DD7BD1" w:rsidRDefault="00BD445F" w:rsidP="00BD445F">
      <w:pPr>
        <w:spacing w:after="0" w:line="240" w:lineRule="auto"/>
        <w:rPr>
          <w:rFonts w:ascii="Calibri" w:hAnsi="Calibri" w:cs="Calibri"/>
        </w:rPr>
      </w:pPr>
      <w:r w:rsidRPr="00DD7BD1">
        <w:rPr>
          <w:rFonts w:ascii="Calibri" w:hAnsi="Calibri" w:cs="Calibri"/>
        </w:rPr>
        <w:t>The law grants the Massachusetts Attorney General’s office exclusive authority to enforce its provisions. Employers found in violation of the law will face the following penalties:</w:t>
      </w:r>
    </w:p>
    <w:p w14:paraId="78B64221"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First offense:</w:t>
      </w:r>
      <w:r w:rsidRPr="00DD7BD1">
        <w:rPr>
          <w:rFonts w:ascii="Calibri" w:hAnsi="Calibri" w:cs="Calibri"/>
        </w:rPr>
        <w:t> A warning</w:t>
      </w:r>
    </w:p>
    <w:p w14:paraId="0313E1C8"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Second offense:</w:t>
      </w:r>
      <w:r w:rsidRPr="00DD7BD1">
        <w:rPr>
          <w:rFonts w:ascii="Calibri" w:hAnsi="Calibri" w:cs="Calibri"/>
        </w:rPr>
        <w:t> A fine of up to $500</w:t>
      </w:r>
    </w:p>
    <w:p w14:paraId="2CC95773"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Third offense:</w:t>
      </w:r>
      <w:r w:rsidRPr="00DD7BD1">
        <w:rPr>
          <w:rFonts w:ascii="Calibri" w:hAnsi="Calibri" w:cs="Calibri"/>
        </w:rPr>
        <w:t> A fine of up to $1,000</w:t>
      </w:r>
    </w:p>
    <w:p w14:paraId="432CAD8C"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Subsequent offenses:</w:t>
      </w:r>
      <w:r w:rsidRPr="00DD7BD1">
        <w:rPr>
          <w:rFonts w:ascii="Calibri" w:hAnsi="Calibri" w:cs="Calibri"/>
        </w:rPr>
        <w:t> Fines that escalate per Massachusetts labor laws, potentially reaching up to $25,000.</w:t>
      </w:r>
    </w:p>
    <w:p w14:paraId="240AAB61" w14:textId="77777777" w:rsidR="00BD445F" w:rsidRPr="00DD7BD1" w:rsidRDefault="00BD445F" w:rsidP="00BD445F">
      <w:pPr>
        <w:spacing w:after="0" w:line="240" w:lineRule="auto"/>
        <w:rPr>
          <w:rFonts w:ascii="Calibri" w:hAnsi="Calibri" w:cs="Calibri"/>
        </w:rPr>
      </w:pPr>
      <w:r w:rsidRPr="00DD7BD1">
        <w:rPr>
          <w:rFonts w:ascii="Calibri" w:hAnsi="Calibri" w:cs="Calibri"/>
        </w:rPr>
        <w:t>For the first two years of the law’s implementation, employers will have a two-day grace period to correct violations without facing penalties.</w:t>
      </w:r>
    </w:p>
    <w:p w14:paraId="62FB2896" w14:textId="77777777" w:rsidR="00BD445F" w:rsidRPr="00DD7BD1" w:rsidRDefault="00BD445F" w:rsidP="003B29FD">
      <w:pPr>
        <w:spacing w:after="0" w:line="240" w:lineRule="auto"/>
        <w:jc w:val="center"/>
        <w:rPr>
          <w:rFonts w:ascii="Calibri" w:hAnsi="Calibri" w:cs="Calibri"/>
          <w:b/>
          <w:bCs/>
          <w:shd w:val="clear" w:color="auto" w:fill="FFFFFF"/>
        </w:rPr>
      </w:pPr>
      <w:bookmarkStart w:id="105" w:name="_Hlk212723710"/>
    </w:p>
    <w:p w14:paraId="65F0654F" w14:textId="34E8D333" w:rsidR="003B29FD" w:rsidRPr="00DD7BD1" w:rsidRDefault="003B29FD" w:rsidP="003B29FD">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PFML Rate Sheets &amp; Employee Notices – </w:t>
      </w:r>
      <w:r w:rsidRPr="00DD7BD1">
        <w:rPr>
          <w:rFonts w:ascii="Calibri" w:hAnsi="Calibri" w:cs="Calibri"/>
          <w:b/>
          <w:bCs/>
          <w:color w:val="C00000"/>
          <w:sz w:val="28"/>
          <w:szCs w:val="28"/>
          <w:shd w:val="clear" w:color="auto" w:fill="FFFFFF"/>
        </w:rPr>
        <w:t>Dec 2, 2024</w:t>
      </w:r>
    </w:p>
    <w:p w14:paraId="526B6FEC"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Massachusetts Department of Family and Medical Leave has </w:t>
      </w:r>
      <w:hyperlink r:id="rId751" w:history="1">
        <w:r w:rsidRPr="00DD7BD1">
          <w:rPr>
            <w:rStyle w:val="Hyperlink"/>
            <w:rFonts w:ascii="Calibri" w:hAnsi="Calibri" w:cs="Calibri"/>
            <w:shd w:val="clear" w:color="auto" w:fill="FFFFFF"/>
          </w:rPr>
          <w:t>issued</w:t>
        </w:r>
      </w:hyperlink>
      <w:r w:rsidRPr="00DD7BD1">
        <w:rPr>
          <w:rFonts w:ascii="Calibri" w:hAnsi="Calibri" w:cs="Calibri"/>
          <w:shd w:val="clear" w:color="auto" w:fill="FFFFFF"/>
        </w:rPr>
        <w:t xml:space="preserve"> updated rate sheets, notices and a workplace poster for 2025. </w:t>
      </w:r>
    </w:p>
    <w:p w14:paraId="7EB1A3F8" w14:textId="77777777" w:rsidR="003B29FD" w:rsidRPr="00DD7BD1" w:rsidRDefault="003B29FD" w:rsidP="003B29FD">
      <w:pPr>
        <w:spacing w:after="0" w:line="240" w:lineRule="auto"/>
        <w:rPr>
          <w:rFonts w:ascii="Calibri" w:hAnsi="Calibri" w:cs="Calibri"/>
          <w:sz w:val="16"/>
          <w:szCs w:val="16"/>
          <w:shd w:val="clear" w:color="auto" w:fill="FFFFFF"/>
        </w:rPr>
      </w:pPr>
    </w:p>
    <w:p w14:paraId="7FEC6F3B"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DD7BD1">
        <w:rPr>
          <w:rFonts w:ascii="Calibri" w:hAnsi="Calibri" w:cs="Calibri"/>
          <w:b/>
          <w:bCs/>
          <w:shd w:val="clear" w:color="auto" w:fill="FFFFFF"/>
        </w:rPr>
        <w:t>Dec. 2, 2024</w:t>
      </w:r>
      <w:r w:rsidRPr="00DD7BD1">
        <w:rPr>
          <w:rFonts w:ascii="Calibri" w:hAnsi="Calibri" w:cs="Calibri"/>
          <w:shd w:val="clear" w:color="auto" w:fill="FFFFFF"/>
        </w:rPr>
        <w:t xml:space="preserve">.  Employers must provide each new hire with a </w:t>
      </w:r>
      <w:hyperlink r:id="rId752" w:anchor="2023" w:history="1">
        <w:r w:rsidRPr="00DD7BD1">
          <w:rPr>
            <w:rStyle w:val="Hyperlink"/>
            <w:rFonts w:ascii="Calibri" w:hAnsi="Calibri" w:cs="Calibri"/>
            <w:bCs/>
            <w:shd w:val="clear" w:color="auto" w:fill="FFFFFF"/>
          </w:rPr>
          <w:t>written notice</w:t>
        </w:r>
      </w:hyperlink>
      <w:r w:rsidRPr="00DD7BD1">
        <w:rPr>
          <w:rFonts w:ascii="Calibri" w:hAnsi="Calibri" w:cs="Calibri"/>
          <w:shd w:val="clear" w:color="auto" w:fill="FFFFFF"/>
        </w:rPr>
        <w:t xml:space="preserve"> about PFML </w:t>
      </w:r>
      <w:r w:rsidRPr="00DD7BD1">
        <w:rPr>
          <w:rFonts w:ascii="Calibri" w:hAnsi="Calibri" w:cs="Calibri"/>
          <w:b/>
          <w:shd w:val="clear" w:color="auto" w:fill="FFFFFF"/>
        </w:rPr>
        <w:t>within 30 days from the employee’s start date</w:t>
      </w:r>
      <w:r w:rsidRPr="00DD7BD1">
        <w:rPr>
          <w:rFonts w:ascii="Calibri" w:hAnsi="Calibri" w:cs="Calibri"/>
          <w:shd w:val="clear" w:color="auto" w:fill="FFFFFF"/>
        </w:rPr>
        <w:t xml:space="preserve">. The employer must obtain the employee’s </w:t>
      </w:r>
      <w:r w:rsidRPr="00DD7BD1">
        <w:rPr>
          <w:rFonts w:ascii="Calibri" w:hAnsi="Calibri" w:cs="Calibri"/>
          <w:b/>
          <w:shd w:val="clear" w:color="auto" w:fill="FFFFFF"/>
        </w:rPr>
        <w:t>written acknowledgment of receipt</w:t>
      </w:r>
      <w:r w:rsidRPr="00DD7BD1">
        <w:rPr>
          <w:rFonts w:ascii="Calibri" w:hAnsi="Calibri" w:cs="Calibri"/>
          <w:shd w:val="clear" w:color="auto" w:fill="FFFFFF"/>
        </w:rPr>
        <w:t xml:space="preserve"> or have the employee sign a statement that they refused to sign the acknowledgment.</w:t>
      </w:r>
    </w:p>
    <w:p w14:paraId="2C741A4E" w14:textId="77777777" w:rsidR="003B29FD" w:rsidRPr="00DD7BD1" w:rsidRDefault="003B29FD" w:rsidP="003B29FD">
      <w:pPr>
        <w:spacing w:after="0" w:line="240" w:lineRule="auto"/>
        <w:rPr>
          <w:rFonts w:ascii="Calibri" w:hAnsi="Calibri" w:cs="Calibri"/>
          <w:sz w:val="16"/>
          <w:szCs w:val="16"/>
          <w:shd w:val="clear" w:color="auto" w:fill="FFFFFF"/>
        </w:rPr>
      </w:pPr>
    </w:p>
    <w:p w14:paraId="7D21DD27"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DD7BD1" w:rsidRDefault="003B29FD" w:rsidP="003B29FD">
      <w:pPr>
        <w:spacing w:after="0" w:line="240" w:lineRule="auto"/>
        <w:rPr>
          <w:rFonts w:ascii="Calibri" w:hAnsi="Calibri" w:cs="Calibri"/>
          <w:sz w:val="16"/>
          <w:szCs w:val="16"/>
          <w:shd w:val="clear" w:color="auto" w:fill="FFFFFF"/>
        </w:rPr>
      </w:pPr>
    </w:p>
    <w:p w14:paraId="5D64867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53" w:anchor="rate-sheets-for-employers-" w:history="1">
        <w:r w:rsidRPr="00DD7BD1">
          <w:rPr>
            <w:rStyle w:val="Hyperlink"/>
            <w:rFonts w:ascii="Calibri" w:hAnsi="Calibri" w:cs="Calibri"/>
            <w:b/>
            <w:bCs/>
            <w:shd w:val="clear" w:color="auto" w:fill="FFFFFF"/>
          </w:rPr>
          <w:t>2025 Rate Sheet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Workers must be apprised of the 2025 PFML contribution rate by Dec. 2, 2024.</w:t>
      </w:r>
    </w:p>
    <w:p w14:paraId="74879C8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54" w:anchor="workplace-poster-" w:history="1">
        <w:r w:rsidRPr="00DD7BD1">
          <w:rPr>
            <w:rStyle w:val="Hyperlink"/>
            <w:rFonts w:ascii="Calibri" w:hAnsi="Calibri" w:cs="Calibri"/>
            <w:b/>
            <w:bCs/>
            <w:shd w:val="clear" w:color="auto" w:fill="FFFFFF"/>
          </w:rPr>
          <w:t>2025 Employee Notice</w:t>
        </w:r>
      </w:hyperlink>
      <w:r w:rsidRPr="00DD7BD1">
        <w:rPr>
          <w:rFonts w:ascii="Calibri" w:hAnsi="Calibri" w:cs="Calibri"/>
          <w:b/>
          <w:bCs/>
          <w:color w:val="C00000"/>
          <w:shd w:val="clear" w:color="auto" w:fill="FFFFFF"/>
        </w:rPr>
        <w: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Different forms of the notice are available for different types of employers.</w:t>
      </w:r>
    </w:p>
    <w:p w14:paraId="118CFFAD"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55" w:history="1">
        <w:r w:rsidRPr="00DD7BD1">
          <w:rPr>
            <w:rStyle w:val="Hyperlink"/>
            <w:rFonts w:ascii="Calibri" w:hAnsi="Calibri" w:cs="Calibri"/>
            <w:b/>
            <w:bCs/>
            <w:shd w:val="clear" w:color="auto" w:fill="FFFFFF"/>
          </w:rPr>
          <w:t>2025 Workplace Poster</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The poster must be displayed in the workplace.</w:t>
      </w:r>
    </w:p>
    <w:p w14:paraId="69394379" w14:textId="77777777" w:rsidR="003B29FD" w:rsidRPr="00DD7BD1" w:rsidRDefault="003B29FD" w:rsidP="003B29FD">
      <w:pPr>
        <w:spacing w:after="0" w:line="240" w:lineRule="auto"/>
        <w:rPr>
          <w:rFonts w:ascii="Calibri" w:hAnsi="Calibri" w:cs="Calibri"/>
          <w:sz w:val="16"/>
          <w:szCs w:val="16"/>
          <w:shd w:val="clear" w:color="auto" w:fill="FFFFFF"/>
        </w:rPr>
      </w:pPr>
    </w:p>
    <w:p w14:paraId="54DE5891"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w:t>
      </w:r>
      <w:r w:rsidRPr="00DD7BD1">
        <w:rPr>
          <w:rFonts w:ascii="Calibri" w:hAnsi="Calibri" w:cs="Calibri"/>
          <w:color w:val="595959"/>
          <w:szCs w:val="20"/>
        </w:rPr>
        <w:t xml:space="preserve"> </w:t>
      </w:r>
      <w:r w:rsidRPr="00DD7BD1">
        <w:rPr>
          <w:rFonts w:ascii="Calibri" w:hAnsi="Calibri" w:cs="Calibri"/>
          <w:shd w:val="clear" w:color="auto" w:fill="FFFFFF"/>
        </w:rPr>
        <w:t>The department publishes separate notices for employers with 25 or more covered individuals, fewer than 25 covered individuals, 25 or more self-employed individuals, and fewer than 25 self-employed individuals.</w:t>
      </w:r>
    </w:p>
    <w:bookmarkEnd w:id="105"/>
    <w:p w14:paraId="70F883D2"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rPr>
        <w:t>Details included in the attached resource</w:t>
      </w:r>
    </w:p>
    <w:p w14:paraId="08E604A1" w14:textId="77777777" w:rsidR="003B29FD" w:rsidRPr="00DD7BD1" w:rsidRDefault="003B29FD" w:rsidP="003B29FD">
      <w:pPr>
        <w:spacing w:after="0" w:line="240" w:lineRule="auto"/>
        <w:rPr>
          <w:rFonts w:ascii="Calibri" w:hAnsi="Calibri" w:cs="Calibri"/>
          <w:b/>
          <w:bCs/>
          <w:sz w:val="20"/>
          <w:szCs w:val="20"/>
          <w:shd w:val="clear" w:color="auto" w:fill="FFFFFF"/>
        </w:rPr>
      </w:pPr>
    </w:p>
    <w:p w14:paraId="7B4C5958" w14:textId="77777777"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rPr>
      </w:pPr>
      <w:bookmarkStart w:id="106" w:name="_Hlk212723608"/>
      <w:r w:rsidRPr="00DD7BD1">
        <w:rPr>
          <w:rFonts w:ascii="Calibri" w:hAnsi="Calibri" w:cs="Calibri"/>
          <w:b/>
          <w:bCs/>
          <w:sz w:val="28"/>
          <w:szCs w:val="28"/>
          <w:shd w:val="clear" w:color="auto" w:fill="FFFFFF"/>
        </w:rPr>
        <w:t xml:space="preserve">Employers Must Complete HIRD Form - </w:t>
      </w:r>
      <w:r w:rsidRPr="00DD7BD1">
        <w:rPr>
          <w:rFonts w:ascii="Calibri" w:hAnsi="Calibri" w:cs="Calibri"/>
          <w:b/>
          <w:bCs/>
          <w:color w:val="C00000"/>
          <w:sz w:val="28"/>
          <w:szCs w:val="28"/>
          <w:shd w:val="clear" w:color="auto" w:fill="FFFFFF"/>
        </w:rPr>
        <w:t>Dec 15, 2024</w:t>
      </w:r>
    </w:p>
    <w:p w14:paraId="3B0C8266" w14:textId="77777777" w:rsidR="003B29FD" w:rsidRPr="00DD7BD1" w:rsidRDefault="003B29FD" w:rsidP="003B29FD">
      <w:pPr>
        <w:spacing w:after="0" w:line="240" w:lineRule="auto"/>
        <w:rPr>
          <w:rFonts w:ascii="Calibri" w:hAnsi="Calibri" w:cs="Calibri"/>
          <w:bCs/>
          <w:shd w:val="clear" w:color="auto" w:fill="FFFFFF"/>
        </w:rPr>
      </w:pPr>
      <w:r w:rsidRPr="00DD7BD1">
        <w:rPr>
          <w:rFonts w:ascii="Calibri" w:hAnsi="Calibri" w:cs="Calibri"/>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DD7BD1">
        <w:rPr>
          <w:rFonts w:ascii="Calibri" w:hAnsi="Calibri" w:cs="Calibri"/>
          <w:bCs/>
          <w:u w:val="single"/>
          <w:shd w:val="clear" w:color="auto" w:fill="FFFFFF"/>
        </w:rPr>
        <w:t>starting Nov. 15</w:t>
      </w:r>
      <w:r w:rsidRPr="00DD7BD1">
        <w:rPr>
          <w:rFonts w:ascii="Calibri" w:hAnsi="Calibri" w:cs="Calibri"/>
          <w:bCs/>
          <w:shd w:val="clear" w:color="auto" w:fill="FFFFFF"/>
        </w:rPr>
        <w:t xml:space="preserve"> and must be completed by </w:t>
      </w:r>
      <w:r w:rsidRPr="00DD7BD1">
        <w:rPr>
          <w:rFonts w:ascii="Calibri" w:hAnsi="Calibri" w:cs="Calibri"/>
          <w:bCs/>
          <w:color w:val="C00000"/>
          <w:shd w:val="clear" w:color="auto" w:fill="FFFFFF"/>
        </w:rPr>
        <w:t>Dec. 15, 2024</w:t>
      </w:r>
      <w:r w:rsidRPr="00DD7BD1">
        <w:rPr>
          <w:rFonts w:ascii="Calibri" w:hAnsi="Calibri" w:cs="Calibri"/>
          <w:bCs/>
          <w:shd w:val="clear" w:color="auto" w:fill="FFFFFF"/>
        </w:rPr>
        <w:t>.</w:t>
      </w:r>
    </w:p>
    <w:p w14:paraId="69F35F97" w14:textId="77777777" w:rsidR="003B29FD" w:rsidRPr="00DD7BD1" w:rsidRDefault="003B29FD" w:rsidP="003B29FD">
      <w:pPr>
        <w:spacing w:after="0" w:line="240" w:lineRule="auto"/>
        <w:rPr>
          <w:rFonts w:ascii="Calibri" w:hAnsi="Calibri" w:cs="Calibri"/>
          <w:b/>
          <w:bCs/>
          <w:color w:val="C00000"/>
          <w:sz w:val="16"/>
          <w:szCs w:val="16"/>
          <w:shd w:val="clear" w:color="auto" w:fill="FFFFFF"/>
        </w:rPr>
      </w:pPr>
    </w:p>
    <w:p w14:paraId="38A70A35"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Dec. 15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Covered employers must electronically complete the </w:t>
      </w:r>
      <w:r w:rsidRPr="00DD7BD1">
        <w:rPr>
          <w:rFonts w:ascii="Calibri" w:hAnsi="Calibri" w:cs="Calibri"/>
          <w:b/>
          <w:bCs/>
          <w:shd w:val="clear" w:color="auto" w:fill="FFFFFF"/>
        </w:rPr>
        <w:t>HIRD form</w:t>
      </w:r>
      <w:r w:rsidRPr="00DD7BD1">
        <w:rPr>
          <w:rFonts w:ascii="Calibri" w:hAnsi="Calibri" w:cs="Calibri"/>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Jan. 31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Employers that sponsor an employer-sponsored health plan must provide </w:t>
      </w:r>
      <w:r w:rsidRPr="00DD7BD1">
        <w:rPr>
          <w:rFonts w:ascii="Calibri" w:hAnsi="Calibri" w:cs="Calibri"/>
          <w:b/>
          <w:bCs/>
          <w:shd w:val="clear" w:color="auto" w:fill="FFFFFF"/>
        </w:rPr>
        <w:t>Form 1099-HC</w:t>
      </w:r>
      <w:r w:rsidRPr="00DD7BD1">
        <w:rPr>
          <w:rFonts w:ascii="Calibri" w:hAnsi="Calibri" w:cs="Calibri"/>
          <w:bCs/>
          <w:shd w:val="clear" w:color="auto" w:fill="FFFFFF"/>
        </w:rPr>
        <w:t xml:space="preserve"> by Jan. 31 of each year. Most carriers will issue this form on behalf of employers.</w:t>
      </w:r>
    </w:p>
    <w:p w14:paraId="4BFB3B5F" w14:textId="77777777" w:rsidR="003B29FD" w:rsidRPr="00DD7BD1" w:rsidRDefault="003B29FD" w:rsidP="003B29FD">
      <w:pPr>
        <w:spacing w:after="0" w:line="240" w:lineRule="auto"/>
        <w:rPr>
          <w:rFonts w:ascii="Calibri" w:hAnsi="Calibri" w:cs="Calibri"/>
        </w:rPr>
      </w:pPr>
      <w:r w:rsidRPr="00DD7BD1">
        <w:rPr>
          <w:rFonts w:ascii="Calibri" w:hAnsi="Calibri" w:cs="Calibri"/>
        </w:rPr>
        <w:t>Details included in the attached resource and will also be communicated in advance of the effective date</w:t>
      </w:r>
    </w:p>
    <w:p w14:paraId="22D1E9CB" w14:textId="77777777" w:rsidR="00A83553" w:rsidRPr="00DD7BD1" w:rsidRDefault="00A83553" w:rsidP="00503F70">
      <w:pPr>
        <w:spacing w:after="0" w:line="240" w:lineRule="auto"/>
        <w:rPr>
          <w:rFonts w:ascii="Calibri" w:hAnsi="Calibri" w:cs="Calibri"/>
          <w:b/>
          <w:bCs/>
          <w:sz w:val="28"/>
          <w:szCs w:val="28"/>
          <w:shd w:val="clear" w:color="auto" w:fill="FFFFFF"/>
          <w:lang w:val="en"/>
        </w:rPr>
      </w:pPr>
      <w:bookmarkStart w:id="107" w:name="_Hlk183179687"/>
      <w:bookmarkEnd w:id="106"/>
    </w:p>
    <w:p w14:paraId="5E956DBB" w14:textId="49502616" w:rsidR="00CD70B8" w:rsidRPr="00DD7BD1" w:rsidRDefault="00CD70B8" w:rsidP="00CD70B8">
      <w:pPr>
        <w:spacing w:after="0" w:line="240" w:lineRule="auto"/>
        <w:jc w:val="center"/>
        <w:rPr>
          <w:rFonts w:ascii="Calibri" w:hAnsi="Calibri" w:cs="Calibri"/>
          <w:b/>
          <w:bCs/>
          <w:color w:val="C00000"/>
          <w:sz w:val="28"/>
          <w:szCs w:val="28"/>
          <w:shd w:val="clear" w:color="auto" w:fill="FFFFFF"/>
          <w:lang w:val="en"/>
        </w:rPr>
      </w:pPr>
      <w:bookmarkStart w:id="108" w:name="_Hlk212723652"/>
      <w:r w:rsidRPr="00DD7BD1">
        <w:rPr>
          <w:rFonts w:ascii="Calibri" w:hAnsi="Calibri" w:cs="Calibri"/>
          <w:b/>
          <w:bCs/>
          <w:sz w:val="28"/>
          <w:szCs w:val="28"/>
          <w:shd w:val="clear" w:color="auto" w:fill="FFFFFF"/>
          <w:lang w:val="en"/>
        </w:rPr>
        <w:t xml:space="preserve">Amended State Earned Sick Time to Cover </w:t>
      </w:r>
      <w:r w:rsidRPr="00DD7BD1">
        <w:rPr>
          <w:rFonts w:ascii="Calibri" w:hAnsi="Calibri" w:cs="Calibri"/>
          <w:b/>
          <w:bCs/>
          <w:sz w:val="28"/>
          <w:szCs w:val="28"/>
          <w:shd w:val="clear" w:color="auto" w:fill="FFFFFF"/>
        </w:rPr>
        <w:t xml:space="preserve">Reproductive Loss – </w:t>
      </w:r>
      <w:r w:rsidRPr="00DD7BD1">
        <w:rPr>
          <w:rFonts w:ascii="Calibri" w:hAnsi="Calibri" w:cs="Calibri"/>
          <w:b/>
          <w:bCs/>
          <w:color w:val="C00000"/>
          <w:sz w:val="28"/>
          <w:szCs w:val="28"/>
          <w:shd w:val="clear" w:color="auto" w:fill="FFFFFF"/>
        </w:rPr>
        <w:t>Nov 21, 2024</w:t>
      </w:r>
    </w:p>
    <w:bookmarkEnd w:id="107"/>
    <w:p w14:paraId="259F9433"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Massachusetts has amended its earned sick time </w:t>
      </w:r>
      <w:hyperlink r:id="rId756" w:history="1">
        <w:r w:rsidRPr="00DD7BD1">
          <w:rPr>
            <w:rStyle w:val="Hyperlink"/>
            <w:rFonts w:ascii="Calibri" w:hAnsi="Calibri" w:cs="Calibri"/>
            <w:shd w:val="clear" w:color="auto" w:fill="FFFFFF"/>
          </w:rPr>
          <w:t>law</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to provide leave for employees experiencing reproductive loss. The </w:t>
      </w:r>
      <w:hyperlink r:id="rId757" w:history="1">
        <w:r w:rsidRPr="00DD7BD1">
          <w:rPr>
            <w:rStyle w:val="Hyperlink"/>
            <w:rFonts w:ascii="Calibri" w:hAnsi="Calibri" w:cs="Calibri"/>
            <w:shd w:val="clear" w:color="auto" w:fill="FFFFFF"/>
          </w:rPr>
          <w:t>amendment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takes effect Nov. 21, 2024.</w:t>
      </w:r>
    </w:p>
    <w:p w14:paraId="76052644" w14:textId="77777777" w:rsidR="00CD70B8" w:rsidRPr="00DD7BD1" w:rsidRDefault="00CD70B8" w:rsidP="00CD70B8">
      <w:pPr>
        <w:spacing w:after="0" w:line="240" w:lineRule="auto"/>
        <w:rPr>
          <w:rFonts w:ascii="Calibri" w:hAnsi="Calibri" w:cs="Calibri"/>
          <w:shd w:val="clear" w:color="auto" w:fill="FFFFFF"/>
        </w:rPr>
      </w:pPr>
    </w:p>
    <w:p w14:paraId="3E99F25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Pr="00DD7BD1" w:rsidRDefault="00CD70B8" w:rsidP="00CD70B8">
      <w:pPr>
        <w:spacing w:after="0" w:line="240" w:lineRule="auto"/>
        <w:rPr>
          <w:rFonts w:ascii="Calibri" w:hAnsi="Calibri" w:cs="Calibri"/>
          <w:color w:val="C00000"/>
          <w:shd w:val="clear" w:color="auto" w:fill="FFFFFF"/>
        </w:rPr>
      </w:pPr>
    </w:p>
    <w:p w14:paraId="1BBE3DF6" w14:textId="21B4E5C6" w:rsidR="00CD70B8" w:rsidRPr="00DD7BD1" w:rsidRDefault="00CD70B8" w:rsidP="00CD70B8">
      <w:pPr>
        <w:spacing w:after="0" w:line="240" w:lineRule="auto"/>
        <w:rPr>
          <w:rFonts w:ascii="Calibri" w:hAnsi="Calibri" w:cs="Calibri"/>
          <w:color w:val="C00000"/>
          <w:shd w:val="clear" w:color="auto" w:fill="FFFFFF"/>
        </w:rPr>
      </w:pPr>
      <w:r w:rsidRPr="00DD7BD1">
        <w:rPr>
          <w:rFonts w:ascii="Calibri" w:hAnsi="Calibri" w:cs="Calibri"/>
          <w:b/>
          <w:bCs/>
          <w:highlight w:val="lightGray"/>
          <w:shd w:val="clear" w:color="auto" w:fill="FFFFFF"/>
        </w:rPr>
        <w:t>Employer Reminder:</w:t>
      </w:r>
      <w:r w:rsidRPr="00DD7BD1">
        <w:rPr>
          <w:rFonts w:ascii="Calibri" w:hAnsi="Calibri" w:cs="Calibri"/>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DD7BD1">
        <w:rPr>
          <w:rFonts w:ascii="Calibri" w:hAnsi="Calibri" w:cs="Calibri"/>
          <w:shd w:val="clear" w:color="auto" w:fill="FFFFFF"/>
        </w:rPr>
        <w:tab/>
      </w:r>
    </w:p>
    <w:bookmarkEnd w:id="108"/>
    <w:p w14:paraId="6C5BBC50" w14:textId="09B77E80"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MA 2025 PFML Benefit to Increase – </w:t>
      </w:r>
      <w:r w:rsidRPr="00DD7BD1">
        <w:rPr>
          <w:rFonts w:ascii="Calibri" w:hAnsi="Calibri" w:cs="Calibri"/>
          <w:b/>
          <w:bCs/>
          <w:color w:val="C00000"/>
          <w:sz w:val="28"/>
          <w:szCs w:val="28"/>
          <w:shd w:val="clear" w:color="auto" w:fill="FFFFFF"/>
        </w:rPr>
        <w:t>2025</w:t>
      </w:r>
    </w:p>
    <w:p w14:paraId="2F97689F" w14:textId="5F7CA0B5" w:rsidR="00CD70B8" w:rsidRPr="00DD7BD1" w:rsidRDefault="00CD70B8"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Massachusetts paid family and medical leave (PFML) </w:t>
      </w:r>
      <w:hyperlink r:id="rId758" w:anchor="2024-" w:history="1">
        <w:r w:rsidRPr="00DD7BD1">
          <w:rPr>
            <w:rStyle w:val="Hyperlink"/>
            <w:rFonts w:ascii="Calibri" w:hAnsi="Calibri" w:cs="Calibri"/>
            <w:shd w:val="clear" w:color="auto" w:fill="FFFFFF"/>
          </w:rPr>
          <w:t>contribution</w:t>
        </w:r>
      </w:hyperlink>
      <w:r w:rsidRPr="00DD7BD1">
        <w:rPr>
          <w:rFonts w:ascii="Calibri" w:hAnsi="Calibri" w:cs="Calibri"/>
          <w:color w:val="2E74B5" w:themeColor="accent5" w:themeShade="BF"/>
          <w:u w:val="single"/>
          <w:shd w:val="clear" w:color="auto" w:fill="FFFFFF"/>
        </w:rPr>
        <w:t xml:space="preserve"> </w:t>
      </w:r>
      <w:r w:rsidRPr="00DD7BD1">
        <w:rPr>
          <w:rFonts w:ascii="Calibri" w:hAnsi="Calibri" w:cs="Calibri"/>
          <w:u w:val="single"/>
          <w:shd w:val="clear" w:color="auto" w:fill="FFFFFF"/>
        </w:rPr>
        <w:t>rates</w:t>
      </w:r>
      <w:r w:rsidRPr="00DD7BD1">
        <w:rPr>
          <w:rFonts w:ascii="Calibri" w:hAnsi="Calibri" w:cs="Calibri"/>
          <w:shd w:val="clear" w:color="auto" w:fill="FFFFFF"/>
        </w:rPr>
        <w:t xml:space="preserve"> will remain at their 2024 levels for 2025, but the maximum employee </w:t>
      </w:r>
      <w:hyperlink r:id="rId759" w:history="1">
        <w:r w:rsidRPr="00DD7BD1">
          <w:rPr>
            <w:rStyle w:val="Hyperlink"/>
            <w:rFonts w:ascii="Calibri" w:hAnsi="Calibri" w:cs="Calibri"/>
            <w:shd w:val="clear" w:color="auto" w:fill="FFFFFF"/>
          </w:rPr>
          <w:t>benefit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DD7BD1" w:rsidRDefault="00CD70B8" w:rsidP="001C5F42">
      <w:pPr>
        <w:spacing w:after="0" w:line="240" w:lineRule="auto"/>
        <w:rPr>
          <w:rFonts w:ascii="Calibri" w:hAnsi="Calibri" w:cs="Calibri"/>
          <w:color w:val="2E74B5" w:themeColor="accent5" w:themeShade="BF"/>
          <w:shd w:val="clear" w:color="auto" w:fill="FFFFFF"/>
        </w:rPr>
      </w:pPr>
    </w:p>
    <w:p w14:paraId="03963DA4" w14:textId="77777777" w:rsidR="001A2C87" w:rsidRPr="00DD7BD1" w:rsidRDefault="001A2C87" w:rsidP="001A2C87">
      <w:pPr>
        <w:pStyle w:val="MainTitle"/>
        <w:spacing w:after="0" w:line="240" w:lineRule="auto"/>
        <w:jc w:val="center"/>
        <w:rPr>
          <w:rFonts w:ascii="Calibri" w:hAnsi="Calibri" w:cs="Calibri"/>
          <w:color w:val="auto"/>
          <w:sz w:val="28"/>
          <w:szCs w:val="28"/>
        </w:rPr>
      </w:pPr>
      <w:r w:rsidRPr="00DD7BD1">
        <w:rPr>
          <w:rFonts w:ascii="Calibri" w:hAnsi="Calibri" w:cs="Calibri"/>
          <w:color w:val="auto"/>
          <w:sz w:val="28"/>
          <w:szCs w:val="28"/>
          <w:shd w:val="clear" w:color="auto" w:fill="FFFFFF"/>
          <w:lang w:val="en"/>
        </w:rPr>
        <w:t xml:space="preserve">State’s Supreme </w:t>
      </w:r>
      <w:r w:rsidRPr="00DD7BD1">
        <w:rPr>
          <w:rFonts w:ascii="Calibri" w:hAnsi="Calibri" w:cs="Calibri"/>
          <w:color w:val="auto"/>
          <w:sz w:val="28"/>
          <w:szCs w:val="28"/>
        </w:rPr>
        <w:t>Judicial Court Rules Leave Does Not Accrue During PFML</w:t>
      </w:r>
    </w:p>
    <w:p w14:paraId="35C77646" w14:textId="77777777" w:rsidR="001A2C87" w:rsidRPr="00DD7BD1" w:rsidRDefault="001A2C87" w:rsidP="001A2C87">
      <w:pPr>
        <w:pStyle w:val="Bullet"/>
        <w:numPr>
          <w:ilvl w:val="0"/>
          <w:numId w:val="0"/>
        </w:numPr>
        <w:rPr>
          <w:rFonts w:cs="Calibri"/>
          <w:color w:val="auto"/>
          <w:szCs w:val="22"/>
        </w:rPr>
      </w:pPr>
      <w:r w:rsidRPr="00DD7BD1">
        <w:rPr>
          <w:rFonts w:cs="Calibri"/>
          <w:color w:val="auto"/>
          <w:szCs w:val="22"/>
          <w:shd w:val="clear" w:color="auto" w:fill="FFFFFF"/>
          <w:lang w:val="en"/>
        </w:rPr>
        <w:t xml:space="preserve">As a point of clarity, </w:t>
      </w:r>
      <w:r w:rsidRPr="00DD7BD1">
        <w:rPr>
          <w:rFonts w:cs="Calibri"/>
          <w:color w:val="auto"/>
          <w:szCs w:val="22"/>
        </w:rPr>
        <w:t xml:space="preserve">the Massachusetts Supreme Judicial Court ruled on September 13, 2024, that the state’s paid family and medical leave (PFML) </w:t>
      </w:r>
      <w:hyperlink r:id="rId760" w:history="1">
        <w:r w:rsidRPr="00DD7BD1">
          <w:rPr>
            <w:rStyle w:val="Hyperlink"/>
            <w:rFonts w:cs="Calibri"/>
            <w:szCs w:val="22"/>
          </w:rPr>
          <w:t>law</w:t>
        </w:r>
      </w:hyperlink>
      <w:r w:rsidRPr="00DD7BD1">
        <w:rPr>
          <w:rFonts w:cs="Calibri"/>
          <w:szCs w:val="22"/>
        </w:rPr>
        <w:t xml:space="preserve"> </w:t>
      </w:r>
      <w:r w:rsidRPr="00DD7BD1">
        <w:rPr>
          <w:rFonts w:cs="Calibri"/>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Pr="00DD7BD1" w:rsidRDefault="001A2C87" w:rsidP="001A2C87">
      <w:pPr>
        <w:pStyle w:val="Bullet"/>
        <w:numPr>
          <w:ilvl w:val="0"/>
          <w:numId w:val="0"/>
        </w:numPr>
        <w:rPr>
          <w:rFonts w:cs="Calibri"/>
          <w:color w:val="auto"/>
          <w:szCs w:val="22"/>
        </w:rPr>
      </w:pPr>
    </w:p>
    <w:p w14:paraId="7C6D502C" w14:textId="77777777" w:rsidR="001A2C87" w:rsidRPr="00DD7BD1" w:rsidRDefault="001A2C87" w:rsidP="001A2C87">
      <w:pPr>
        <w:spacing w:after="0" w:line="240" w:lineRule="auto"/>
        <w:jc w:val="center"/>
        <w:rPr>
          <w:rFonts w:ascii="Calibri" w:hAnsi="Calibri" w:cs="Calibri"/>
          <w:b/>
          <w:bCs/>
          <w:sz w:val="27"/>
          <w:szCs w:val="27"/>
          <w:shd w:val="clear" w:color="auto" w:fill="FFFFFF"/>
          <w:lang w:val="en"/>
        </w:rPr>
      </w:pPr>
      <w:r w:rsidRPr="00DD7BD1">
        <w:rPr>
          <w:rFonts w:ascii="Calibri" w:hAnsi="Calibri" w:cs="Calibri"/>
          <w:b/>
          <w:bCs/>
          <w:sz w:val="27"/>
          <w:szCs w:val="27"/>
          <w:shd w:val="clear" w:color="auto" w:fill="FFFFFF"/>
          <w:lang w:val="en"/>
        </w:rPr>
        <w:t>State Enacts Pay Transparency (</w:t>
      </w:r>
      <w:r w:rsidRPr="00DD7BD1">
        <w:rPr>
          <w:rFonts w:ascii="Calibri" w:hAnsi="Calibri" w:cs="Calibri"/>
          <w:b/>
          <w:bCs/>
          <w:color w:val="C00000"/>
          <w:sz w:val="27"/>
          <w:szCs w:val="27"/>
          <w:shd w:val="clear" w:color="auto" w:fill="FFFFFF"/>
          <w:lang w:val="en"/>
        </w:rPr>
        <w:t>July 2025</w:t>
      </w:r>
      <w:r w:rsidRPr="00DD7BD1">
        <w:rPr>
          <w:rFonts w:ascii="Calibri" w:hAnsi="Calibri" w:cs="Calibri"/>
          <w:b/>
          <w:bCs/>
          <w:sz w:val="27"/>
          <w:szCs w:val="27"/>
          <w:shd w:val="clear" w:color="auto" w:fill="FFFFFF"/>
          <w:lang w:val="en"/>
        </w:rPr>
        <w:t>) &amp; Pay Data Reporting Law (</w:t>
      </w:r>
      <w:r w:rsidRPr="00DD7BD1">
        <w:rPr>
          <w:rFonts w:ascii="Calibri" w:hAnsi="Calibri" w:cs="Calibri"/>
          <w:b/>
          <w:bCs/>
          <w:color w:val="C00000"/>
          <w:sz w:val="27"/>
          <w:szCs w:val="27"/>
          <w:shd w:val="clear" w:color="auto" w:fill="FFFFFF"/>
          <w:lang w:val="en"/>
        </w:rPr>
        <w:t>Feb 2025)</w:t>
      </w:r>
    </w:p>
    <w:p w14:paraId="08A9923D"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July 31, 2024, Massachusetts enacted the </w:t>
      </w:r>
      <w:hyperlink r:id="rId761" w:history="1">
        <w:r w:rsidRPr="00DD7BD1">
          <w:rPr>
            <w:rStyle w:val="Hyperlink"/>
            <w:rFonts w:ascii="Calibri" w:hAnsi="Calibri" w:cs="Calibri"/>
          </w:rPr>
          <w:t>Frances Perkins Workplace Equity Act</w:t>
        </w:r>
      </w:hyperlink>
      <w:r w:rsidRPr="00DD7BD1">
        <w:rPr>
          <w:rFonts w:ascii="Calibri" w:hAnsi="Calibri" w:cs="Calibri"/>
        </w:rPr>
        <w:t xml:space="preserve">. This law requires employers with 100 or more employees to provide pay data reports to the Massachusetts state secretary effective </w:t>
      </w:r>
      <w:r w:rsidRPr="00DD7BD1">
        <w:rPr>
          <w:rFonts w:ascii="Calibri" w:hAnsi="Calibri" w:cs="Calibri"/>
          <w:b/>
          <w:bCs/>
        </w:rPr>
        <w:t>Feb. 1, 2025,</w:t>
      </w:r>
      <w:r w:rsidRPr="00DD7BD1">
        <w:rPr>
          <w:rFonts w:ascii="Calibri" w:hAnsi="Calibri" w:cs="Calibri"/>
        </w:rPr>
        <w:t xml:space="preserve"> and employers with 25 or more employees to disclose the pay range in job postings effective </w:t>
      </w:r>
      <w:r w:rsidRPr="00DD7BD1">
        <w:rPr>
          <w:rFonts w:ascii="Calibri" w:hAnsi="Calibri" w:cs="Calibri"/>
          <w:b/>
          <w:bCs/>
        </w:rPr>
        <w:t>July 31, 2025.</w:t>
      </w:r>
    </w:p>
    <w:p w14:paraId="6C5BD126"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19739857"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Data Reporting Requirements</w:t>
      </w:r>
      <w:r w:rsidRPr="00DD7BD1">
        <w:rPr>
          <w:rFonts w:ascii="Calibri" w:hAnsi="Calibri" w:cs="Calibri"/>
          <w:b/>
          <w:bCs/>
          <w:color w:val="auto"/>
          <w:sz w:val="22"/>
          <w:szCs w:val="22"/>
        </w:rPr>
        <w:t xml:space="preserve"> </w:t>
      </w:r>
    </w:p>
    <w:p w14:paraId="02A80D10"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Under the new law, all employers with </w:t>
      </w:r>
      <w:r w:rsidRPr="00DD7BD1">
        <w:rPr>
          <w:rFonts w:ascii="Calibri" w:hAnsi="Calibri" w:cs="Calibri"/>
          <w:b/>
          <w:bCs/>
          <w:u w:val="single"/>
        </w:rPr>
        <w:t>100 or more employees</w:t>
      </w:r>
      <w:r w:rsidRPr="00DD7BD1">
        <w:rPr>
          <w:rFonts w:ascii="Calibri" w:hAnsi="Calibri" w:cs="Calibri"/>
        </w:rPr>
        <w:t xml:space="preserve"> who are subject to federal equal employment opportunity (EEO) reporting requirements (i.e., required to file EEO-1, EEO-3, EEO-4 or EEO-5 data reports) </w:t>
      </w:r>
      <w:r w:rsidRPr="00DD7BD1">
        <w:rPr>
          <w:rFonts w:ascii="Calibri" w:hAnsi="Calibri" w:cs="Calibri"/>
          <w:u w:val="single"/>
        </w:rPr>
        <w:t>must provide a copy of their federal EEO data reports for the prior year to the Massachusetts state secretary by Feb. 1</w:t>
      </w:r>
      <w:r w:rsidRPr="00DD7BD1">
        <w:rPr>
          <w:rFonts w:ascii="Calibri" w:hAnsi="Calibri" w:cs="Calibri"/>
        </w:rPr>
        <w:t xml:space="preserve">. The reports must contain workforce demographic and pay data categorized by race, ethnicity, sex and job category. </w:t>
      </w:r>
    </w:p>
    <w:p w14:paraId="0409CEEC"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0753D861"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Transparency Requirements</w:t>
      </w:r>
    </w:p>
    <w:p w14:paraId="36A0C4E4"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 xml:space="preserve">Effective </w:t>
      </w:r>
      <w:r w:rsidRPr="00DD7BD1">
        <w:rPr>
          <w:rFonts w:cs="Calibri"/>
          <w:b/>
          <w:bCs/>
          <w:color w:val="auto"/>
          <w:szCs w:val="22"/>
        </w:rPr>
        <w:t>July 31, 2025</w:t>
      </w:r>
      <w:r w:rsidRPr="00DD7BD1">
        <w:rPr>
          <w:rFonts w:cs="Calibri"/>
          <w:color w:val="auto"/>
          <w:szCs w:val="22"/>
        </w:rPr>
        <w:t xml:space="preserve">, employers with </w:t>
      </w:r>
      <w:r w:rsidRPr="00DD7BD1">
        <w:rPr>
          <w:rFonts w:cs="Calibri"/>
          <w:b/>
          <w:bCs/>
          <w:color w:val="auto"/>
          <w:szCs w:val="22"/>
        </w:rPr>
        <w:t>25 or more employees</w:t>
      </w:r>
      <w:r w:rsidRPr="00DD7BD1">
        <w:rPr>
          <w:rFonts w:cs="Calibri"/>
          <w:color w:val="auto"/>
          <w:szCs w:val="22"/>
        </w:rPr>
        <w:t xml:space="preserve"> will be required to:</w:t>
      </w:r>
    </w:p>
    <w:p w14:paraId="50AE2A3C"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 xml:space="preserve">Disclose the pay range for a specific position in the posting of the position; </w:t>
      </w:r>
    </w:p>
    <w:p w14:paraId="449716B7"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specific position to an employee who is offered a promotion or transfer to a new position with different job responsibilities; and</w:t>
      </w:r>
    </w:p>
    <w:p w14:paraId="734F38ED"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particular position to an existing employee holding such position or to an applicant for such position upon request.</w:t>
      </w:r>
    </w:p>
    <w:p w14:paraId="4147E31E"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Under the new law:</w:t>
      </w:r>
    </w:p>
    <w:p w14:paraId="7DE0DC06"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Pay range</w:t>
      </w:r>
      <w:r w:rsidRPr="00DD7BD1">
        <w:rPr>
          <w:rFonts w:cs="Calibri"/>
          <w:color w:val="auto"/>
          <w:szCs w:val="22"/>
        </w:rPr>
        <w:t>” means the annual salary or hourly wage range that the employer reasonably and in good faith expects to pay for such position; and</w:t>
      </w:r>
    </w:p>
    <w:p w14:paraId="3665C220"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Posting</w:t>
      </w:r>
      <w:r w:rsidRPr="00DD7BD1">
        <w:rPr>
          <w:rFonts w:cs="Calibri"/>
          <w:color w:val="auto"/>
          <w:szCs w:val="22"/>
        </w:rPr>
        <w:t xml:space="preserve">” means any advertisement or job posting intended to recruit job applicants, whether such recruitment is done by the employer or through a third party. </w:t>
      </w:r>
    </w:p>
    <w:p w14:paraId="09C0D2C4" w14:textId="77777777" w:rsidR="00A83553" w:rsidRPr="00DD7BD1" w:rsidRDefault="00A83553" w:rsidP="001A2C87">
      <w:pPr>
        <w:spacing w:after="0" w:line="240" w:lineRule="auto"/>
        <w:rPr>
          <w:rFonts w:ascii="Calibri" w:hAnsi="Calibri" w:cs="Calibri"/>
          <w:b/>
          <w:bCs/>
          <w:i/>
          <w:iCs/>
        </w:rPr>
      </w:pPr>
    </w:p>
    <w:p w14:paraId="1F8D134A" w14:textId="6A02D561" w:rsidR="001A2C87" w:rsidRPr="00DD7BD1" w:rsidRDefault="001A2C87" w:rsidP="001A2C87">
      <w:pPr>
        <w:spacing w:after="0" w:line="240" w:lineRule="auto"/>
        <w:rPr>
          <w:rFonts w:ascii="Calibri" w:hAnsi="Calibri" w:cs="Calibri"/>
          <w:b/>
          <w:bCs/>
          <w:i/>
          <w:iCs/>
        </w:rPr>
      </w:pPr>
      <w:r w:rsidRPr="00DD7BD1">
        <w:rPr>
          <w:rFonts w:ascii="Calibri" w:hAnsi="Calibri" w:cs="Calibri"/>
          <w:b/>
          <w:bCs/>
          <w:i/>
          <w:iCs/>
        </w:rPr>
        <w:t>No Retaliation</w:t>
      </w:r>
    </w:p>
    <w:p w14:paraId="0229BF7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6BDB7D8E"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Enforcement and Penalties</w:t>
      </w:r>
    </w:p>
    <w:p w14:paraId="5E6C8F85"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The Massachusetts attorney general has the exclusive authority to enforce the law. </w:t>
      </w:r>
    </w:p>
    <w:p w14:paraId="05CAC08E"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Employers that </w:t>
      </w:r>
      <w:r w:rsidRPr="00DD7BD1">
        <w:rPr>
          <w:rFonts w:ascii="Calibri" w:hAnsi="Calibri" w:cs="Calibri"/>
          <w:u w:val="single"/>
        </w:rPr>
        <w:t>fail to submit an annual report</w:t>
      </w:r>
      <w:r w:rsidRPr="00DD7BD1">
        <w:rPr>
          <w:rFonts w:ascii="Calibri" w:hAnsi="Calibri" w:cs="Calibri"/>
          <w:b/>
          <w:bCs/>
        </w:rPr>
        <w:t xml:space="preserve"> or</w:t>
      </w:r>
      <w:r w:rsidRPr="00DD7BD1">
        <w:rPr>
          <w:rFonts w:ascii="Calibri" w:hAnsi="Calibri" w:cs="Calibri"/>
        </w:rPr>
        <w:t xml:space="preserve"> </w:t>
      </w:r>
      <w:r w:rsidRPr="00DD7BD1">
        <w:rPr>
          <w:rFonts w:ascii="Calibri" w:hAnsi="Calibri" w:cs="Calibri"/>
          <w:u w:val="single"/>
        </w:rPr>
        <w:t>post pay ranges</w:t>
      </w:r>
      <w:r w:rsidRPr="00DD7BD1">
        <w:rPr>
          <w:rFonts w:ascii="Calibri" w:hAnsi="Calibri" w:cs="Calibri"/>
        </w:rPr>
        <w:t xml:space="preserve"> will be subject to </w:t>
      </w:r>
    </w:p>
    <w:p w14:paraId="4E49B5E4"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a warning for the first offense, </w:t>
      </w:r>
    </w:p>
    <w:p w14:paraId="7CD3CF68"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$500 for the second offense, </w:t>
      </w:r>
    </w:p>
    <w:p w14:paraId="64C8B1FB"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$1,000 for the third offense, and </w:t>
      </w:r>
    </w:p>
    <w:p w14:paraId="0260C4ED"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penalties ranging from $7,500 to $25,000 for subsequent offenses. </w:t>
      </w:r>
    </w:p>
    <w:p w14:paraId="6D8D8A3D" w14:textId="45626B97" w:rsidR="001A2C87" w:rsidRPr="00DD7BD1" w:rsidRDefault="001A2C87" w:rsidP="00A83553">
      <w:pPr>
        <w:keepNext/>
        <w:keepLines/>
        <w:spacing w:after="0" w:line="240" w:lineRule="auto"/>
        <w:rPr>
          <w:rFonts w:ascii="Calibri" w:hAnsi="Calibri" w:cs="Calibri"/>
        </w:rPr>
      </w:pPr>
      <w:r w:rsidRPr="00DD7BD1">
        <w:rPr>
          <w:rFonts w:ascii="Calibri" w:hAnsi="Calibri" w:cs="Calibri"/>
        </w:rPr>
        <w:t>For violations that occur on or prior to July 31, 2026, employers will have two business days to cure a violation before incurring a fine.</w:t>
      </w:r>
      <w:bookmarkStart w:id="109" w:name="_Hlk181117201"/>
    </w:p>
    <w:p w14:paraId="330A17BC" w14:textId="77777777" w:rsidR="00A83553" w:rsidRPr="00DD7BD1" w:rsidRDefault="00A83553" w:rsidP="00A83553">
      <w:pPr>
        <w:keepNext/>
        <w:keepLines/>
        <w:spacing w:after="0" w:line="240" w:lineRule="auto"/>
        <w:rPr>
          <w:rFonts w:ascii="Calibri" w:hAnsi="Calibri" w:cs="Calibri"/>
        </w:rPr>
      </w:pPr>
    </w:p>
    <w:p w14:paraId="3A010A19" w14:textId="0E3098E4" w:rsidR="001C5F42" w:rsidRPr="00DD7BD1" w:rsidRDefault="001C5F42" w:rsidP="001C5F42">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Requires Pay Range Disclosure and Pay Data Reporting – </w:t>
      </w:r>
      <w:r w:rsidRPr="00DD7BD1">
        <w:rPr>
          <w:rFonts w:ascii="Calibri" w:hAnsi="Calibri" w:cs="Calibri"/>
          <w:b/>
          <w:bCs/>
          <w:color w:val="C00000"/>
          <w:sz w:val="28"/>
          <w:szCs w:val="28"/>
          <w:shd w:val="clear" w:color="auto" w:fill="FFFFFF"/>
        </w:rPr>
        <w:t>Feb 2025 &amp; July 2025</w:t>
      </w:r>
    </w:p>
    <w:p w14:paraId="54ED318E"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On July 31, 2024, Massachusetts Governor Maura T. Healey signed into law regulations requiring employers to disclose pay range information.</w:t>
      </w:r>
    </w:p>
    <w:p w14:paraId="2A92F193"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58"/>
        <w:gridCol w:w="4509"/>
        <w:gridCol w:w="3598"/>
      </w:tblGrid>
      <w:tr w:rsidR="001C5F42" w:rsidRPr="00DD7BD1" w14:paraId="52BA262F" w14:textId="77777777" w:rsidTr="005A061B">
        <w:tc>
          <w:tcPr>
            <w:tcW w:w="0" w:type="auto"/>
            <w:tcMar>
              <w:top w:w="150" w:type="dxa"/>
              <w:left w:w="150" w:type="dxa"/>
              <w:bottom w:w="150" w:type="dxa"/>
              <w:right w:w="150" w:type="dxa"/>
            </w:tcMar>
            <w:hideMark/>
          </w:tcPr>
          <w:p w14:paraId="624A57D6"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Date</w:t>
            </w:r>
          </w:p>
        </w:tc>
        <w:tc>
          <w:tcPr>
            <w:tcW w:w="0" w:type="auto"/>
            <w:tcMar>
              <w:top w:w="150" w:type="dxa"/>
              <w:left w:w="150" w:type="dxa"/>
              <w:bottom w:w="150" w:type="dxa"/>
              <w:right w:w="150" w:type="dxa"/>
            </w:tcMar>
            <w:hideMark/>
          </w:tcPr>
          <w:p w14:paraId="591898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Obligation</w:t>
            </w:r>
          </w:p>
        </w:tc>
      </w:tr>
      <w:tr w:rsidR="001C5F42" w:rsidRPr="00DD7BD1" w14:paraId="43C1627C" w14:textId="77777777" w:rsidTr="005A061B">
        <w:tc>
          <w:tcPr>
            <w:tcW w:w="0" w:type="auto"/>
            <w:tcMar>
              <w:top w:w="150" w:type="dxa"/>
              <w:left w:w="150" w:type="dxa"/>
              <w:bottom w:w="150" w:type="dxa"/>
              <w:right w:w="150" w:type="dxa"/>
            </w:tcMar>
            <w:hideMark/>
          </w:tcPr>
          <w:p w14:paraId="4A57B5FC"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Submit demographic and pay data to the Secretary of the Commonwealth</w:t>
            </w:r>
          </w:p>
        </w:tc>
      </w:tr>
      <w:tr w:rsidR="001C5F42" w:rsidRPr="00DD7BD1" w14:paraId="77DDA251" w14:textId="77777777" w:rsidTr="005A061B">
        <w:tc>
          <w:tcPr>
            <w:tcW w:w="0" w:type="auto"/>
            <w:tcMar>
              <w:top w:w="150" w:type="dxa"/>
              <w:left w:w="150" w:type="dxa"/>
              <w:bottom w:w="150" w:type="dxa"/>
              <w:right w:w="150" w:type="dxa"/>
            </w:tcMar>
            <w:hideMark/>
          </w:tcPr>
          <w:p w14:paraId="6CEC03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Pay range disclosure obligations go into effect</w:t>
            </w:r>
          </w:p>
        </w:tc>
      </w:tr>
    </w:tbl>
    <w:p w14:paraId="458C1568" w14:textId="03A74F78" w:rsidR="009040C5" w:rsidRPr="00DD7BD1" w:rsidRDefault="001C5F42" w:rsidP="00CD70B8">
      <w:pPr>
        <w:spacing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Employer-away:</w:t>
      </w:r>
      <w:r w:rsidRPr="00DD7BD1">
        <w:rPr>
          <w:rFonts w:ascii="Calibri" w:hAnsi="Calibri" w:cs="Calibri"/>
          <w:b/>
          <w:bCs/>
          <w:shd w:val="clear" w:color="auto" w:fill="FFFFFF"/>
        </w:rPr>
        <w:t xml:space="preserve"> T</w:t>
      </w:r>
      <w:r w:rsidRPr="00DD7BD1">
        <w:rPr>
          <w:rFonts w:ascii="Calibri" w:hAnsi="Calibri" w:cs="Calibri"/>
          <w:shd w:val="clear" w:color="auto" w:fill="FFFFFF"/>
        </w:rPr>
        <w:t>o prepare for this new requirement, Covered Employers with 25 or more employees in Massachusetts should take measures to comply </w:t>
      </w:r>
      <w:r w:rsidRPr="00DD7BD1">
        <w:rPr>
          <w:rFonts w:ascii="Calibri" w:hAnsi="Calibri" w:cs="Calibri"/>
          <w:i/>
          <w:iCs/>
          <w:shd w:val="clear" w:color="auto" w:fill="FFFFFF"/>
        </w:rPr>
        <w:t>before</w:t>
      </w:r>
      <w:r w:rsidRPr="00DD7BD1">
        <w:rPr>
          <w:rFonts w:ascii="Calibri" w:hAnsi="Calibri" w:cs="Calibri"/>
          <w:shd w:val="clear" w:color="auto" w:fill="FFFFFF"/>
        </w:rPr>
        <w:t> July 31, 2025. More to come as the effective date approaches</w:t>
      </w:r>
      <w:bookmarkEnd w:id="109"/>
    </w:p>
    <w:p w14:paraId="40B00CFF" w14:textId="77777777"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Michigan</w:t>
      </w:r>
    </w:p>
    <w:p w14:paraId="39DA89B8" w14:textId="64C69E35" w:rsidR="00F23A3A" w:rsidRPr="00DD7BD1" w:rsidRDefault="00F23A3A" w:rsidP="00F23A3A">
      <w:pPr>
        <w:spacing w:after="0" w:line="240" w:lineRule="auto"/>
        <w:jc w:val="center"/>
        <w:rPr>
          <w:rFonts w:ascii="Calibri" w:hAnsi="Calibri" w:cs="Calibri"/>
          <w:b/>
          <w:bCs/>
          <w:sz w:val="28"/>
          <w:szCs w:val="28"/>
          <w:shd w:val="clear" w:color="auto" w:fill="FFFFFF"/>
          <w:lang w:val="en"/>
        </w:rPr>
      </w:pPr>
      <w:bookmarkStart w:id="110" w:name="_Hlk213054563"/>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2025</w:t>
      </w:r>
    </w:p>
    <w:p w14:paraId="33FADC19" w14:textId="6C1767E3" w:rsidR="00F23A3A" w:rsidRPr="00DD7BD1" w:rsidRDefault="00F23A3A" w:rsidP="00F23A3A">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On January 1, 2026, Michigan’s minimum wage will increase to $13.73 per hour. The minimum base wage for tipped employees will increase to $5.49 per hour. Michigan’s minimum wage applies to employers that have two or more employees.</w:t>
      </w:r>
    </w:p>
    <w:p w14:paraId="5FB57820" w14:textId="77777777" w:rsidR="00F23A3A" w:rsidRPr="00DD7BD1" w:rsidRDefault="00F23A3A" w:rsidP="00F23A3A">
      <w:pPr>
        <w:spacing w:after="0" w:line="240" w:lineRule="auto"/>
        <w:ind w:right="-270"/>
        <w:jc w:val="center"/>
        <w:rPr>
          <w:rFonts w:ascii="Calibri" w:hAnsi="Calibri" w:cs="Calibri"/>
          <w:b/>
          <w:spacing w:val="-6"/>
        </w:rPr>
      </w:pPr>
    </w:p>
    <w:p w14:paraId="30EE7F9A" w14:textId="15F47EE9" w:rsidR="003A22A9" w:rsidRPr="00DD7BD1" w:rsidRDefault="003A22A9" w:rsidP="00F23A3A">
      <w:pPr>
        <w:spacing w:after="0" w:line="240" w:lineRule="auto"/>
        <w:ind w:right="-270"/>
        <w:jc w:val="center"/>
        <w:rPr>
          <w:rFonts w:ascii="Calibri" w:hAnsi="Calibri" w:cs="Calibri"/>
          <w:b/>
          <w:sz w:val="28"/>
        </w:rPr>
      </w:pPr>
      <w:r w:rsidRPr="00DD7BD1">
        <w:rPr>
          <w:rFonts w:ascii="Calibri" w:hAnsi="Calibri" w:cs="Calibri"/>
          <w:b/>
          <w:spacing w:val="-6"/>
          <w:sz w:val="28"/>
        </w:rPr>
        <w:t>Updated</w:t>
      </w:r>
      <w:r w:rsidRPr="00DD7BD1">
        <w:rPr>
          <w:rFonts w:ascii="Calibri" w:hAnsi="Calibri" w:cs="Calibri"/>
          <w:b/>
          <w:spacing w:val="-13"/>
          <w:sz w:val="28"/>
        </w:rPr>
        <w:t xml:space="preserve"> </w:t>
      </w:r>
      <w:r w:rsidRPr="00DD7BD1">
        <w:rPr>
          <w:rFonts w:ascii="Calibri" w:hAnsi="Calibri" w:cs="Calibri"/>
          <w:b/>
          <w:spacing w:val="-6"/>
          <w:sz w:val="28"/>
        </w:rPr>
        <w:t>Paid</w:t>
      </w:r>
      <w:r w:rsidRPr="00DD7BD1">
        <w:rPr>
          <w:rFonts w:ascii="Calibri" w:hAnsi="Calibri" w:cs="Calibri"/>
          <w:b/>
          <w:spacing w:val="-11"/>
          <w:sz w:val="28"/>
        </w:rPr>
        <w:t xml:space="preserve"> </w:t>
      </w:r>
      <w:r w:rsidRPr="00DD7BD1">
        <w:rPr>
          <w:rFonts w:ascii="Calibri" w:hAnsi="Calibri" w:cs="Calibri"/>
          <w:b/>
          <w:spacing w:val="-6"/>
          <w:sz w:val="28"/>
        </w:rPr>
        <w:t>Sick</w:t>
      </w:r>
      <w:r w:rsidRPr="00DD7BD1">
        <w:rPr>
          <w:rFonts w:ascii="Calibri" w:hAnsi="Calibri" w:cs="Calibri"/>
          <w:b/>
          <w:spacing w:val="-12"/>
          <w:sz w:val="28"/>
        </w:rPr>
        <w:t xml:space="preserve"> </w:t>
      </w:r>
      <w:r w:rsidRPr="00DD7BD1">
        <w:rPr>
          <w:rFonts w:ascii="Calibri" w:hAnsi="Calibri" w:cs="Calibri"/>
          <w:b/>
          <w:spacing w:val="-6"/>
          <w:sz w:val="28"/>
        </w:rPr>
        <w:t>Leave</w:t>
      </w:r>
      <w:r w:rsidRPr="00DD7BD1">
        <w:rPr>
          <w:rFonts w:ascii="Calibri" w:hAnsi="Calibri" w:cs="Calibri"/>
          <w:b/>
          <w:spacing w:val="-13"/>
          <w:sz w:val="28"/>
        </w:rPr>
        <w:t xml:space="preserve"> </w:t>
      </w:r>
      <w:r w:rsidRPr="00DD7BD1">
        <w:rPr>
          <w:rFonts w:ascii="Calibri" w:hAnsi="Calibri" w:cs="Calibri"/>
          <w:b/>
          <w:spacing w:val="-6"/>
          <w:sz w:val="28"/>
        </w:rPr>
        <w:t>for</w:t>
      </w:r>
      <w:r w:rsidRPr="00DD7BD1">
        <w:rPr>
          <w:rFonts w:ascii="Calibri" w:hAnsi="Calibri" w:cs="Calibri"/>
          <w:b/>
          <w:spacing w:val="-11"/>
          <w:sz w:val="28"/>
        </w:rPr>
        <w:t xml:space="preserve"> </w:t>
      </w:r>
      <w:r w:rsidRPr="00DD7BD1">
        <w:rPr>
          <w:rFonts w:ascii="Calibri" w:hAnsi="Calibri" w:cs="Calibri"/>
          <w:b/>
          <w:spacing w:val="-6"/>
          <w:sz w:val="28"/>
        </w:rPr>
        <w:t>Small</w:t>
      </w:r>
      <w:r w:rsidRPr="00DD7BD1">
        <w:rPr>
          <w:rFonts w:ascii="Calibri" w:hAnsi="Calibri" w:cs="Calibri"/>
          <w:b/>
          <w:spacing w:val="-14"/>
          <w:sz w:val="28"/>
        </w:rPr>
        <w:t xml:space="preserve"> </w:t>
      </w:r>
      <w:r w:rsidRPr="00DD7BD1">
        <w:rPr>
          <w:rFonts w:ascii="Calibri" w:hAnsi="Calibri" w:cs="Calibri"/>
          <w:b/>
          <w:spacing w:val="-6"/>
          <w:sz w:val="28"/>
        </w:rPr>
        <w:t>Employers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March</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23</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&amp;</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Oct</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2025</w:t>
      </w:r>
    </w:p>
    <w:p w14:paraId="48A212CF" w14:textId="77777777" w:rsidR="003A22A9" w:rsidRPr="00DD7BD1" w:rsidRDefault="003A22A9" w:rsidP="003A22A9">
      <w:pPr>
        <w:pStyle w:val="Heading4"/>
        <w:spacing w:before="0" w:line="240" w:lineRule="auto"/>
        <w:ind w:right="-270"/>
        <w:jc w:val="both"/>
        <w:rPr>
          <w:rFonts w:ascii="Calibri" w:hAnsi="Calibri" w:cs="Calibri"/>
          <w:b/>
          <w:bCs/>
          <w:i w:val="0"/>
          <w:iCs w:val="0"/>
          <w:color w:val="auto"/>
        </w:rPr>
      </w:pPr>
      <w:r w:rsidRPr="00DD7BD1">
        <w:rPr>
          <w:rFonts w:ascii="Calibri" w:hAnsi="Calibri" w:cs="Calibri"/>
          <w:b/>
          <w:bCs/>
          <w:i w:val="0"/>
          <w:iCs w:val="0"/>
          <w:color w:val="auto"/>
          <w:spacing w:val="-2"/>
          <w:w w:val="90"/>
        </w:rPr>
        <w:t>PAID</w:t>
      </w:r>
      <w:r w:rsidRPr="00DD7BD1">
        <w:rPr>
          <w:rFonts w:ascii="Calibri" w:hAnsi="Calibri" w:cs="Calibri"/>
          <w:b/>
          <w:bCs/>
          <w:i w:val="0"/>
          <w:iCs w:val="0"/>
          <w:color w:val="auto"/>
          <w:spacing w:val="-3"/>
          <w:w w:val="90"/>
        </w:rPr>
        <w:t xml:space="preserve"> </w:t>
      </w:r>
      <w:r w:rsidRPr="00DD7BD1">
        <w:rPr>
          <w:rFonts w:ascii="Calibri" w:hAnsi="Calibri" w:cs="Calibri"/>
          <w:b/>
          <w:bCs/>
          <w:i w:val="0"/>
          <w:iCs w:val="0"/>
          <w:color w:val="auto"/>
          <w:spacing w:val="-2"/>
          <w:w w:val="90"/>
        </w:rPr>
        <w:t>SICK</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w w:val="90"/>
        </w:rPr>
        <w:t>LEAVE</w:t>
      </w:r>
    </w:p>
    <w:p w14:paraId="0CB85D34" w14:textId="77777777" w:rsidR="003A22A9" w:rsidRPr="00DD7BD1" w:rsidRDefault="003A22A9" w:rsidP="003A22A9">
      <w:pPr>
        <w:pStyle w:val="BodyText"/>
        <w:spacing w:after="0" w:line="240" w:lineRule="auto"/>
        <w:ind w:right="-270"/>
        <w:rPr>
          <w:rFonts w:cs="Calibri"/>
          <w:color w:val="auto"/>
          <w:szCs w:val="22"/>
        </w:rPr>
      </w:pP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legislature</w:t>
      </w:r>
      <w:r w:rsidRPr="00DD7BD1">
        <w:rPr>
          <w:rFonts w:cs="Calibri"/>
          <w:color w:val="auto"/>
          <w:spacing w:val="40"/>
          <w:w w:val="110"/>
          <w:szCs w:val="22"/>
        </w:rPr>
        <w:t xml:space="preserve"> </w:t>
      </w:r>
      <w:r w:rsidRPr="00DD7BD1">
        <w:rPr>
          <w:rFonts w:cs="Calibri"/>
          <w:color w:val="auto"/>
          <w:w w:val="110"/>
          <w:szCs w:val="22"/>
        </w:rPr>
        <w:t>did</w:t>
      </w:r>
      <w:r w:rsidRPr="00DD7BD1">
        <w:rPr>
          <w:rFonts w:cs="Calibri"/>
          <w:color w:val="auto"/>
          <w:spacing w:val="-10"/>
          <w:w w:val="110"/>
          <w:szCs w:val="22"/>
        </w:rPr>
        <w:t xml:space="preserve"> </w:t>
      </w:r>
      <w:r w:rsidRPr="00DD7BD1">
        <w:rPr>
          <w:rFonts w:cs="Calibri"/>
          <w:color w:val="auto"/>
          <w:w w:val="110"/>
          <w:szCs w:val="22"/>
        </w:rPr>
        <w:t>make</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little</w:t>
      </w:r>
      <w:r w:rsidRPr="00DD7BD1">
        <w:rPr>
          <w:rFonts w:cs="Calibri"/>
          <w:color w:val="auto"/>
          <w:spacing w:val="-6"/>
          <w:w w:val="110"/>
          <w:szCs w:val="22"/>
        </w:rPr>
        <w:t xml:space="preserve"> </w:t>
      </w:r>
      <w:r w:rsidRPr="00DD7BD1">
        <w:rPr>
          <w:rFonts w:cs="Calibri"/>
          <w:color w:val="auto"/>
          <w:w w:val="110"/>
          <w:szCs w:val="22"/>
        </w:rPr>
        <w:t>easier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manage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small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back</w:t>
      </w:r>
      <w:r w:rsidRPr="00DD7BD1">
        <w:rPr>
          <w:rFonts w:cs="Calibri"/>
          <w:color w:val="auto"/>
          <w:spacing w:val="-6"/>
          <w:w w:val="110"/>
          <w:szCs w:val="22"/>
        </w:rPr>
        <w:t xml:space="preserve"> </w:t>
      </w:r>
      <w:r w:rsidRPr="00DD7BD1">
        <w:rPr>
          <w:rFonts w:cs="Calibri"/>
          <w:color w:val="auto"/>
          <w:w w:val="110"/>
          <w:szCs w:val="22"/>
        </w:rPr>
        <w:t>ion</w:t>
      </w:r>
      <w:r w:rsidRPr="00DD7BD1">
        <w:rPr>
          <w:rFonts w:cs="Calibri"/>
          <w:color w:val="auto"/>
          <w:spacing w:val="-6"/>
          <w:w w:val="110"/>
          <w:szCs w:val="22"/>
        </w:rPr>
        <w:t xml:space="preserve"> </w:t>
      </w:r>
      <w:r w:rsidRPr="00DD7BD1">
        <w:rPr>
          <w:rFonts w:cs="Calibri"/>
          <w:color w:val="auto"/>
          <w:w w:val="110"/>
          <w:szCs w:val="22"/>
        </w:rPr>
        <w:t>February.</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9"/>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added</w:t>
      </w:r>
      <w:r w:rsidRPr="00DD7BD1">
        <w:rPr>
          <w:rFonts w:cs="Calibri"/>
          <w:color w:val="auto"/>
          <w:spacing w:val="-6"/>
          <w:w w:val="110"/>
          <w:szCs w:val="22"/>
        </w:rPr>
        <w:t xml:space="preserve"> </w:t>
      </w:r>
      <w:r w:rsidRPr="00DD7BD1">
        <w:rPr>
          <w:rFonts w:cs="Calibri"/>
          <w:color w:val="auto"/>
          <w:w w:val="110"/>
          <w:szCs w:val="22"/>
        </w:rPr>
        <w:t xml:space="preserve">to </w:t>
      </w:r>
      <w:r w:rsidRPr="00DD7BD1">
        <w:rPr>
          <w:rFonts w:cs="Calibri"/>
          <w:color w:val="auto"/>
          <w:w w:val="115"/>
          <w:szCs w:val="22"/>
        </w:rPr>
        <w:t>or</w:t>
      </w:r>
      <w:r w:rsidRPr="00DD7BD1">
        <w:rPr>
          <w:rFonts w:cs="Calibri"/>
          <w:color w:val="auto"/>
          <w:spacing w:val="-2"/>
          <w:w w:val="115"/>
          <w:szCs w:val="22"/>
        </w:rPr>
        <w:t xml:space="preserve"> </w:t>
      </w:r>
      <w:r w:rsidRPr="00DD7BD1">
        <w:rPr>
          <w:rFonts w:cs="Calibri"/>
          <w:color w:val="auto"/>
          <w:w w:val="115"/>
          <w:szCs w:val="22"/>
        </w:rPr>
        <w:t>clarified a</w:t>
      </w:r>
      <w:r w:rsidRPr="00DD7BD1">
        <w:rPr>
          <w:rFonts w:cs="Calibri"/>
          <w:color w:val="auto"/>
          <w:spacing w:val="-4"/>
          <w:w w:val="115"/>
          <w:szCs w:val="22"/>
        </w:rPr>
        <w:t xml:space="preserve"> </w:t>
      </w:r>
      <w:r w:rsidRPr="00DD7BD1">
        <w:rPr>
          <w:rFonts w:cs="Calibri"/>
          <w:color w:val="auto"/>
          <w:w w:val="115"/>
          <w:szCs w:val="22"/>
        </w:rPr>
        <w:t>few</w:t>
      </w:r>
      <w:r w:rsidRPr="00DD7BD1">
        <w:rPr>
          <w:rFonts w:cs="Calibri"/>
          <w:color w:val="auto"/>
          <w:spacing w:val="-4"/>
          <w:w w:val="115"/>
          <w:szCs w:val="22"/>
        </w:rPr>
        <w:t xml:space="preserve"> </w:t>
      </w:r>
      <w:r w:rsidRPr="00DD7BD1">
        <w:rPr>
          <w:rFonts w:cs="Calibri"/>
          <w:color w:val="auto"/>
          <w:w w:val="115"/>
          <w:szCs w:val="22"/>
        </w:rPr>
        <w:t>aspects</w:t>
      </w:r>
      <w:r w:rsidRPr="00DD7BD1">
        <w:rPr>
          <w:rFonts w:cs="Calibri"/>
          <w:color w:val="auto"/>
          <w:spacing w:val="-3"/>
          <w:w w:val="115"/>
          <w:szCs w:val="22"/>
        </w:rPr>
        <w:t xml:space="preserve"> </w:t>
      </w:r>
      <w:r w:rsidRPr="00DD7BD1">
        <w:rPr>
          <w:rFonts w:cs="Calibri"/>
          <w:color w:val="auto"/>
          <w:w w:val="115"/>
          <w:szCs w:val="22"/>
        </w:rPr>
        <w:t>of</w:t>
      </w:r>
      <w:r w:rsidRPr="00DD7BD1">
        <w:rPr>
          <w:rFonts w:cs="Calibri"/>
          <w:color w:val="auto"/>
          <w:spacing w:val="-2"/>
          <w:w w:val="115"/>
          <w:szCs w:val="22"/>
        </w:rPr>
        <w:t xml:space="preserve"> </w:t>
      </w:r>
      <w:r w:rsidRPr="00DD7BD1">
        <w:rPr>
          <w:rFonts w:cs="Calibri"/>
          <w:color w:val="auto"/>
          <w:w w:val="115"/>
          <w:szCs w:val="22"/>
        </w:rPr>
        <w:t>the law.</w:t>
      </w:r>
    </w:p>
    <w:p w14:paraId="17DC4ABE" w14:textId="77777777" w:rsidR="003A22A9" w:rsidRPr="00DD7BD1" w:rsidRDefault="003A22A9" w:rsidP="003A22A9">
      <w:pPr>
        <w:pStyle w:val="Heading4"/>
        <w:spacing w:before="0"/>
        <w:ind w:right="-270"/>
        <w:rPr>
          <w:rFonts w:ascii="Calibri" w:hAnsi="Calibri" w:cs="Calibri"/>
          <w:b/>
          <w:bCs/>
          <w:i w:val="0"/>
          <w:iCs w:val="0"/>
          <w:color w:val="auto"/>
          <w:spacing w:val="-9"/>
        </w:rPr>
      </w:pPr>
    </w:p>
    <w:p w14:paraId="792C0CFF" w14:textId="77777777" w:rsidR="003A22A9" w:rsidRPr="00DD7BD1" w:rsidRDefault="003A22A9" w:rsidP="003A22A9">
      <w:pPr>
        <w:pStyle w:val="Heading4"/>
        <w:spacing w:before="0" w:line="240" w:lineRule="auto"/>
        <w:ind w:right="-270"/>
        <w:rPr>
          <w:rFonts w:ascii="Calibri" w:hAnsi="Calibri" w:cs="Calibri"/>
          <w:b/>
          <w:bCs/>
          <w:i w:val="0"/>
          <w:iCs w:val="0"/>
          <w:color w:val="auto"/>
        </w:rPr>
      </w:pPr>
      <w:r w:rsidRPr="00DD7BD1">
        <w:rPr>
          <w:rFonts w:ascii="Calibri" w:hAnsi="Calibri" w:cs="Calibri"/>
          <w:b/>
          <w:bCs/>
          <w:i w:val="0"/>
          <w:iCs w:val="0"/>
          <w:color w:val="auto"/>
          <w:spacing w:val="-9"/>
        </w:rPr>
        <w:t>Key</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rPr>
        <w:t>changes:</w:t>
      </w:r>
    </w:p>
    <w:p w14:paraId="29FB98C3"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definition</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“small</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7"/>
          <w:w w:val="110"/>
        </w:rPr>
        <w:t xml:space="preserve"> </w:t>
      </w:r>
      <w:r w:rsidRPr="00DD7BD1">
        <w:rPr>
          <w:rFonts w:ascii="Calibri" w:hAnsi="Calibri" w:cs="Calibri"/>
          <w:w w:val="110"/>
        </w:rPr>
        <w:t>an</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u w:val="single"/>
        </w:rPr>
        <w:t>with</w:t>
      </w:r>
      <w:r w:rsidRPr="00DD7BD1">
        <w:rPr>
          <w:rFonts w:ascii="Calibri" w:hAnsi="Calibri" w:cs="Calibri"/>
          <w:spacing w:val="-17"/>
          <w:w w:val="110"/>
          <w:u w:val="single"/>
        </w:rPr>
        <w:t xml:space="preserve"> </w:t>
      </w:r>
      <w:r w:rsidRPr="00DD7BD1">
        <w:rPr>
          <w:rFonts w:ascii="Calibri" w:hAnsi="Calibri" w:cs="Calibri"/>
          <w:w w:val="110"/>
          <w:u w:val="single"/>
        </w:rPr>
        <w:t>10</w:t>
      </w:r>
      <w:r w:rsidRPr="00DD7BD1">
        <w:rPr>
          <w:rFonts w:ascii="Calibri" w:hAnsi="Calibri" w:cs="Calibri"/>
          <w:spacing w:val="-16"/>
          <w:w w:val="110"/>
          <w:u w:val="single"/>
        </w:rPr>
        <w:t xml:space="preserve"> </w:t>
      </w:r>
      <w:r w:rsidRPr="00DD7BD1">
        <w:rPr>
          <w:rFonts w:ascii="Calibri" w:hAnsi="Calibri" w:cs="Calibri"/>
          <w:w w:val="110"/>
          <w:u w:val="single"/>
        </w:rPr>
        <w:t>or</w:t>
      </w:r>
      <w:r w:rsidRPr="00DD7BD1">
        <w:rPr>
          <w:rFonts w:ascii="Calibri" w:hAnsi="Calibri" w:cs="Calibri"/>
          <w:spacing w:val="-17"/>
          <w:w w:val="110"/>
          <w:u w:val="single"/>
        </w:rPr>
        <w:t xml:space="preserve"> </w:t>
      </w:r>
      <w:r w:rsidRPr="00DD7BD1">
        <w:rPr>
          <w:rFonts w:ascii="Calibri" w:hAnsi="Calibri" w:cs="Calibri"/>
          <w:w w:val="110"/>
          <w:u w:val="single"/>
        </w:rPr>
        <w:t>fewer</w:t>
      </w:r>
      <w:r w:rsidRPr="00DD7BD1">
        <w:rPr>
          <w:rFonts w:ascii="Calibri" w:hAnsi="Calibri" w:cs="Calibri"/>
          <w:spacing w:val="-17"/>
          <w:w w:val="110"/>
          <w:u w:val="single"/>
        </w:rPr>
        <w:t xml:space="preserve"> </w:t>
      </w:r>
      <w:r w:rsidRPr="00DD7BD1">
        <w:rPr>
          <w:rFonts w:ascii="Calibri" w:hAnsi="Calibri" w:cs="Calibri"/>
          <w:w w:val="110"/>
          <w:u w:val="single"/>
        </w:rPr>
        <w:t>employees</w:t>
      </w:r>
      <w:r w:rsidRPr="00DD7BD1">
        <w:rPr>
          <w:rFonts w:ascii="Calibri" w:hAnsi="Calibri" w:cs="Calibri"/>
          <w:spacing w:val="-17"/>
          <w:w w:val="110"/>
        </w:rPr>
        <w:t xml:space="preserve"> </w:t>
      </w:r>
      <w:r w:rsidRPr="00DD7BD1">
        <w:rPr>
          <w:rFonts w:ascii="Calibri" w:hAnsi="Calibri" w:cs="Calibri"/>
          <w:w w:val="110"/>
        </w:rPr>
        <w:t>(instead</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nine</w:t>
      </w:r>
      <w:r w:rsidRPr="00DD7BD1">
        <w:rPr>
          <w:rFonts w:ascii="Calibri" w:hAnsi="Calibri" w:cs="Calibri"/>
          <w:spacing w:val="-17"/>
          <w:w w:val="110"/>
        </w:rPr>
        <w:t xml:space="preserve"> </w:t>
      </w:r>
      <w:r w:rsidRPr="00DD7BD1">
        <w:rPr>
          <w:rFonts w:ascii="Calibri" w:hAnsi="Calibri" w:cs="Calibri"/>
          <w:w w:val="110"/>
        </w:rPr>
        <w:t xml:space="preserve">or </w:t>
      </w:r>
      <w:r w:rsidRPr="00DD7BD1">
        <w:rPr>
          <w:rFonts w:ascii="Calibri" w:hAnsi="Calibri" w:cs="Calibri"/>
          <w:spacing w:val="-2"/>
          <w:w w:val="110"/>
        </w:rPr>
        <w:t>fewer)</w:t>
      </w:r>
    </w:p>
    <w:p w14:paraId="342029B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Calibri" w:hAnsi="Calibri" w:cs="Calibri"/>
        </w:rPr>
      </w:pPr>
      <w:r w:rsidRPr="00DD7BD1">
        <w:rPr>
          <w:rFonts w:ascii="Calibri" w:hAnsi="Calibri" w:cs="Calibri"/>
          <w:u w:val="single"/>
        </w:rPr>
        <w:t>Small</w:t>
      </w:r>
      <w:r w:rsidRPr="00DD7BD1">
        <w:rPr>
          <w:rFonts w:ascii="Calibri" w:hAnsi="Calibri" w:cs="Calibri"/>
          <w:spacing w:val="28"/>
          <w:u w:val="single"/>
        </w:rPr>
        <w:t xml:space="preserve"> </w:t>
      </w:r>
      <w:r w:rsidRPr="00DD7BD1">
        <w:rPr>
          <w:rFonts w:ascii="Calibri" w:hAnsi="Calibri" w:cs="Calibri"/>
          <w:u w:val="single"/>
        </w:rPr>
        <w:t>employers</w:t>
      </w:r>
      <w:r w:rsidRPr="00DD7BD1">
        <w:rPr>
          <w:rFonts w:ascii="Calibri" w:hAnsi="Calibri" w:cs="Calibri"/>
          <w:spacing w:val="33"/>
          <w:u w:val="single"/>
        </w:rPr>
        <w:t xml:space="preserve"> </w:t>
      </w:r>
      <w:r w:rsidRPr="00DD7BD1">
        <w:rPr>
          <w:rFonts w:ascii="Calibri" w:hAnsi="Calibri" w:cs="Calibri"/>
          <w:u w:val="single"/>
        </w:rPr>
        <w:t>don’t</w:t>
      </w:r>
      <w:r w:rsidRPr="00DD7BD1">
        <w:rPr>
          <w:rFonts w:ascii="Calibri" w:hAnsi="Calibri" w:cs="Calibri"/>
          <w:spacing w:val="25"/>
          <w:u w:val="single"/>
        </w:rPr>
        <w:t xml:space="preserve"> </w:t>
      </w:r>
      <w:r w:rsidRPr="00DD7BD1">
        <w:rPr>
          <w:rFonts w:ascii="Calibri" w:hAnsi="Calibri" w:cs="Calibri"/>
          <w:u w:val="single"/>
        </w:rPr>
        <w:t>have</w:t>
      </w:r>
      <w:r w:rsidRPr="00DD7BD1">
        <w:rPr>
          <w:rFonts w:ascii="Calibri" w:hAnsi="Calibri" w:cs="Calibri"/>
          <w:spacing w:val="32"/>
          <w:u w:val="single"/>
        </w:rPr>
        <w:t xml:space="preserve"> </w:t>
      </w:r>
      <w:r w:rsidRPr="00DD7BD1">
        <w:rPr>
          <w:rFonts w:ascii="Calibri" w:hAnsi="Calibri" w:cs="Calibri"/>
          <w:u w:val="single"/>
        </w:rPr>
        <w:t>to</w:t>
      </w:r>
      <w:r w:rsidRPr="00DD7BD1">
        <w:rPr>
          <w:rFonts w:ascii="Calibri" w:hAnsi="Calibri" w:cs="Calibri"/>
          <w:spacing w:val="32"/>
          <w:u w:val="single"/>
        </w:rPr>
        <w:t xml:space="preserve"> </w:t>
      </w:r>
      <w:r w:rsidRPr="00DD7BD1">
        <w:rPr>
          <w:rFonts w:ascii="Calibri" w:hAnsi="Calibri" w:cs="Calibri"/>
          <w:u w:val="single"/>
        </w:rPr>
        <w:t>comply</w:t>
      </w:r>
      <w:r w:rsidRPr="00DD7BD1">
        <w:rPr>
          <w:rFonts w:ascii="Calibri" w:hAnsi="Calibri" w:cs="Calibri"/>
          <w:spacing w:val="33"/>
          <w:u w:val="single"/>
        </w:rPr>
        <w:t xml:space="preserve"> </w:t>
      </w:r>
      <w:r w:rsidRPr="00DD7BD1">
        <w:rPr>
          <w:rFonts w:ascii="Calibri" w:hAnsi="Calibri" w:cs="Calibri"/>
          <w:u w:val="single"/>
        </w:rPr>
        <w:t>until</w:t>
      </w:r>
      <w:r w:rsidRPr="00DD7BD1">
        <w:rPr>
          <w:rFonts w:ascii="Calibri" w:hAnsi="Calibri" w:cs="Calibri"/>
          <w:spacing w:val="35"/>
          <w:u w:val="single"/>
        </w:rPr>
        <w:t xml:space="preserve"> </w:t>
      </w:r>
      <w:r w:rsidRPr="00DD7BD1">
        <w:rPr>
          <w:rFonts w:ascii="Calibri" w:hAnsi="Calibri" w:cs="Calibri"/>
          <w:color w:val="C00000"/>
          <w:u w:val="single" w:color="C00000"/>
        </w:rPr>
        <w:t>October</w:t>
      </w:r>
      <w:r w:rsidRPr="00DD7BD1">
        <w:rPr>
          <w:rFonts w:ascii="Calibri" w:hAnsi="Calibri" w:cs="Calibri"/>
          <w:color w:val="C00000"/>
          <w:spacing w:val="27"/>
          <w:u w:val="single" w:color="C00000"/>
        </w:rPr>
        <w:t xml:space="preserve"> </w:t>
      </w:r>
      <w:r w:rsidRPr="00DD7BD1">
        <w:rPr>
          <w:rFonts w:ascii="Calibri" w:hAnsi="Calibri" w:cs="Calibri"/>
          <w:color w:val="C00000"/>
          <w:u w:val="single" w:color="C00000"/>
        </w:rPr>
        <w:t>1,</w:t>
      </w:r>
      <w:r w:rsidRPr="00DD7BD1">
        <w:rPr>
          <w:rFonts w:ascii="Calibri" w:hAnsi="Calibri" w:cs="Calibri"/>
          <w:color w:val="C00000"/>
          <w:spacing w:val="31"/>
          <w:u w:val="single" w:color="C00000"/>
        </w:rPr>
        <w:t xml:space="preserve"> </w:t>
      </w:r>
      <w:r w:rsidRPr="00DD7BD1">
        <w:rPr>
          <w:rFonts w:ascii="Calibri" w:hAnsi="Calibri" w:cs="Calibri"/>
          <w:color w:val="C00000"/>
          <w:spacing w:val="-4"/>
          <w:u w:val="single" w:color="C00000"/>
        </w:rPr>
        <w:t>2025</w:t>
      </w:r>
    </w:p>
    <w:p w14:paraId="50ECFF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Small</w:t>
      </w:r>
      <w:r w:rsidRPr="00DD7BD1">
        <w:rPr>
          <w:rFonts w:ascii="Calibri" w:hAnsi="Calibri" w:cs="Calibri"/>
          <w:spacing w:val="-13"/>
          <w:w w:val="110"/>
        </w:rPr>
        <w:t xml:space="preserve"> </w:t>
      </w:r>
      <w:r w:rsidRPr="00DD7BD1">
        <w:rPr>
          <w:rFonts w:ascii="Calibri" w:hAnsi="Calibri" w:cs="Calibri"/>
          <w:w w:val="110"/>
        </w:rPr>
        <w:t>employers</w:t>
      </w:r>
      <w:r w:rsidRPr="00DD7BD1">
        <w:rPr>
          <w:rFonts w:ascii="Calibri" w:hAnsi="Calibri" w:cs="Calibri"/>
          <w:spacing w:val="-13"/>
          <w:w w:val="110"/>
        </w:rPr>
        <w:t xml:space="preserve"> </w:t>
      </w:r>
      <w:r w:rsidRPr="00DD7BD1">
        <w:rPr>
          <w:rFonts w:ascii="Calibri" w:hAnsi="Calibri" w:cs="Calibri"/>
          <w:w w:val="110"/>
        </w:rPr>
        <w:t>only</w:t>
      </w:r>
      <w:r w:rsidRPr="00DD7BD1">
        <w:rPr>
          <w:rFonts w:ascii="Calibri" w:hAnsi="Calibri" w:cs="Calibri"/>
          <w:spacing w:val="-13"/>
          <w:w w:val="110"/>
        </w:rPr>
        <w:t xml:space="preserve"> </w:t>
      </w:r>
      <w:r w:rsidRPr="00DD7BD1">
        <w:rPr>
          <w:rFonts w:ascii="Calibri" w:hAnsi="Calibri" w:cs="Calibri"/>
          <w:w w:val="110"/>
        </w:rPr>
        <w:t>need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provide</w:t>
      </w:r>
      <w:r w:rsidRPr="00DD7BD1">
        <w:rPr>
          <w:rFonts w:ascii="Calibri" w:hAnsi="Calibri" w:cs="Calibri"/>
          <w:spacing w:val="-10"/>
          <w:w w:val="110"/>
        </w:rPr>
        <w:t xml:space="preserve"> </w:t>
      </w:r>
      <w:r w:rsidRPr="00DD7BD1">
        <w:rPr>
          <w:rFonts w:ascii="Calibri" w:hAnsi="Calibri" w:cs="Calibri"/>
          <w:w w:val="110"/>
          <w:u w:val="single"/>
        </w:rPr>
        <w:t>40</w:t>
      </w:r>
      <w:r w:rsidRPr="00DD7BD1">
        <w:rPr>
          <w:rFonts w:ascii="Calibri" w:hAnsi="Calibri" w:cs="Calibri"/>
          <w:spacing w:val="-14"/>
          <w:w w:val="110"/>
          <w:u w:val="single"/>
        </w:rPr>
        <w:t xml:space="preserve"> </w:t>
      </w:r>
      <w:r w:rsidRPr="00DD7BD1">
        <w:rPr>
          <w:rFonts w:ascii="Calibri" w:hAnsi="Calibri" w:cs="Calibri"/>
          <w:w w:val="110"/>
          <w:u w:val="single"/>
        </w:rPr>
        <w:t>hours</w:t>
      </w:r>
      <w:r w:rsidRPr="00DD7BD1">
        <w:rPr>
          <w:rFonts w:ascii="Calibri" w:hAnsi="Calibri" w:cs="Calibri"/>
          <w:spacing w:val="-13"/>
          <w:w w:val="110"/>
          <w:u w:val="single"/>
        </w:rPr>
        <w:t xml:space="preserve"> </w:t>
      </w:r>
      <w:r w:rsidRPr="00DD7BD1">
        <w:rPr>
          <w:rFonts w:ascii="Calibri" w:hAnsi="Calibri" w:cs="Calibri"/>
          <w:w w:val="110"/>
          <w:u w:val="single"/>
        </w:rPr>
        <w:t>of</w:t>
      </w:r>
      <w:r w:rsidRPr="00DD7BD1">
        <w:rPr>
          <w:rFonts w:ascii="Calibri" w:hAnsi="Calibri" w:cs="Calibri"/>
          <w:spacing w:val="-14"/>
          <w:w w:val="110"/>
          <w:u w:val="single"/>
        </w:rPr>
        <w:t xml:space="preserve"> </w:t>
      </w:r>
      <w:r w:rsidRPr="00DD7BD1">
        <w:rPr>
          <w:rFonts w:ascii="Calibri" w:hAnsi="Calibri" w:cs="Calibri"/>
          <w:w w:val="110"/>
          <w:u w:val="single"/>
        </w:rPr>
        <w:t>paid</w:t>
      </w:r>
      <w:r w:rsidRPr="00DD7BD1">
        <w:rPr>
          <w:rFonts w:ascii="Calibri" w:hAnsi="Calibri" w:cs="Calibri"/>
          <w:spacing w:val="-14"/>
          <w:w w:val="110"/>
          <w:u w:val="single"/>
        </w:rPr>
        <w:t xml:space="preserve"> </w:t>
      </w:r>
      <w:r w:rsidRPr="00DD7BD1">
        <w:rPr>
          <w:rFonts w:ascii="Calibri" w:hAnsi="Calibri" w:cs="Calibri"/>
          <w:w w:val="110"/>
          <w:u w:val="single"/>
        </w:rPr>
        <w:t>sick</w:t>
      </w:r>
      <w:r w:rsidRPr="00DD7BD1">
        <w:rPr>
          <w:rFonts w:ascii="Calibri" w:hAnsi="Calibri" w:cs="Calibri"/>
          <w:spacing w:val="-11"/>
          <w:w w:val="110"/>
          <w:u w:val="single"/>
        </w:rPr>
        <w:t xml:space="preserve"> </w:t>
      </w:r>
      <w:r w:rsidRPr="00DD7BD1">
        <w:rPr>
          <w:rFonts w:ascii="Calibri" w:hAnsi="Calibri" w:cs="Calibri"/>
          <w:w w:val="110"/>
          <w:u w:val="single"/>
        </w:rPr>
        <w:t>leave</w:t>
      </w:r>
      <w:r w:rsidRPr="00DD7BD1">
        <w:rPr>
          <w:rFonts w:ascii="Calibri" w:hAnsi="Calibri" w:cs="Calibri"/>
          <w:spacing w:val="-11"/>
          <w:w w:val="110"/>
          <w:u w:val="single"/>
        </w:rPr>
        <w:t xml:space="preserve"> </w:t>
      </w:r>
      <w:r w:rsidRPr="00DD7BD1">
        <w:rPr>
          <w:rFonts w:ascii="Calibri" w:hAnsi="Calibri" w:cs="Calibri"/>
          <w:w w:val="110"/>
          <w:u w:val="single"/>
        </w:rPr>
        <w:t>per</w:t>
      </w:r>
      <w:r w:rsidRPr="00DD7BD1">
        <w:rPr>
          <w:rFonts w:ascii="Calibri" w:hAnsi="Calibri" w:cs="Calibri"/>
          <w:spacing w:val="-14"/>
          <w:w w:val="110"/>
          <w:u w:val="single"/>
        </w:rPr>
        <w:t xml:space="preserve"> </w:t>
      </w:r>
      <w:r w:rsidRPr="00DD7BD1">
        <w:rPr>
          <w:rFonts w:ascii="Calibri" w:hAnsi="Calibri" w:cs="Calibri"/>
          <w:w w:val="110"/>
          <w:u w:val="single"/>
        </w:rPr>
        <w:t>year</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additional</w:t>
      </w:r>
      <w:r w:rsidRPr="00DD7BD1">
        <w:rPr>
          <w:rFonts w:ascii="Calibri" w:hAnsi="Calibri" w:cs="Calibri"/>
          <w:spacing w:val="-14"/>
          <w:w w:val="110"/>
        </w:rPr>
        <w:t xml:space="preserve"> </w:t>
      </w:r>
      <w:r w:rsidRPr="00DD7BD1">
        <w:rPr>
          <w:rFonts w:ascii="Calibri" w:hAnsi="Calibri" w:cs="Calibri"/>
          <w:w w:val="110"/>
        </w:rPr>
        <w:t>32</w:t>
      </w:r>
      <w:r w:rsidRPr="00DD7BD1">
        <w:rPr>
          <w:rFonts w:ascii="Calibri" w:hAnsi="Calibri" w:cs="Calibri"/>
          <w:spacing w:val="-14"/>
          <w:w w:val="110"/>
        </w:rPr>
        <w:t xml:space="preserve"> </w:t>
      </w:r>
      <w:r w:rsidRPr="00DD7BD1">
        <w:rPr>
          <w:rFonts w:ascii="Calibri" w:hAnsi="Calibri" w:cs="Calibri"/>
          <w:w w:val="110"/>
        </w:rPr>
        <w:t xml:space="preserve">hours of </w:t>
      </w:r>
      <w:r w:rsidRPr="00DD7BD1">
        <w:rPr>
          <w:rFonts w:ascii="Calibri" w:hAnsi="Calibri" w:cs="Calibri"/>
          <w:i/>
          <w:w w:val="110"/>
        </w:rPr>
        <w:t xml:space="preserve">unpaid </w:t>
      </w:r>
      <w:r w:rsidRPr="00DD7BD1">
        <w:rPr>
          <w:rFonts w:ascii="Calibri" w:hAnsi="Calibri" w:cs="Calibri"/>
          <w:w w:val="110"/>
        </w:rPr>
        <w:t xml:space="preserve">sick leave is </w:t>
      </w:r>
      <w:r w:rsidRPr="00DD7BD1">
        <w:rPr>
          <w:rFonts w:ascii="Calibri" w:hAnsi="Calibri" w:cs="Calibri"/>
          <w:b/>
          <w:w w:val="110"/>
        </w:rPr>
        <w:t xml:space="preserve">not </w:t>
      </w:r>
      <w:r w:rsidRPr="00DD7BD1">
        <w:rPr>
          <w:rFonts w:ascii="Calibri" w:hAnsi="Calibri" w:cs="Calibri"/>
          <w:w w:val="110"/>
        </w:rPr>
        <w:t>required)</w:t>
      </w:r>
    </w:p>
    <w:p w14:paraId="2F1DA59A"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2"/>
          <w:w w:val="110"/>
        </w:rPr>
        <w:t xml:space="preserve"> </w:t>
      </w:r>
      <w:r w:rsidRPr="00DD7BD1">
        <w:rPr>
          <w:rFonts w:ascii="Calibri" w:hAnsi="Calibri" w:cs="Calibri"/>
          <w:w w:val="110"/>
        </w:rPr>
        <w:t>can</w:t>
      </w:r>
      <w:r w:rsidRPr="00DD7BD1">
        <w:rPr>
          <w:rFonts w:ascii="Calibri" w:hAnsi="Calibri" w:cs="Calibri"/>
          <w:spacing w:val="-14"/>
          <w:w w:val="110"/>
        </w:rPr>
        <w:t xml:space="preserve"> </w:t>
      </w:r>
      <w:r w:rsidRPr="00DD7BD1">
        <w:rPr>
          <w:rFonts w:ascii="Calibri" w:hAnsi="Calibri" w:cs="Calibri"/>
          <w:w w:val="110"/>
        </w:rPr>
        <w:t>make</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hires</w:t>
      </w:r>
      <w:r w:rsidRPr="00DD7BD1">
        <w:rPr>
          <w:rFonts w:ascii="Calibri" w:hAnsi="Calibri" w:cs="Calibri"/>
          <w:spacing w:val="-12"/>
          <w:w w:val="110"/>
        </w:rPr>
        <w:t xml:space="preserve"> </w:t>
      </w:r>
      <w:r w:rsidRPr="00DD7BD1">
        <w:rPr>
          <w:rFonts w:ascii="Calibri" w:hAnsi="Calibri" w:cs="Calibri"/>
          <w:w w:val="110"/>
        </w:rPr>
        <w:t>wait</w:t>
      </w:r>
      <w:r w:rsidRPr="00DD7BD1">
        <w:rPr>
          <w:rFonts w:ascii="Calibri" w:hAnsi="Calibri" w:cs="Calibri"/>
          <w:spacing w:val="-15"/>
          <w:w w:val="110"/>
        </w:rPr>
        <w:t xml:space="preserve"> </w:t>
      </w:r>
      <w:r w:rsidRPr="00DD7BD1">
        <w:rPr>
          <w:rFonts w:ascii="Calibri" w:hAnsi="Calibri" w:cs="Calibri"/>
          <w:w w:val="110"/>
        </w:rPr>
        <w:t>until</w:t>
      </w:r>
      <w:r w:rsidRPr="00DD7BD1">
        <w:rPr>
          <w:rFonts w:ascii="Calibri" w:hAnsi="Calibri" w:cs="Calibri"/>
          <w:spacing w:val="-14"/>
          <w:w w:val="110"/>
        </w:rPr>
        <w:t xml:space="preserve"> </w:t>
      </w:r>
      <w:r w:rsidRPr="00DD7BD1">
        <w:rPr>
          <w:rFonts w:ascii="Calibri" w:hAnsi="Calibri" w:cs="Calibri"/>
          <w:w w:val="110"/>
        </w:rPr>
        <w:t>their</w:t>
      </w:r>
      <w:r w:rsidRPr="00DD7BD1">
        <w:rPr>
          <w:rFonts w:ascii="Calibri" w:hAnsi="Calibri" w:cs="Calibri"/>
          <w:spacing w:val="-13"/>
          <w:w w:val="110"/>
        </w:rPr>
        <w:t xml:space="preserve"> </w:t>
      </w:r>
      <w:r w:rsidRPr="00DD7BD1">
        <w:rPr>
          <w:rFonts w:ascii="Calibri" w:hAnsi="Calibri" w:cs="Calibri"/>
          <w:w w:val="110"/>
        </w:rPr>
        <w:t>120th</w:t>
      </w:r>
      <w:r w:rsidRPr="00DD7BD1">
        <w:rPr>
          <w:rFonts w:ascii="Calibri" w:hAnsi="Calibri" w:cs="Calibri"/>
          <w:spacing w:val="-14"/>
          <w:w w:val="110"/>
        </w:rPr>
        <w:t xml:space="preserve"> </w:t>
      </w:r>
      <w:r w:rsidRPr="00DD7BD1">
        <w:rPr>
          <w:rFonts w:ascii="Calibri" w:hAnsi="Calibri" w:cs="Calibri"/>
          <w:w w:val="110"/>
        </w:rPr>
        <w:t>day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work</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use</w:t>
      </w:r>
      <w:r w:rsidRPr="00DD7BD1">
        <w:rPr>
          <w:rFonts w:ascii="Calibri" w:hAnsi="Calibri" w:cs="Calibri"/>
          <w:spacing w:val="-12"/>
          <w:w w:val="110"/>
        </w:rPr>
        <w:t xml:space="preserve"> </w:t>
      </w:r>
      <w:r w:rsidRPr="00DD7BD1">
        <w:rPr>
          <w:rFonts w:ascii="Calibri" w:hAnsi="Calibri" w:cs="Calibri"/>
          <w:w w:val="110"/>
        </w:rPr>
        <w:t>accrued</w:t>
      </w:r>
      <w:r w:rsidRPr="00DD7BD1">
        <w:rPr>
          <w:rFonts w:ascii="Calibri" w:hAnsi="Calibri" w:cs="Calibri"/>
          <w:spacing w:val="-14"/>
          <w:w w:val="110"/>
        </w:rPr>
        <w:t xml:space="preserve"> </w:t>
      </w:r>
      <w:r w:rsidRPr="00DD7BD1">
        <w:rPr>
          <w:rFonts w:ascii="Calibri" w:hAnsi="Calibri" w:cs="Calibri"/>
          <w:w w:val="110"/>
        </w:rPr>
        <w:t>earned</w:t>
      </w:r>
      <w:r w:rsidRPr="00DD7BD1">
        <w:rPr>
          <w:rFonts w:ascii="Calibri" w:hAnsi="Calibri" w:cs="Calibri"/>
          <w:spacing w:val="-14"/>
          <w:w w:val="110"/>
        </w:rPr>
        <w:t xml:space="preserve"> </w:t>
      </w:r>
      <w:r w:rsidRPr="00DD7BD1">
        <w:rPr>
          <w:rFonts w:ascii="Calibri" w:hAnsi="Calibri" w:cs="Calibri"/>
          <w:w w:val="110"/>
        </w:rPr>
        <w:t>sick</w:t>
      </w:r>
      <w:r w:rsidRPr="00DD7BD1">
        <w:rPr>
          <w:rFonts w:ascii="Calibri" w:hAnsi="Calibri" w:cs="Calibri"/>
          <w:spacing w:val="-12"/>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(EST) (instead of their 90th day)</w:t>
      </w:r>
    </w:p>
    <w:p w14:paraId="1F66C7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until</w:t>
      </w:r>
      <w:r w:rsidRPr="00DD7BD1">
        <w:rPr>
          <w:rFonts w:ascii="Calibri" w:hAnsi="Calibri" w:cs="Calibri"/>
          <w:spacing w:val="-15"/>
          <w:w w:val="110"/>
        </w:rPr>
        <w:t xml:space="preserve"> </w:t>
      </w:r>
      <w:r w:rsidRPr="00DD7BD1">
        <w:rPr>
          <w:rFonts w:ascii="Calibri" w:hAnsi="Calibri" w:cs="Calibri"/>
          <w:color w:val="C00000"/>
          <w:w w:val="110"/>
        </w:rPr>
        <w:t>March</w:t>
      </w:r>
      <w:r w:rsidRPr="00DD7BD1">
        <w:rPr>
          <w:rFonts w:ascii="Calibri" w:hAnsi="Calibri" w:cs="Calibri"/>
          <w:color w:val="C00000"/>
          <w:spacing w:val="-14"/>
          <w:w w:val="110"/>
        </w:rPr>
        <w:t xml:space="preserve"> </w:t>
      </w:r>
      <w:r w:rsidRPr="00DD7BD1">
        <w:rPr>
          <w:rFonts w:ascii="Calibri" w:hAnsi="Calibri" w:cs="Calibri"/>
          <w:color w:val="C00000"/>
          <w:w w:val="110"/>
        </w:rPr>
        <w:t>23</w:t>
      </w:r>
      <w:r w:rsidRPr="00DD7BD1">
        <w:rPr>
          <w:rFonts w:ascii="Calibri" w:hAnsi="Calibri" w:cs="Calibri"/>
          <w:color w:val="C00000"/>
          <w:spacing w:val="-13"/>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employees</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EST</w:t>
      </w:r>
      <w:r w:rsidRPr="00DD7BD1">
        <w:rPr>
          <w:rFonts w:ascii="Calibri" w:hAnsi="Calibri" w:cs="Calibri"/>
          <w:spacing w:val="-15"/>
          <w:w w:val="110"/>
        </w:rPr>
        <w:t xml:space="preserve"> </w:t>
      </w:r>
      <w:r w:rsidRPr="00DD7BD1">
        <w:rPr>
          <w:rFonts w:ascii="Calibri" w:hAnsi="Calibri" w:cs="Calibri"/>
          <w:w w:val="110"/>
        </w:rPr>
        <w:t>rights</w:t>
      </w:r>
      <w:r w:rsidRPr="00DD7BD1">
        <w:rPr>
          <w:rFonts w:ascii="Calibri" w:hAnsi="Calibri" w:cs="Calibri"/>
          <w:spacing w:val="-16"/>
          <w:w w:val="110"/>
        </w:rPr>
        <w:t xml:space="preserve"> </w:t>
      </w:r>
      <w:r w:rsidRPr="00DD7BD1">
        <w:rPr>
          <w:rFonts w:ascii="Calibri" w:hAnsi="Calibri" w:cs="Calibri"/>
          <w:w w:val="110"/>
        </w:rPr>
        <w:t>(instead</w:t>
      </w:r>
      <w:r w:rsidRPr="00DD7BD1">
        <w:rPr>
          <w:rFonts w:ascii="Calibri" w:hAnsi="Calibri" w:cs="Calibri"/>
          <w:spacing w:val="-16"/>
          <w:w w:val="110"/>
        </w:rPr>
        <w:t xml:space="preserve"> </w:t>
      </w:r>
      <w:r w:rsidRPr="00DD7BD1">
        <w:rPr>
          <w:rFonts w:ascii="Calibri" w:hAnsi="Calibri" w:cs="Calibri"/>
          <w:w w:val="110"/>
        </w:rPr>
        <w:t>of February</w:t>
      </w:r>
      <w:r w:rsidRPr="00DD7BD1">
        <w:rPr>
          <w:rFonts w:ascii="Calibri" w:hAnsi="Calibri" w:cs="Calibri"/>
          <w:spacing w:val="-4"/>
          <w:w w:val="110"/>
        </w:rPr>
        <w:t xml:space="preserve"> </w:t>
      </w:r>
      <w:r w:rsidRPr="00DD7BD1">
        <w:rPr>
          <w:rFonts w:ascii="Calibri" w:hAnsi="Calibri" w:cs="Calibri"/>
          <w:w w:val="110"/>
        </w:rPr>
        <w:t>21)</w:t>
      </w:r>
    </w:p>
    <w:p w14:paraId="450B1E65"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8"/>
          <w:w w:val="110"/>
        </w:rPr>
        <w:t xml:space="preserve"> </w:t>
      </w:r>
      <w:r w:rsidRPr="00DD7BD1">
        <w:rPr>
          <w:rFonts w:ascii="Calibri" w:hAnsi="Calibri" w:cs="Calibri"/>
          <w:spacing w:val="-2"/>
          <w:w w:val="110"/>
        </w:rPr>
        <w:t>who</w:t>
      </w:r>
      <w:r w:rsidRPr="00DD7BD1">
        <w:rPr>
          <w:rFonts w:ascii="Calibri" w:hAnsi="Calibri" w:cs="Calibri"/>
          <w:spacing w:val="-10"/>
          <w:w w:val="110"/>
        </w:rPr>
        <w:t xml:space="preserve"> </w:t>
      </w:r>
      <w:r w:rsidRPr="00DD7BD1">
        <w:rPr>
          <w:rFonts w:ascii="Calibri" w:hAnsi="Calibri" w:cs="Calibri"/>
          <w:spacing w:val="-2"/>
          <w:w w:val="110"/>
        </w:rPr>
        <w:t>are</w:t>
      </w:r>
      <w:r w:rsidRPr="00DD7BD1">
        <w:rPr>
          <w:rFonts w:ascii="Calibri" w:hAnsi="Calibri" w:cs="Calibri"/>
          <w:spacing w:val="-9"/>
          <w:w w:val="110"/>
        </w:rPr>
        <w:t xml:space="preserve"> </w:t>
      </w:r>
      <w:r w:rsidRPr="00DD7BD1">
        <w:rPr>
          <w:rFonts w:ascii="Calibri" w:hAnsi="Calibri" w:cs="Calibri"/>
          <w:spacing w:val="-2"/>
          <w:w w:val="110"/>
        </w:rPr>
        <w:t>rehired</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11"/>
          <w:w w:val="110"/>
        </w:rPr>
        <w:t xml:space="preserve"> </w:t>
      </w:r>
      <w:r w:rsidRPr="00DD7BD1">
        <w:rPr>
          <w:rFonts w:ascii="Calibri" w:hAnsi="Calibri" w:cs="Calibri"/>
          <w:spacing w:val="-2"/>
          <w:w w:val="110"/>
        </w:rPr>
        <w:t>two</w:t>
      </w:r>
      <w:r w:rsidRPr="00DD7BD1">
        <w:rPr>
          <w:rFonts w:ascii="Calibri" w:hAnsi="Calibri" w:cs="Calibri"/>
          <w:spacing w:val="-10"/>
          <w:w w:val="110"/>
        </w:rPr>
        <w:t xml:space="preserve"> </w:t>
      </w:r>
      <w:r w:rsidRPr="00DD7BD1">
        <w:rPr>
          <w:rFonts w:ascii="Calibri" w:hAnsi="Calibri" w:cs="Calibri"/>
          <w:spacing w:val="-2"/>
          <w:w w:val="110"/>
        </w:rPr>
        <w:t>months</w:t>
      </w:r>
      <w:r w:rsidRPr="00DD7BD1">
        <w:rPr>
          <w:rFonts w:ascii="Calibri" w:hAnsi="Calibri" w:cs="Calibri"/>
          <w:spacing w:val="-10"/>
          <w:w w:val="110"/>
        </w:rPr>
        <w:t xml:space="preserve"> </w:t>
      </w:r>
      <w:r w:rsidRPr="00DD7BD1">
        <w:rPr>
          <w:rFonts w:ascii="Calibri" w:hAnsi="Calibri" w:cs="Calibri"/>
          <w:spacing w:val="-2"/>
          <w:w w:val="110"/>
        </w:rPr>
        <w:t>(instead</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six)</w:t>
      </w:r>
      <w:r w:rsidRPr="00DD7BD1">
        <w:rPr>
          <w:rFonts w:ascii="Calibri" w:hAnsi="Calibri" w:cs="Calibri"/>
          <w:spacing w:val="-11"/>
          <w:w w:val="110"/>
        </w:rPr>
        <w:t xml:space="preserve"> </w:t>
      </w:r>
      <w:r w:rsidRPr="00DD7BD1">
        <w:rPr>
          <w:rFonts w:ascii="Calibri" w:hAnsi="Calibri" w:cs="Calibri"/>
          <w:spacing w:val="-2"/>
          <w:w w:val="110"/>
        </w:rPr>
        <w:t>need</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have</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9"/>
          <w:w w:val="110"/>
        </w:rPr>
        <w:t xml:space="preserve"> </w:t>
      </w:r>
      <w:r w:rsidRPr="00DD7BD1">
        <w:rPr>
          <w:rFonts w:ascii="Calibri" w:hAnsi="Calibri" w:cs="Calibri"/>
          <w:spacing w:val="-2"/>
          <w:w w:val="110"/>
        </w:rPr>
        <w:t>unused</w:t>
      </w:r>
      <w:r w:rsidRPr="00DD7BD1">
        <w:rPr>
          <w:rFonts w:ascii="Calibri" w:hAnsi="Calibri" w:cs="Calibri"/>
          <w:spacing w:val="-8"/>
          <w:w w:val="110"/>
        </w:rPr>
        <w:t xml:space="preserve"> </w:t>
      </w:r>
      <w:r w:rsidRPr="00DD7BD1">
        <w:rPr>
          <w:rFonts w:ascii="Calibri" w:hAnsi="Calibri" w:cs="Calibri"/>
          <w:spacing w:val="-2"/>
          <w:w w:val="110"/>
        </w:rPr>
        <w:t>EST</w:t>
      </w:r>
      <w:r w:rsidRPr="00DD7BD1">
        <w:rPr>
          <w:rFonts w:ascii="Calibri" w:hAnsi="Calibri" w:cs="Calibri"/>
          <w:spacing w:val="-9"/>
          <w:w w:val="110"/>
        </w:rPr>
        <w:t xml:space="preserve"> </w:t>
      </w:r>
      <w:r w:rsidRPr="00DD7BD1">
        <w:rPr>
          <w:rFonts w:ascii="Calibri" w:hAnsi="Calibri" w:cs="Calibri"/>
          <w:spacing w:val="-2"/>
          <w:w w:val="110"/>
        </w:rPr>
        <w:t xml:space="preserve">restored, </w:t>
      </w:r>
      <w:r w:rsidRPr="00DD7BD1">
        <w:rPr>
          <w:rFonts w:ascii="Calibri" w:hAnsi="Calibri" w:cs="Calibri"/>
          <w:w w:val="110"/>
        </w:rPr>
        <w:t>unless it was paid out at termination</w:t>
      </w:r>
    </w:p>
    <w:p w14:paraId="5699E141" w14:textId="77777777" w:rsidR="003A22A9" w:rsidRPr="00DD7BD1" w:rsidRDefault="003A22A9" w:rsidP="003A22A9">
      <w:pPr>
        <w:pStyle w:val="BodyText"/>
        <w:spacing w:after="0" w:line="240" w:lineRule="auto"/>
        <w:ind w:right="-270"/>
        <w:rPr>
          <w:rFonts w:cs="Calibri"/>
          <w:w w:val="110"/>
          <w:sz w:val="16"/>
          <w:szCs w:val="16"/>
        </w:rPr>
      </w:pPr>
    </w:p>
    <w:p w14:paraId="54B7F994" w14:textId="68636F46" w:rsidR="003A22A9" w:rsidRPr="00DD7BD1" w:rsidRDefault="003A22A9" w:rsidP="003A22A9">
      <w:pPr>
        <w:spacing w:after="0" w:line="240" w:lineRule="auto"/>
        <w:jc w:val="center"/>
        <w:rPr>
          <w:rFonts w:ascii="Calibri" w:hAnsi="Calibri" w:cs="Calibri"/>
          <w:b/>
          <w:bCs/>
          <w:sz w:val="28"/>
          <w:szCs w:val="28"/>
          <w:shd w:val="clear" w:color="auto" w:fill="FFFFFF"/>
        </w:rPr>
      </w:pPr>
      <w:r w:rsidRPr="00DD7BD1">
        <w:rPr>
          <w:rFonts w:ascii="Calibri" w:hAnsi="Calibri" w:cs="Calibri"/>
          <w:w w:val="110"/>
        </w:rPr>
        <w:t>The</w:t>
      </w:r>
      <w:r w:rsidRPr="00DD7BD1">
        <w:rPr>
          <w:rFonts w:ascii="Calibri" w:hAnsi="Calibri" w:cs="Calibri"/>
          <w:spacing w:val="-16"/>
          <w:w w:val="110"/>
        </w:rPr>
        <w:t xml:space="preserve"> </w:t>
      </w:r>
      <w:hyperlink r:id="rId762">
        <w:r w:rsidRPr="00DD7BD1">
          <w:rPr>
            <w:rFonts w:ascii="Calibri" w:hAnsi="Calibri" w:cs="Calibri"/>
            <w:color w:val="0000FF"/>
            <w:w w:val="110"/>
            <w:u w:val="single" w:color="0000FF"/>
          </w:rPr>
          <w:t>notice</w:t>
        </w:r>
        <w:r w:rsidRPr="00DD7BD1">
          <w:rPr>
            <w:rFonts w:ascii="Calibri" w:hAnsi="Calibri" w:cs="Calibri"/>
            <w:color w:val="0000FF"/>
            <w:spacing w:val="-13"/>
            <w:w w:val="110"/>
            <w:u w:val="single" w:color="0000FF"/>
          </w:rPr>
          <w:t xml:space="preserve"> </w:t>
        </w:r>
        <w:r w:rsidRPr="00DD7BD1">
          <w:rPr>
            <w:rFonts w:ascii="Calibri" w:hAnsi="Calibri" w:cs="Calibri"/>
            <w:color w:val="0000FF"/>
            <w:w w:val="110"/>
            <w:u w:val="single" w:color="0000FF"/>
          </w:rPr>
          <w:t>poster</w:t>
        </w:r>
      </w:hyperlink>
      <w:r w:rsidRPr="00DD7BD1">
        <w:rPr>
          <w:rFonts w:ascii="Calibri" w:hAnsi="Calibri" w:cs="Calibri"/>
          <w:color w:val="0000FF"/>
          <w:spacing w:val="-15"/>
          <w:w w:val="110"/>
        </w:rPr>
        <w:t xml:space="preserve"> </w:t>
      </w:r>
      <w:r w:rsidRPr="00DD7BD1">
        <w:rPr>
          <w:rFonts w:ascii="Calibri" w:hAnsi="Calibri" w:cs="Calibri"/>
          <w:w w:val="110"/>
        </w:rPr>
        <w:t>provided</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5"/>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been</w:t>
      </w:r>
      <w:r w:rsidRPr="00DD7BD1">
        <w:rPr>
          <w:rFonts w:ascii="Calibri" w:hAnsi="Calibri" w:cs="Calibri"/>
          <w:spacing w:val="-18"/>
          <w:w w:val="110"/>
        </w:rPr>
        <w:t xml:space="preserve"> </w:t>
      </w:r>
      <w:r w:rsidRPr="00DD7BD1">
        <w:rPr>
          <w:rFonts w:ascii="Calibri" w:hAnsi="Calibri" w:cs="Calibri"/>
          <w:w w:val="110"/>
        </w:rPr>
        <w:t>updated,</w:t>
      </w:r>
      <w:r w:rsidRPr="00DD7BD1">
        <w:rPr>
          <w:rFonts w:ascii="Calibri" w:hAnsi="Calibri" w:cs="Calibri"/>
          <w:spacing w:val="-14"/>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have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1"/>
          <w:w w:val="110"/>
        </w:rPr>
        <w:t xml:space="preserve"> </w:t>
      </w:r>
      <w:hyperlink r:id="rId763">
        <w:r w:rsidRPr="00DD7BD1">
          <w:rPr>
            <w:rFonts w:ascii="Calibri" w:hAnsi="Calibri" w:cs="Calibri"/>
            <w:color w:val="0000FF"/>
            <w:w w:val="110"/>
            <w:u w:val="single" w:color="0000FF"/>
          </w:rPr>
          <w:t>FAQs</w:t>
        </w:r>
      </w:hyperlink>
      <w:r w:rsidRPr="00DD7BD1">
        <w:rPr>
          <w:rFonts w:ascii="Calibri" w:hAnsi="Calibri" w:cs="Calibri"/>
          <w:w w:val="110"/>
        </w:rPr>
        <w:t>. Access the amended</w:t>
      </w:r>
    </w:p>
    <w:bookmarkEnd w:id="110"/>
    <w:p w14:paraId="20AA46A5" w14:textId="6B87D309" w:rsidR="00BB4530" w:rsidRPr="00DD7BD1" w:rsidRDefault="00BB4530" w:rsidP="00BB4530">
      <w:pPr>
        <w:spacing w:after="0" w:line="240" w:lineRule="auto"/>
        <w:jc w:val="center"/>
        <w:rPr>
          <w:rFonts w:ascii="Calibri" w:hAnsi="Calibri" w:cs="Calibri"/>
          <w:color w:val="000000" w:themeColor="text1"/>
          <w:sz w:val="28"/>
          <w:szCs w:val="28"/>
          <w:shd w:val="clear" w:color="auto" w:fill="FFFFFF"/>
        </w:rPr>
      </w:pPr>
      <w:r w:rsidRPr="00DD7BD1">
        <w:rPr>
          <w:rFonts w:ascii="Calibri" w:hAnsi="Calibri" w:cs="Calibri"/>
          <w:b/>
          <w:bCs/>
          <w:sz w:val="28"/>
          <w:szCs w:val="28"/>
          <w:shd w:val="clear" w:color="auto" w:fill="FFFFFF"/>
        </w:rPr>
        <w:t xml:space="preserve">Updated </w:t>
      </w:r>
      <w:r w:rsidRPr="00DD7BD1">
        <w:rPr>
          <w:rFonts w:ascii="Calibri" w:hAnsi="Calibri" w:cs="Calibri"/>
          <w:b/>
          <w:bCs/>
          <w:color w:val="000000" w:themeColor="text1"/>
          <w:sz w:val="28"/>
          <w:szCs w:val="28"/>
          <w:shd w:val="clear" w:color="auto" w:fill="FFFFFF"/>
        </w:rPr>
        <w:t>Paid Sick Leave –</w:t>
      </w:r>
      <w:r w:rsidRPr="00DD7BD1">
        <w:rPr>
          <w:rFonts w:ascii="Calibri" w:hAnsi="Calibri" w:cs="Calibri"/>
          <w:b/>
          <w:bCs/>
          <w:color w:val="C00000"/>
          <w:sz w:val="28"/>
          <w:szCs w:val="28"/>
          <w:shd w:val="clear" w:color="auto" w:fill="FFFFFF"/>
        </w:rPr>
        <w:t>Eff 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DD7BD1"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Just hours before the new laws were to take effect on February 21, Michigan passed amendments (</w:t>
            </w:r>
            <w:hyperlink r:id="rId764" w:tgtFrame="_blank" w:history="1">
              <w:r w:rsidRPr="00DD7BD1">
                <w:rPr>
                  <w:rStyle w:val="Hyperlink"/>
                  <w:rFonts w:ascii="Calibri" w:hAnsi="Calibri" w:cs="Calibri"/>
                  <w:shd w:val="clear" w:color="auto" w:fill="FFFFFF"/>
                </w:rPr>
                <w:t>SB 8</w:t>
              </w:r>
            </w:hyperlink>
            <w:r w:rsidRPr="00DD7BD1">
              <w:rPr>
                <w:rFonts w:ascii="Calibri" w:hAnsi="Calibri" w:cs="Calibri"/>
                <w:color w:val="000000" w:themeColor="text1"/>
                <w:shd w:val="clear" w:color="auto" w:fill="FFFFFF"/>
              </w:rPr>
              <w:t> and </w:t>
            </w:r>
            <w:hyperlink r:id="rId765" w:tgtFrame="_blank" w:history="1">
              <w:r w:rsidRPr="00DD7BD1">
                <w:rPr>
                  <w:rStyle w:val="Hyperlink"/>
                  <w:rFonts w:ascii="Calibri" w:hAnsi="Calibri" w:cs="Calibri"/>
                  <w:shd w:val="clear" w:color="auto" w:fill="FFFFFF"/>
                </w:rPr>
                <w:t>HB 4002</w:t>
              </w:r>
            </w:hyperlink>
            <w:r w:rsidRPr="00DD7BD1">
              <w:rPr>
                <w:rFonts w:ascii="Calibri" w:hAnsi="Calibri" w:cs="Calibri"/>
                <w:color w:val="000000" w:themeColor="text1"/>
                <w:shd w:val="clear" w:color="auto" w:fill="FFFFFF"/>
              </w:rPr>
              <w:t>) to both minimum wage and sick leave. The changes took effect immediately when signed by the governor a few hours later. The key changes and clarifications included below:</w:t>
            </w:r>
          </w:p>
          <w:p w14:paraId="1D2B138F"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189A244D"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The future minimum wage increases are now a little bigger and coming a little sooner. </w:t>
            </w:r>
          </w:p>
          <w:p w14:paraId="6C6F5F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Min Wage Rates are now:</w:t>
            </w:r>
          </w:p>
          <w:p w14:paraId="07A282C9"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$13.73 per hour starting January 1, 2026</w:t>
            </w:r>
          </w:p>
          <w:p w14:paraId="0080193D"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$15 per hour starting January 1, 2027</w:t>
            </w:r>
          </w:p>
          <w:p w14:paraId="4D54DFD3"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p>
          <w:p w14:paraId="4C1B7101"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766" w:tgtFrame="_blank" w:history="1">
              <w:r w:rsidRPr="00DD7BD1">
                <w:rPr>
                  <w:rStyle w:val="Hyperlink"/>
                  <w:rFonts w:ascii="Calibri" w:hAnsi="Calibri" w:cs="Calibri"/>
                  <w:shd w:val="clear" w:color="auto" w:fill="FFFFFF"/>
                </w:rPr>
                <w:t>FAQ</w:t>
              </w:r>
            </w:hyperlink>
            <w:r w:rsidRPr="00DD7BD1">
              <w:rPr>
                <w:rFonts w:ascii="Calibri" w:hAnsi="Calibri" w:cs="Calibri"/>
                <w:color w:val="000000" w:themeColor="text1"/>
                <w:shd w:val="clear" w:color="auto" w:fill="FFFFFF"/>
              </w:rPr>
              <w:t>. </w:t>
            </w:r>
          </w:p>
          <w:p w14:paraId="53CB0004"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DCC6C53" w14:textId="77777777" w:rsidR="00BB4530" w:rsidRPr="00DD7BD1" w:rsidRDefault="00BB4530" w:rsidP="00FF1D47">
            <w:pPr>
              <w:tabs>
                <w:tab w:val="left" w:pos="10890"/>
              </w:tabs>
              <w:spacing w:after="0"/>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PAID SICK LEAVE</w:t>
            </w:r>
            <w:r w:rsidRPr="00DD7BD1">
              <w:rPr>
                <w:rFonts w:ascii="Calibri" w:hAnsi="Calibri" w:cs="Calibri"/>
                <w:color w:val="000000" w:themeColor="text1"/>
                <w:shd w:val="clear" w:color="auto" w:fill="FFFFFF"/>
              </w:rPr>
              <w:br/>
              <w:t>The legislature did </w:t>
            </w:r>
            <w:r w:rsidRPr="00DD7BD1">
              <w:rPr>
                <w:rFonts w:ascii="Calibri" w:hAnsi="Calibri" w:cs="Calibri"/>
                <w:bCs/>
                <w:i/>
                <w:iCs/>
                <w:color w:val="000000" w:themeColor="text1"/>
                <w:shd w:val="clear" w:color="auto" w:fill="FFFFFF"/>
              </w:rPr>
              <w:t>not</w:t>
            </w:r>
            <w:r w:rsidRPr="00DD7BD1">
              <w:rPr>
                <w:rFonts w:ascii="Calibri" w:hAnsi="Calibri" w:cs="Calibri"/>
                <w:color w:val="000000" w:themeColor="text1"/>
                <w:shd w:val="clear" w:color="auto" w:fill="FFFFFF"/>
              </w:rPr>
              <w:t> drastically overhaul the sick leave law (like they did back in 2018), but did make it a little easier to manage for small employers. They also added to or clarified a few aspects of the law. </w:t>
            </w:r>
          </w:p>
          <w:p w14:paraId="166481F3"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8D9F9EE"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hd w:val="clear" w:color="auto" w:fill="FFFFFF"/>
              </w:rPr>
            </w:pPr>
            <w:r w:rsidRPr="00DD7BD1">
              <w:rPr>
                <w:rFonts w:ascii="Calibri" w:hAnsi="Calibri" w:cs="Calibri"/>
                <w:b/>
                <w:bCs/>
                <w:color w:val="000000" w:themeColor="text1"/>
                <w:shd w:val="clear" w:color="auto" w:fill="FFFFFF"/>
              </w:rPr>
              <w:t>Key changes:</w:t>
            </w:r>
          </w:p>
          <w:p w14:paraId="4D55F13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definition of “small employer” is now an employer with 10 or fewer employees (instead of nine or fewer)</w:t>
            </w:r>
          </w:p>
          <w:p w14:paraId="75135E9C"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Small employers don’t have to comply until </w:t>
            </w:r>
            <w:r w:rsidRPr="00DD7BD1">
              <w:rPr>
                <w:rFonts w:ascii="Calibri" w:hAnsi="Calibri" w:cs="Calibri"/>
                <w:color w:val="C00000"/>
                <w:shd w:val="clear" w:color="auto" w:fill="FFFFFF"/>
              </w:rPr>
              <w:t>October 1, 2025</w:t>
            </w:r>
          </w:p>
          <w:p w14:paraId="0321772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Small employers only need to provide 40 hours of paid sick leave per year (the</w:t>
            </w:r>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additional 32 hours of </w:t>
            </w:r>
            <w:r w:rsidRPr="00DD7BD1">
              <w:rPr>
                <w:rFonts w:ascii="Calibri" w:hAnsi="Calibri" w:cs="Calibri"/>
                <w:i/>
                <w:iCs/>
                <w:color w:val="000000" w:themeColor="text1"/>
                <w:shd w:val="clear" w:color="auto" w:fill="FFFFFF"/>
              </w:rPr>
              <w:t>unpaid</w:t>
            </w:r>
            <w:r w:rsidRPr="00DD7BD1">
              <w:rPr>
                <w:rFonts w:ascii="Calibri" w:hAnsi="Calibri" w:cs="Calibri"/>
                <w:color w:val="000000" w:themeColor="text1"/>
                <w:shd w:val="clear" w:color="auto" w:fill="FFFFFF"/>
              </w:rPr>
              <w:t> sick leave is not required)</w:t>
            </w:r>
          </w:p>
          <w:p w14:paraId="35E46C48"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can make new hires wait until their 120th day of work to use accrued earned sick time (EST) (instead of their 90th day)</w:t>
            </w:r>
          </w:p>
          <w:p w14:paraId="171AD596"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Employers now have until </w:t>
            </w:r>
            <w:r w:rsidRPr="00DD7BD1">
              <w:rPr>
                <w:rFonts w:ascii="Calibri" w:hAnsi="Calibri" w:cs="Calibri"/>
                <w:color w:val="C00000"/>
                <w:shd w:val="clear" w:color="auto" w:fill="FFFFFF"/>
              </w:rPr>
              <w:t xml:space="preserve">March 23 </w:t>
            </w:r>
            <w:r w:rsidRPr="00DD7BD1">
              <w:rPr>
                <w:rFonts w:ascii="Calibri" w:hAnsi="Calibri" w:cs="Calibri"/>
                <w:color w:val="000000" w:themeColor="text1"/>
                <w:shd w:val="clear" w:color="auto" w:fill="FFFFFF"/>
              </w:rPr>
              <w:t>to provide employees with notice of their EST rights (instead of February 21)</w:t>
            </w:r>
          </w:p>
          <w:p w14:paraId="7B809449"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4FE143E7"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Key clarifications</w:t>
            </w:r>
            <w:r w:rsidRPr="00DD7BD1">
              <w:rPr>
                <w:rFonts w:ascii="Calibri" w:hAnsi="Calibri" w:cs="Calibri"/>
                <w:color w:val="000000" w:themeColor="text1"/>
                <w:shd w:val="clear" w:color="auto" w:fill="FFFFFF"/>
              </w:rPr>
              <w:t>—many of these provisions would have been assumed even though they were omitted, but now they are crystal clear:</w:t>
            </w:r>
          </w:p>
          <w:p w14:paraId="0FF6E4B7"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Frontloading is expressly allowed and alleviates the need for carryover</w:t>
            </w:r>
          </w:p>
          <w:p w14:paraId="0DB0F442"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are expressly allowed to take disciplinary action against employees who use EST for inappropriate purposes</w:t>
            </w:r>
          </w:p>
          <w:p w14:paraId="3FC4A0CD"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who opt to have a single bank of paid time off only need to treat 72 hours of it like EST (or 40 for small employers)</w:t>
            </w:r>
          </w:p>
          <w:p w14:paraId="7559A832" w14:textId="77777777" w:rsidR="00BB4530" w:rsidRPr="00DD7BD1" w:rsidRDefault="00BB4530" w:rsidP="00FF1D47">
            <w:pPr>
              <w:tabs>
                <w:tab w:val="left" w:pos="10890"/>
              </w:tabs>
              <w:spacing w:after="0" w:line="240" w:lineRule="auto"/>
              <w:ind w:left="360" w:right="180"/>
              <w:rPr>
                <w:rFonts w:ascii="Calibri" w:hAnsi="Calibri" w:cs="Calibri"/>
                <w:color w:val="000000" w:themeColor="text1"/>
                <w:shd w:val="clear" w:color="auto" w:fill="FFFFFF"/>
              </w:rPr>
            </w:pPr>
          </w:p>
          <w:p w14:paraId="0B966A32"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w:t>
            </w:r>
            <w:hyperlink r:id="rId767" w:tgtFrame="_blank" w:history="1">
              <w:r w:rsidRPr="00DD7BD1">
                <w:rPr>
                  <w:rStyle w:val="Hyperlink"/>
                  <w:rFonts w:ascii="Calibri" w:hAnsi="Calibri" w:cs="Calibri"/>
                  <w:shd w:val="clear" w:color="auto" w:fill="FFFFFF"/>
                </w:rPr>
                <w:t>notice poster</w:t>
              </w:r>
            </w:hyperlink>
            <w:r w:rsidRPr="00DD7BD1">
              <w:rPr>
                <w:rFonts w:ascii="Calibri" w:hAnsi="Calibri" w:cs="Calibri"/>
                <w:color w:val="000000" w:themeColor="text1"/>
                <w:shd w:val="clear" w:color="auto" w:fill="FFFFFF"/>
              </w:rPr>
              <w:t> provided by the state has been updated, as have the </w:t>
            </w:r>
            <w:hyperlink r:id="rId768" w:tgtFrame="_blank" w:history="1">
              <w:r w:rsidRPr="00DD7BD1">
                <w:rPr>
                  <w:rStyle w:val="Hyperlink"/>
                  <w:rFonts w:ascii="Calibri" w:hAnsi="Calibri" w:cs="Calibri"/>
                  <w:shd w:val="clear" w:color="auto" w:fill="FFFFFF"/>
                </w:rPr>
                <w:t>FAQs</w:t>
              </w:r>
            </w:hyperlink>
            <w:r w:rsidRPr="00DD7BD1">
              <w:rPr>
                <w:rFonts w:ascii="Calibri" w:hAnsi="Calibri" w:cs="Calibri"/>
                <w:color w:val="000000" w:themeColor="text1"/>
                <w:shd w:val="clear" w:color="auto" w:fill="FFFFFF"/>
              </w:rPr>
              <w:t xml:space="preserve">. </w:t>
            </w:r>
          </w:p>
          <w:p w14:paraId="2474C686"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Access the amended law </w:t>
            </w:r>
            <w:hyperlink r:id="rId769" w:tgtFrame="_blank" w:history="1">
              <w:r w:rsidRPr="00DD7BD1">
                <w:rPr>
                  <w:rStyle w:val="Hyperlink"/>
                  <w:rFonts w:ascii="Calibri" w:hAnsi="Calibri" w:cs="Calibri"/>
                  <w:shd w:val="clear" w:color="auto" w:fill="FFFFFF"/>
                </w:rPr>
                <w:t>here</w:t>
              </w:r>
            </w:hyperlink>
            <w:r w:rsidRPr="00DD7BD1">
              <w:rPr>
                <w:rFonts w:ascii="Calibri" w:hAnsi="Calibri" w:cs="Calibri"/>
                <w:color w:val="000000" w:themeColor="text1"/>
                <w:shd w:val="clear" w:color="auto" w:fill="FFFFFF"/>
              </w:rPr>
              <w:t>.</w:t>
            </w:r>
          </w:p>
          <w:p w14:paraId="53749041" w14:textId="77777777" w:rsidR="00BB4530" w:rsidRPr="00DD7BD1" w:rsidRDefault="00BB4530" w:rsidP="00BB4530">
            <w:pPr>
              <w:spacing w:after="0" w:line="240" w:lineRule="auto"/>
              <w:rPr>
                <w:rFonts w:ascii="Calibri" w:hAnsi="Calibri" w:cs="Calibri"/>
                <w:color w:val="000000" w:themeColor="text1"/>
                <w:shd w:val="clear" w:color="auto" w:fill="FFFFFF"/>
              </w:rPr>
            </w:pPr>
          </w:p>
        </w:tc>
      </w:tr>
    </w:tbl>
    <w:p w14:paraId="45AB9400" w14:textId="169014BF" w:rsidR="00BD445F" w:rsidRPr="00DD7BD1" w:rsidRDefault="00BD445F" w:rsidP="00BB453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Child Labor Protections – </w:t>
      </w:r>
      <w:r w:rsidRPr="00DD7BD1">
        <w:rPr>
          <w:rFonts w:ascii="Calibri" w:hAnsi="Calibri" w:cs="Calibri"/>
          <w:b/>
          <w:bCs/>
          <w:color w:val="C00000"/>
          <w:sz w:val="28"/>
          <w:szCs w:val="28"/>
          <w:shd w:val="clear" w:color="auto" w:fill="FFFFFF"/>
          <w:lang w:val="en"/>
        </w:rPr>
        <w:t>April 2, 2025 &amp; Oct 2, 2026</w:t>
      </w:r>
    </w:p>
    <w:p w14:paraId="62599B3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take effect April 2, 2025, though some provisions, including the registration system requirements, are effective October 2, 2026. </w:t>
      </w:r>
      <w:hyperlink r:id="rId770" w:tgtFrame="_blank" w:history="1">
        <w:r w:rsidRPr="00DD7BD1">
          <w:rPr>
            <w:rStyle w:val="Hyperlink"/>
            <w:rFonts w:ascii="Calibri" w:hAnsi="Calibri" w:cs="Calibri"/>
            <w:shd w:val="clear" w:color="auto" w:fill="FFFFFF"/>
          </w:rPr>
          <w:t>MI HB 5594</w:t>
        </w:r>
      </w:hyperlink>
      <w:r w:rsidRPr="00DD7BD1">
        <w:rPr>
          <w:rFonts w:ascii="Calibri" w:hAnsi="Calibri" w:cs="Calibri"/>
          <w:shd w:val="clear" w:color="auto" w:fill="FFFFFF"/>
        </w:rPr>
        <w:t> was signed by the governor on January 16, 2025.</w:t>
      </w:r>
    </w:p>
    <w:p w14:paraId="1A81BB83" w14:textId="77777777" w:rsidR="00BD445F" w:rsidRPr="00DD7BD1" w:rsidRDefault="00BD445F" w:rsidP="00BD445F">
      <w:pPr>
        <w:spacing w:after="0" w:line="240" w:lineRule="auto"/>
        <w:jc w:val="center"/>
        <w:rPr>
          <w:rFonts w:ascii="Calibri" w:hAnsi="Calibri" w:cs="Calibri"/>
          <w:sz w:val="20"/>
          <w:szCs w:val="20"/>
          <w:shd w:val="clear" w:color="auto" w:fill="FFFFFF"/>
        </w:rPr>
      </w:pPr>
    </w:p>
    <w:p w14:paraId="7E0351B3" w14:textId="77777777" w:rsidR="00BD445F" w:rsidRPr="00DD7BD1" w:rsidRDefault="00BD445F" w:rsidP="00BD445F">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11" w:name="_Hlk190083637"/>
      <w:r w:rsidRPr="00DD7BD1">
        <w:rPr>
          <w:rFonts w:ascii="Calibri" w:hAnsi="Calibri" w:cs="Calibri"/>
          <w:b/>
          <w:bCs/>
          <w:sz w:val="28"/>
          <w:szCs w:val="28"/>
          <w:shd w:val="clear" w:color="auto" w:fill="FFFFFF"/>
          <w:lang w:val="en"/>
        </w:rPr>
        <w:t xml:space="preserve">State’s Earned Sick Time in Effect - </w:t>
      </w:r>
      <w:r w:rsidRPr="00DD7BD1">
        <w:rPr>
          <w:rFonts w:ascii="Calibri" w:hAnsi="Calibri" w:cs="Calibri"/>
          <w:b/>
          <w:bCs/>
          <w:color w:val="C00000"/>
          <w:sz w:val="28"/>
          <w:szCs w:val="28"/>
          <w:shd w:val="clear" w:color="auto" w:fill="FFFFFF"/>
          <w:lang w:val="en"/>
        </w:rPr>
        <w:t>Feb 21, 2025</w:t>
      </w:r>
    </w:p>
    <w:bookmarkEnd w:id="111"/>
    <w:p w14:paraId="60623A4F"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Earned Sick Time Act requires employers of </w:t>
      </w:r>
      <w:r w:rsidRPr="00DD7BD1">
        <w:rPr>
          <w:rFonts w:ascii="Calibri" w:hAnsi="Calibri" w:cs="Calibri"/>
          <w:i/>
          <w:iCs/>
          <w:shd w:val="clear" w:color="auto" w:fill="FFFFFF"/>
        </w:rPr>
        <w:t>all sizes</w:t>
      </w:r>
      <w:r w:rsidRPr="00DD7BD1">
        <w:rPr>
          <w:rFonts w:ascii="Calibri" w:hAnsi="Calibri" w:cs="Calibri"/>
          <w:shd w:val="clear" w:color="auto" w:fill="FFFFFF"/>
        </w:rPr>
        <w:t> to provide paid earned sick time (EST) to all Michigan employees, up to 72 hours per year. There are no exemption for small employers; however, those with nine or fewer employees only have to pay for the first 40 hours of EST used—any remaining hours can be unpaid.</w:t>
      </w:r>
    </w:p>
    <w:p w14:paraId="3363D353"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17AEDCD7"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79A005B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Accrual and Carryover</w:t>
      </w:r>
      <w:r w:rsidRPr="00DD7BD1">
        <w:rPr>
          <w:rFonts w:ascii="Calibri" w:hAnsi="Calibri" w:cs="Calibri"/>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According to FAQs from LEO, employers are permitted to frontload all 72 hours (or more) at the beginning of the benefit year. Prorating is not addressed.</w:t>
      </w:r>
    </w:p>
    <w:p w14:paraId="50DAF1E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Carryover of unused, accrued EST must be allowed from year to year, even if frontloaded.</w:t>
      </w:r>
    </w:p>
    <w:p w14:paraId="7A7E2A30"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Use</w:t>
      </w:r>
      <w:r w:rsidRPr="00DD7BD1">
        <w:rPr>
          <w:rFonts w:ascii="Calibri" w:hAnsi="Calibri" w:cs="Calibri"/>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Their own or their family member’s mental or physical illness, injury, or health condition, including medical diagnosis, care, treatment, or preventive medical care</w:t>
      </w:r>
    </w:p>
    <w:p w14:paraId="187BF035"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domestic violence or sexual assault</w:t>
      </w:r>
    </w:p>
    <w:p w14:paraId="65BAE3CA"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Meetings at their child’s school or place of care related to the child’s health, disability, or the effects of domestic violence or sexual assault on the child</w:t>
      </w:r>
    </w:p>
    <w:p w14:paraId="4DC1A19C"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closure of their workplace or their child’s school or place of care by a public health official because of a public health emergency</w:t>
      </w:r>
    </w:p>
    <w:p w14:paraId="1861C6B9"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limiting the spread of a communicable disease</w:t>
      </w:r>
    </w:p>
    <w:p w14:paraId="7A11740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can cap annual use of EST at 72 hours.</w:t>
      </w:r>
    </w:p>
    <w:p w14:paraId="0A9C518A"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29F0C252"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Documentation</w:t>
      </w:r>
      <w:r w:rsidRPr="00DD7BD1">
        <w:rPr>
          <w:rFonts w:ascii="Calibri" w:hAnsi="Calibri" w:cs="Calibri"/>
          <w:shd w:val="clear" w:color="auto" w:fill="FFFFFF"/>
        </w:rPr>
        <w:br/>
        <w:t>When employees use EST for </w:t>
      </w:r>
      <w:r w:rsidRPr="00DD7BD1">
        <w:rPr>
          <w:rFonts w:ascii="Calibri" w:hAnsi="Calibri" w:cs="Calibri"/>
          <w:i/>
          <w:iCs/>
          <w:shd w:val="clear" w:color="auto" w:fill="FFFFFF"/>
        </w:rPr>
        <w:t>more</w:t>
      </w:r>
      <w:r w:rsidRPr="00DD7BD1">
        <w:rPr>
          <w:rFonts w:ascii="Calibri" w:hAnsi="Calibri" w:cs="Calibri"/>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19B81B4B"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Notice</w:t>
      </w:r>
      <w:r w:rsidRPr="00DD7BD1">
        <w:rPr>
          <w:rFonts w:ascii="Calibri" w:hAnsi="Calibri" w:cs="Calibri"/>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771"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46FBC365"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4383C78B"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More Information</w:t>
      </w:r>
      <w:r w:rsidRPr="00DD7BD1">
        <w:rPr>
          <w:rFonts w:ascii="Calibri" w:hAnsi="Calibri" w:cs="Calibri"/>
          <w:b/>
          <w:bCs/>
          <w:shd w:val="clear" w:color="auto" w:fill="FFFFFF"/>
        </w:rPr>
        <w:br/>
      </w:r>
      <w:r w:rsidRPr="00DD7BD1">
        <w:rPr>
          <w:rFonts w:ascii="Calibri" w:hAnsi="Calibri" w:cs="Calibri"/>
          <w:shd w:val="clear" w:color="auto" w:fill="FFFFFF"/>
        </w:rPr>
        <w:t>LEO has created an </w:t>
      </w:r>
      <w:hyperlink r:id="rId772" w:tgtFrame="_blank" w:history="1">
        <w:r w:rsidRPr="00DD7BD1">
          <w:rPr>
            <w:rStyle w:val="Hyperlink"/>
            <w:rFonts w:ascii="Calibri" w:hAnsi="Calibri" w:cs="Calibri"/>
            <w:shd w:val="clear" w:color="auto" w:fill="FFFFFF"/>
          </w:rPr>
          <w:t>EST website</w:t>
        </w:r>
      </w:hyperlink>
      <w:r w:rsidRPr="00DD7BD1">
        <w:rPr>
          <w:rFonts w:ascii="Calibri" w:hAnsi="Calibri" w:cs="Calibri"/>
          <w:shd w:val="clear" w:color="auto" w:fill="FFFFFF"/>
        </w:rPr>
        <w:t> with FAQs, informational slides, postings, and more.</w:t>
      </w:r>
    </w:p>
    <w:p w14:paraId="318AEEC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Note that legislation is currently pending that could make additional changes to these laws, if passed. These changes </w:t>
      </w:r>
      <w:r w:rsidRPr="00DD7BD1">
        <w:rPr>
          <w:rFonts w:ascii="Calibri" w:hAnsi="Calibri" w:cs="Calibri"/>
          <w:i/>
          <w:iCs/>
          <w:shd w:val="clear" w:color="auto" w:fill="FFFFFF"/>
        </w:rPr>
        <w:t>could</w:t>
      </w:r>
      <w:r w:rsidRPr="00DD7BD1">
        <w:rPr>
          <w:rFonts w:ascii="Calibri" w:hAnsi="Calibri" w:cs="Calibri"/>
          <w:shd w:val="clear" w:color="auto" w:fill="FFFFFF"/>
        </w:rPr>
        <w:t> take effect before February 21, though that appears unlikely. We’ll be monitoring the situation closely and will provide updates as needed.</w:t>
      </w:r>
    </w:p>
    <w:p w14:paraId="7C2E47F2" w14:textId="77777777" w:rsidR="00BD445F" w:rsidRPr="00DD7BD1" w:rsidRDefault="00BD445F" w:rsidP="00CD70B8">
      <w:pPr>
        <w:spacing w:after="0" w:line="240" w:lineRule="auto"/>
        <w:jc w:val="center"/>
        <w:rPr>
          <w:rFonts w:ascii="Calibri" w:hAnsi="Calibri" w:cs="Calibri"/>
          <w:b/>
          <w:bCs/>
          <w:sz w:val="20"/>
          <w:szCs w:val="20"/>
          <w:shd w:val="clear" w:color="auto" w:fill="FFFFFF"/>
        </w:rPr>
      </w:pPr>
    </w:p>
    <w:p w14:paraId="05BAA641" w14:textId="3DBC4EF8"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State Issues FAQs and Other Materials for Earned Sick Time Act – </w:t>
      </w:r>
      <w:r w:rsidRPr="00DD7BD1">
        <w:rPr>
          <w:rFonts w:ascii="Calibri" w:hAnsi="Calibri" w:cs="Calibri"/>
          <w:b/>
          <w:bCs/>
          <w:color w:val="C00000"/>
          <w:sz w:val="28"/>
          <w:szCs w:val="28"/>
          <w:shd w:val="clear" w:color="auto" w:fill="FFFFFF"/>
        </w:rPr>
        <w:t>Feb 21, 2025</w:t>
      </w:r>
    </w:p>
    <w:p w14:paraId="6488B8B8" w14:textId="77777777" w:rsidR="00CD70B8" w:rsidRPr="00DD7BD1" w:rsidRDefault="00CD70B8" w:rsidP="00CD70B8">
      <w:pPr>
        <w:spacing w:after="0" w:line="240" w:lineRule="auto"/>
        <w:rPr>
          <w:rFonts w:ascii="Calibri" w:hAnsi="Calibri" w:cs="Calibri"/>
        </w:rPr>
      </w:pPr>
      <w:r w:rsidRPr="00DD7BD1">
        <w:rPr>
          <w:rFonts w:ascii="Calibri" w:hAnsi="Calibri" w:cs="Calibri"/>
        </w:rPr>
        <w:t>The Michigan Department of Labor and Economic Opportunity has published answers to frequently asked questions (</w:t>
      </w:r>
      <w:hyperlink r:id="rId773" w:history="1">
        <w:r w:rsidRPr="00DD7BD1">
          <w:rPr>
            <w:rStyle w:val="Hyperlink"/>
            <w:rFonts w:ascii="Calibri" w:hAnsi="Calibri" w:cs="Calibri"/>
          </w:rPr>
          <w:t>FAQs</w:t>
        </w:r>
      </w:hyperlink>
      <w:r w:rsidRPr="00DD7BD1">
        <w:rPr>
          <w:rFonts w:ascii="Calibri" w:hAnsi="Calibri" w:cs="Calibri"/>
        </w:rPr>
        <w:t xml:space="preserve">) about the upcoming </w:t>
      </w:r>
      <w:hyperlink r:id="rId774" w:history="1">
        <w:r w:rsidRPr="00DD7BD1">
          <w:rPr>
            <w:rStyle w:val="Hyperlink"/>
            <w:rFonts w:ascii="Calibri" w:hAnsi="Calibri" w:cs="Calibri"/>
          </w:rPr>
          <w:t>Earned Sick Time Act</w:t>
        </w:r>
      </w:hyperlink>
      <w:r w:rsidRPr="00DD7BD1">
        <w:rPr>
          <w:rFonts w:ascii="Calibri" w:hAnsi="Calibri" w:cs="Calibri"/>
        </w:rPr>
        <w:t xml:space="preserve"> (ESTA) that will take effect Feb. 21, 2025. The department has also posted a </w:t>
      </w:r>
      <w:hyperlink r:id="rId775" w:history="1">
        <w:r w:rsidRPr="00DD7BD1">
          <w:rPr>
            <w:rStyle w:val="Hyperlink"/>
            <w:rFonts w:ascii="Calibri" w:hAnsi="Calibri" w:cs="Calibri"/>
          </w:rPr>
          <w:t>brochure</w:t>
        </w:r>
      </w:hyperlink>
      <w:r w:rsidRPr="00DD7BD1">
        <w:rPr>
          <w:rFonts w:ascii="Calibri" w:hAnsi="Calibri" w:cs="Calibri"/>
        </w:rPr>
        <w:t xml:space="preserve"> and sample </w:t>
      </w:r>
      <w:hyperlink r:id="rId776" w:history="1">
        <w:r w:rsidRPr="00DD7BD1">
          <w:rPr>
            <w:rStyle w:val="Hyperlink"/>
            <w:rFonts w:ascii="Calibri" w:hAnsi="Calibri" w:cs="Calibri"/>
          </w:rPr>
          <w:t>workplace poster</w:t>
        </w:r>
      </w:hyperlink>
      <w:r w:rsidRPr="00DD7BD1">
        <w:rPr>
          <w:rFonts w:ascii="Calibri" w:hAnsi="Calibri" w:cs="Calibri"/>
        </w:rPr>
        <w:t xml:space="preserve"> on its website, along with a recorded webinar discussing the law. </w:t>
      </w:r>
    </w:p>
    <w:p w14:paraId="2102DBE5" w14:textId="77777777" w:rsidR="00CD70B8" w:rsidRPr="00DD7BD1" w:rsidRDefault="00CD70B8" w:rsidP="00837139">
      <w:pPr>
        <w:spacing w:after="0" w:line="240" w:lineRule="auto"/>
        <w:jc w:val="center"/>
        <w:rPr>
          <w:rFonts w:ascii="Calibri" w:hAnsi="Calibri" w:cs="Calibri"/>
          <w:b/>
          <w:bCs/>
          <w:shd w:val="clear" w:color="auto" w:fill="FFFFFF"/>
        </w:rPr>
      </w:pPr>
    </w:p>
    <w:p w14:paraId="6B6245CD" w14:textId="7EF53BC4" w:rsidR="00837139" w:rsidRPr="00DD7BD1" w:rsidRDefault="00837139" w:rsidP="00837139">
      <w:pPr>
        <w:spacing w:after="0" w:line="240" w:lineRule="auto"/>
        <w:jc w:val="center"/>
        <w:rPr>
          <w:rFonts w:ascii="Calibri" w:hAnsi="Calibri" w:cs="Calibri"/>
          <w:b/>
          <w:bCs/>
          <w:sz w:val="28"/>
          <w:szCs w:val="28"/>
          <w:shd w:val="clear" w:color="auto" w:fill="FFFFFF"/>
        </w:rPr>
      </w:pPr>
      <w:bookmarkStart w:id="112" w:name="_Hlk183166567"/>
      <w:r w:rsidRPr="00DD7BD1">
        <w:rPr>
          <w:rFonts w:ascii="Calibri" w:hAnsi="Calibri" w:cs="Calibri"/>
          <w:b/>
          <w:bCs/>
          <w:sz w:val="28"/>
          <w:szCs w:val="28"/>
          <w:shd w:val="clear" w:color="auto" w:fill="FFFFFF"/>
        </w:rPr>
        <w:t xml:space="preserve">State Supreme Court Increases Minimum Wage and Paid Leave – </w:t>
      </w:r>
      <w:r w:rsidRPr="00DD7BD1">
        <w:rPr>
          <w:rFonts w:ascii="Calibri" w:hAnsi="Calibri" w:cs="Calibri"/>
          <w:b/>
          <w:bCs/>
          <w:color w:val="C00000"/>
          <w:sz w:val="28"/>
          <w:szCs w:val="28"/>
          <w:shd w:val="clear" w:color="auto" w:fill="FFFFFF"/>
        </w:rPr>
        <w:t>Feb 2025</w:t>
      </w:r>
    </w:p>
    <w:bookmarkEnd w:id="112"/>
    <w:p w14:paraId="341CBC30" w14:textId="77777777" w:rsidR="00837139" w:rsidRPr="00DD7BD1" w:rsidRDefault="00837139" w:rsidP="00837139">
      <w:pPr>
        <w:pStyle w:val="Bullet"/>
        <w:numPr>
          <w:ilvl w:val="0"/>
          <w:numId w:val="0"/>
        </w:numPr>
        <w:spacing w:line="240" w:lineRule="auto"/>
        <w:rPr>
          <w:rStyle w:val="Hyperlink"/>
          <w:rFonts w:cs="Calibri"/>
          <w:color w:val="auto"/>
          <w:u w:val="none"/>
        </w:rPr>
      </w:pPr>
      <w:r w:rsidRPr="00DD7BD1">
        <w:rPr>
          <w:rFonts w:cs="Calibri"/>
          <w:color w:val="auto"/>
        </w:rPr>
        <w:t xml:space="preserve">Michigan Supreme Court </w:t>
      </w:r>
      <w:r w:rsidRPr="00DD7BD1">
        <w:rPr>
          <w:rFonts w:cs="Calibri"/>
          <w:color w:val="auto"/>
          <w:u w:val="single"/>
        </w:rPr>
        <w:t>reversed</w:t>
      </w:r>
      <w:r w:rsidRPr="00DD7BD1">
        <w:rPr>
          <w:rFonts w:cs="Calibri"/>
          <w:color w:val="auto"/>
        </w:rPr>
        <w:t xml:space="preserve"> a lower court decision, reinstating wage and paid sick leave laws presented as 2018 ballot initiatives. This means significant changes to Michigan’s minimum wage and paid sick leave requirements, including the eventual elimination of the tipped minimum wage. The ruling was issued in the case </w:t>
      </w:r>
      <w:r w:rsidRPr="00DD7BD1">
        <w:rPr>
          <w:rFonts w:cs="Calibri"/>
          <w:i/>
          <w:iCs/>
          <w:color w:val="auto"/>
        </w:rPr>
        <w:t>Mothering Justice v. Attorney General</w:t>
      </w:r>
      <w:r w:rsidRPr="00DD7BD1">
        <w:rPr>
          <w:rStyle w:val="Hyperlink"/>
          <w:rFonts w:cs="Calibri"/>
          <w:color w:val="auto"/>
          <w:u w:val="none"/>
        </w:rPr>
        <w:t>.</w:t>
      </w:r>
    </w:p>
    <w:p w14:paraId="4D6C5ADF" w14:textId="77777777" w:rsidR="00837139" w:rsidRPr="00DD7BD1" w:rsidRDefault="00837139" w:rsidP="00837139">
      <w:pPr>
        <w:pStyle w:val="Bullet"/>
        <w:numPr>
          <w:ilvl w:val="0"/>
          <w:numId w:val="0"/>
        </w:numPr>
        <w:spacing w:line="240" w:lineRule="auto"/>
        <w:rPr>
          <w:rStyle w:val="Hyperlink"/>
          <w:rFonts w:cs="Calibri"/>
          <w:color w:val="auto"/>
          <w:sz w:val="16"/>
          <w:szCs w:val="16"/>
          <w:u w:val="none"/>
        </w:rPr>
      </w:pPr>
    </w:p>
    <w:p w14:paraId="50E70A42" w14:textId="77777777" w:rsidR="00837139" w:rsidRPr="00DD7BD1" w:rsidRDefault="00837139" w:rsidP="00837139">
      <w:pPr>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w:t>
      </w:r>
      <w:r w:rsidRPr="00DD7BD1">
        <w:rPr>
          <w:rFonts w:ascii="Calibri" w:hAnsi="Calibri" w:cs="Calibri"/>
        </w:rPr>
        <w:t xml:space="preserve"> Employers should review the new minimum wage, comp time and expanded paid sick leave requirements to ensure compliance by Feb. 21, 2025. </w:t>
      </w:r>
    </w:p>
    <w:p w14:paraId="4A81595F" w14:textId="77777777" w:rsidR="00837139" w:rsidRPr="00DD7BD1" w:rsidRDefault="00837139" w:rsidP="00837139">
      <w:pPr>
        <w:pStyle w:val="Heading2"/>
        <w:rPr>
          <w:rFonts w:ascii="Calibri" w:hAnsi="Calibri" w:cs="Calibri"/>
          <w:b/>
          <w:bCs/>
          <w:color w:val="auto"/>
        </w:rPr>
      </w:pPr>
      <w:r w:rsidRPr="00DD7BD1">
        <w:rPr>
          <w:rFonts w:ascii="Calibri" w:hAnsi="Calibri" w:cs="Calibri"/>
          <w:b/>
          <w:bCs/>
          <w:color w:val="auto"/>
          <w:highlight w:val="lightGray"/>
        </w:rPr>
        <w:t>Paid Sick Leave Expansion</w:t>
      </w:r>
    </w:p>
    <w:p w14:paraId="5F4E71B8"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original paid sick leave provisions of the 2018 ballot initiative will take effect </w:t>
      </w:r>
      <w:r w:rsidRPr="00DD7BD1">
        <w:rPr>
          <w:rFonts w:ascii="Calibri" w:hAnsi="Calibri" w:cs="Calibri"/>
          <w:b/>
          <w:bCs/>
        </w:rPr>
        <w:t>Feb. 21, 2025</w:t>
      </w:r>
      <w:r w:rsidRPr="00DD7BD1">
        <w:rPr>
          <w:rFonts w:ascii="Calibri" w:hAnsi="Calibri" w:cs="Calibri"/>
        </w:rPr>
        <w:t xml:space="preserve">. </w:t>
      </w:r>
    </w:p>
    <w:p w14:paraId="5F6D825F"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legislature’s amendments to the ESTA significantly </w:t>
      </w:r>
      <w:r w:rsidRPr="00DD7BD1">
        <w:rPr>
          <w:rFonts w:ascii="Calibri" w:hAnsi="Calibri" w:cs="Calibri"/>
          <w:u w:val="single"/>
        </w:rPr>
        <w:t>narrowed employee benefits</w:t>
      </w:r>
      <w:r w:rsidRPr="00DD7BD1">
        <w:rPr>
          <w:rFonts w:ascii="Calibri" w:hAnsi="Calibri" w:cs="Calibri"/>
        </w:rPr>
        <w:t xml:space="preserve">, and they renamed the law the </w:t>
      </w:r>
      <w:hyperlink r:id="rId777" w:anchor=":~:text=AN%20ACT%20to%20require%20certain,and%20duties%20of%20certain%20state" w:history="1">
        <w:r w:rsidRPr="00DD7BD1">
          <w:rPr>
            <w:rStyle w:val="Hyperlink"/>
            <w:rFonts w:ascii="Calibri" w:hAnsi="Calibri" w:cs="Calibri"/>
          </w:rPr>
          <w:t>Paid Medical Leave Act</w:t>
        </w:r>
      </w:hyperlink>
      <w:r w:rsidRPr="00DD7BD1">
        <w:rPr>
          <w:rFonts w:ascii="Calibri" w:hAnsi="Calibri" w:cs="Calibri"/>
        </w:rPr>
        <w:t xml:space="preserve"> (PMLA), which is currently in effect. </w:t>
      </w:r>
    </w:p>
    <w:p w14:paraId="072F7140" w14:textId="77777777" w:rsidR="00837139" w:rsidRPr="00DD7BD1" w:rsidRDefault="00837139" w:rsidP="00837139">
      <w:pPr>
        <w:spacing w:after="0" w:line="240" w:lineRule="auto"/>
        <w:rPr>
          <w:rFonts w:ascii="Calibri" w:hAnsi="Calibri" w:cs="Calibri"/>
        </w:rPr>
      </w:pPr>
      <w:r w:rsidRPr="00DD7BD1">
        <w:rPr>
          <w:rFonts w:ascii="Calibri" w:hAnsi="Calibri" w:cs="Calibri"/>
        </w:rPr>
        <w:t>Key differences between the laws include that the more generous ESTA:</w:t>
      </w:r>
    </w:p>
    <w:p w14:paraId="42184598"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employers (the PMLA exempts employers with fewer than 50 employees);</w:t>
      </w:r>
    </w:p>
    <w:p w14:paraId="3832AB8A"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employees (the PMLA contains employee exemptions);</w:t>
      </w:r>
    </w:p>
    <w:p w14:paraId="0AEBA66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Requires accrual of one hour of leave per every 30 (not 35) hours worked;</w:t>
      </w:r>
    </w:p>
    <w:p w14:paraId="0D5A712B"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Allows employees to use 72 hours of leave annually instead of 40; and</w:t>
      </w:r>
    </w:p>
    <w:p w14:paraId="61B42C4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Prohibits employers from taking retaliatory action against employees.</w:t>
      </w:r>
    </w:p>
    <w:p w14:paraId="581284D7" w14:textId="77777777" w:rsidR="00837139" w:rsidRPr="00DD7BD1" w:rsidRDefault="00837139" w:rsidP="00837139">
      <w:pPr>
        <w:pStyle w:val="Bullet"/>
        <w:numPr>
          <w:ilvl w:val="0"/>
          <w:numId w:val="0"/>
        </w:numPr>
        <w:spacing w:line="240" w:lineRule="auto"/>
        <w:ind w:left="576"/>
        <w:rPr>
          <w:rFonts w:cs="Calibri"/>
          <w:color w:val="auto"/>
          <w:sz w:val="16"/>
          <w:szCs w:val="16"/>
        </w:rPr>
      </w:pPr>
    </w:p>
    <w:p w14:paraId="597F1408" w14:textId="77777777" w:rsidR="00837139" w:rsidRPr="00DD7BD1" w:rsidRDefault="00837139" w:rsidP="00837139">
      <w:pPr>
        <w:pStyle w:val="Heading2"/>
        <w:rPr>
          <w:rFonts w:ascii="Calibri" w:hAnsi="Calibri" w:cs="Calibri"/>
          <w:b/>
          <w:bCs/>
          <w:color w:val="auto"/>
          <w:highlight w:val="lightGray"/>
        </w:rPr>
      </w:pPr>
      <w:r w:rsidRPr="00DD7BD1">
        <w:rPr>
          <w:rFonts w:ascii="Calibri" w:hAnsi="Calibri" w:cs="Calibri"/>
          <w:b/>
          <w:bCs/>
          <w:color w:val="auto"/>
          <w:highlight w:val="lightGray"/>
        </w:rPr>
        <w:t>Minimum Wage Increases</w:t>
      </w:r>
    </w:p>
    <w:p w14:paraId="7B304E45" w14:textId="77777777" w:rsidR="00837139" w:rsidRPr="00DD7BD1" w:rsidRDefault="00837139" w:rsidP="00837139">
      <w:pPr>
        <w:pStyle w:val="BodyText"/>
        <w:spacing w:after="0" w:line="240" w:lineRule="auto"/>
        <w:rPr>
          <w:rFonts w:cs="Calibri"/>
          <w:color w:val="auto"/>
        </w:rPr>
      </w:pPr>
      <w:r w:rsidRPr="00DD7BD1">
        <w:rPr>
          <w:rFonts w:cs="Calibri"/>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2025</w:t>
      </w:r>
      <w:r w:rsidRPr="00DD7BD1">
        <w:rPr>
          <w:rFonts w:cs="Calibri"/>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2026</w:t>
      </w:r>
      <w:r w:rsidRPr="00DD7BD1">
        <w:rPr>
          <w:rFonts w:cs="Calibri"/>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2027</w:t>
      </w:r>
      <w:r w:rsidRPr="00DD7BD1">
        <w:rPr>
          <w:rFonts w:cs="Calibri"/>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2028</w:t>
      </w:r>
      <w:r w:rsidRPr="00DD7BD1">
        <w:rPr>
          <w:rFonts w:cs="Calibri"/>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2029, and thereafter</w:t>
      </w:r>
      <w:r w:rsidRPr="00DD7BD1">
        <w:rPr>
          <w:rFonts w:cs="Calibri"/>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Pr="00DD7BD1" w:rsidRDefault="00837139" w:rsidP="00837139">
      <w:pPr>
        <w:pStyle w:val="Bullet"/>
        <w:numPr>
          <w:ilvl w:val="0"/>
          <w:numId w:val="0"/>
        </w:numPr>
        <w:spacing w:line="240" w:lineRule="auto"/>
        <w:ind w:left="90"/>
        <w:rPr>
          <w:rFonts w:cs="Calibri"/>
          <w:color w:val="auto"/>
        </w:rPr>
      </w:pPr>
      <w:r w:rsidRPr="00DD7BD1">
        <w:rPr>
          <w:rFonts w:cs="Calibri"/>
          <w:color w:val="auto"/>
        </w:rPr>
        <w:t xml:space="preserve">In addition, on </w:t>
      </w:r>
      <w:r w:rsidRPr="00DD7BD1">
        <w:rPr>
          <w:rFonts w:cs="Calibri"/>
          <w:b/>
          <w:bCs/>
          <w:color w:val="auto"/>
        </w:rPr>
        <w:t>Feb. 21, 2025</w:t>
      </w:r>
      <w:r w:rsidRPr="00DD7BD1">
        <w:rPr>
          <w:rFonts w:cs="Calibri"/>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DD7BD1" w:rsidRDefault="00837139" w:rsidP="00837139">
      <w:pPr>
        <w:pStyle w:val="Bullet"/>
        <w:numPr>
          <w:ilvl w:val="0"/>
          <w:numId w:val="0"/>
        </w:numPr>
        <w:spacing w:line="240" w:lineRule="auto"/>
        <w:ind w:left="90"/>
        <w:rPr>
          <w:rFonts w:cs="Calibri"/>
          <w:color w:val="auto"/>
        </w:rPr>
      </w:pPr>
    </w:p>
    <w:p w14:paraId="5869BC1B" w14:textId="77777777" w:rsidR="00837139" w:rsidRPr="00DD7BD1" w:rsidRDefault="00837139" w:rsidP="00837139">
      <w:pPr>
        <w:spacing w:after="0" w:line="240" w:lineRule="auto"/>
        <w:rPr>
          <w:rStyle w:val="Strong"/>
          <w:rFonts w:ascii="Calibri" w:eastAsia="Times New Roman" w:hAnsi="Calibri" w:cs="Calibri"/>
          <w:sz w:val="2"/>
          <w:szCs w:val="2"/>
        </w:rPr>
      </w:pPr>
    </w:p>
    <w:p w14:paraId="3CEF6D9A" w14:textId="3EEAFFF2" w:rsidR="009040C5" w:rsidRPr="00DD7BD1" w:rsidRDefault="009040C5" w:rsidP="009040C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Michigan Expands Antidiscrimination Protections</w:t>
      </w:r>
    </w:p>
    <w:p w14:paraId="484C740D"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 xml:space="preserve">As of </w:t>
      </w:r>
      <w:r w:rsidRPr="00DD7BD1">
        <w:rPr>
          <w:rFonts w:ascii="Calibri" w:hAnsi="Calibri" w:cs="Calibri"/>
          <w:color w:val="C00000"/>
          <w:sz w:val="22"/>
          <w:szCs w:val="22"/>
        </w:rPr>
        <w:t>February 13, 2024</w:t>
      </w:r>
      <w:r w:rsidRPr="00DD7BD1">
        <w:rPr>
          <w:rFonts w:ascii="Calibri" w:hAnsi="Calibri" w:cs="Calibri"/>
          <w:color w:val="282828"/>
          <w:sz w:val="22"/>
          <w:szCs w:val="22"/>
        </w:rPr>
        <w:t xml:space="preserve">, Michigan has expanded its antidiscrimination law to prohibit discrimination against employees and applicants on two fronts. This law applies to employers of </w:t>
      </w:r>
      <w:r w:rsidRPr="00DD7BD1">
        <w:rPr>
          <w:rFonts w:ascii="Calibri" w:hAnsi="Calibri" w:cs="Calibri"/>
          <w:b/>
          <w:bCs/>
          <w:color w:val="282828"/>
          <w:sz w:val="22"/>
          <w:szCs w:val="22"/>
        </w:rPr>
        <w:t>all sizes</w:t>
      </w:r>
      <w:r w:rsidRPr="00DD7BD1">
        <w:rPr>
          <w:rFonts w:ascii="Calibri" w:hAnsi="Calibri" w:cs="Calibri"/>
          <w:color w:val="282828"/>
          <w:sz w:val="22"/>
          <w:szCs w:val="22"/>
        </w:rPr>
        <w:t>.</w:t>
      </w:r>
    </w:p>
    <w:p w14:paraId="380CFF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Expanded the definition of “sex” to include </w:t>
      </w:r>
      <w:r w:rsidRPr="00DD7BD1">
        <w:rPr>
          <w:rFonts w:ascii="Calibri" w:hAnsi="Calibri" w:cs="Calibri"/>
          <w:i/>
          <w:iCs/>
          <w:color w:val="282828"/>
          <w:sz w:val="22"/>
          <w:szCs w:val="22"/>
        </w:rPr>
        <w:t>all </w:t>
      </w:r>
      <w:r w:rsidRPr="00DD7BD1">
        <w:rPr>
          <w:rFonts w:ascii="Calibri" w:hAnsi="Calibri" w:cs="Calibri"/>
          <w:color w:val="282828"/>
          <w:sz w:val="22"/>
          <w:szCs w:val="22"/>
        </w:rPr>
        <w:t xml:space="preserve">terminations of pregnancy and related medical conditions. </w:t>
      </w:r>
    </w:p>
    <w:p w14:paraId="65A05D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State added </w:t>
      </w:r>
      <w:r w:rsidRPr="00DD7BD1">
        <w:rPr>
          <w:rFonts w:ascii="Calibri" w:hAnsi="Calibri" w:cs="Calibri"/>
          <w:b/>
          <w:bCs/>
          <w:sz w:val="22"/>
          <w:szCs w:val="22"/>
        </w:rPr>
        <w:t>sexual orientation</w:t>
      </w:r>
      <w:r w:rsidRPr="00DD7BD1">
        <w:rPr>
          <w:rFonts w:ascii="Calibri" w:hAnsi="Calibri" w:cs="Calibri"/>
          <w:sz w:val="22"/>
          <w:szCs w:val="22"/>
        </w:rPr>
        <w:t xml:space="preserve"> and </w:t>
      </w:r>
      <w:r w:rsidRPr="00DD7BD1">
        <w:rPr>
          <w:rFonts w:ascii="Calibri" w:hAnsi="Calibri" w:cs="Calibri"/>
          <w:b/>
          <w:bCs/>
          <w:sz w:val="22"/>
          <w:szCs w:val="22"/>
        </w:rPr>
        <w:t>gender identity or expression</w:t>
      </w:r>
      <w:r w:rsidRPr="00DD7BD1">
        <w:rPr>
          <w:rFonts w:ascii="Calibri" w:hAnsi="Calibri" w:cs="Calibri"/>
          <w:sz w:val="22"/>
          <w:szCs w:val="22"/>
        </w:rPr>
        <w:t xml:space="preserve"> as protected categories under the statute. </w:t>
      </w:r>
    </w:p>
    <w:p w14:paraId="541D92D5" w14:textId="77777777" w:rsidR="009040C5" w:rsidRPr="00DD7BD1" w:rsidRDefault="009040C5" w:rsidP="009040C5">
      <w:pPr>
        <w:pStyle w:val="NormalWeb"/>
        <w:shd w:val="clear" w:color="auto" w:fill="FFFFFF"/>
        <w:spacing w:before="0" w:beforeAutospacing="0" w:after="0" w:afterAutospacing="0"/>
        <w:jc w:val="both"/>
        <w:rPr>
          <w:rStyle w:val="Strong"/>
          <w:rFonts w:ascii="Calibri" w:hAnsi="Calibri" w:cs="Calibri"/>
          <w:sz w:val="16"/>
          <w:szCs w:val="16"/>
        </w:rPr>
      </w:pPr>
    </w:p>
    <w:p w14:paraId="5ED23109" w14:textId="62E815FE" w:rsidR="009040C5" w:rsidRPr="00DD7BD1" w:rsidRDefault="009040C5" w:rsidP="009040C5">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Employer Take Away:</w:t>
      </w:r>
      <w:r w:rsidRPr="00DD7BD1">
        <w:rPr>
          <w:rFonts w:ascii="Calibri" w:hAnsi="Calibri" w:cs="Calibri"/>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DD7BD1" w:rsidRDefault="00F85B67" w:rsidP="009040C5">
      <w:pPr>
        <w:pStyle w:val="NormalWeb"/>
        <w:shd w:val="clear" w:color="auto" w:fill="FFFFFF"/>
        <w:spacing w:before="0" w:beforeAutospacing="0" w:after="0" w:afterAutospacing="0"/>
        <w:rPr>
          <w:rFonts w:ascii="Calibri" w:hAnsi="Calibri" w:cs="Calibri"/>
          <w:sz w:val="16"/>
          <w:szCs w:val="16"/>
        </w:rPr>
      </w:pPr>
    </w:p>
    <w:p w14:paraId="39B17CE5" w14:textId="7B51B48B" w:rsidR="00584C3C" w:rsidRPr="00DD7BD1" w:rsidRDefault="00F85B67" w:rsidP="00F85B67">
      <w:pPr>
        <w:spacing w:after="0" w:line="240" w:lineRule="auto"/>
        <w:jc w:val="both"/>
        <w:rPr>
          <w:rFonts w:ascii="Calibri" w:hAnsi="Calibri" w:cs="Calibri"/>
          <w:b/>
          <w:bCs/>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Minnesota</w:t>
      </w:r>
    </w:p>
    <w:p w14:paraId="669171FC" w14:textId="77777777" w:rsidR="00CA360C" w:rsidRPr="00DD7BD1" w:rsidRDefault="00CA360C" w:rsidP="00CA360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Paid Family &amp; Medical Leave in Effect – </w:t>
      </w:r>
      <w:r w:rsidRPr="00DD7BD1">
        <w:rPr>
          <w:rFonts w:ascii="Calibri" w:hAnsi="Calibri" w:cs="Calibri"/>
          <w:b/>
          <w:bCs/>
          <w:color w:val="C00000"/>
          <w:sz w:val="28"/>
          <w:szCs w:val="28"/>
          <w:shd w:val="clear" w:color="auto" w:fill="FFFFFF"/>
          <w:lang w:val="en"/>
        </w:rPr>
        <w:t>Jan 1, 2026</w:t>
      </w:r>
    </w:p>
    <w:p w14:paraId="29F9BAC6" w14:textId="1A3CE23C" w:rsidR="00CA360C" w:rsidRPr="00DD7BD1" w:rsidRDefault="00CA360C" w:rsidP="00CA360C">
      <w:pPr>
        <w:spacing w:after="0" w:line="240" w:lineRule="auto"/>
        <w:rPr>
          <w:rFonts w:ascii="Calibri" w:hAnsi="Calibri" w:cs="Calibri"/>
        </w:rPr>
      </w:pPr>
      <w:r w:rsidRPr="00DD7BD1">
        <w:rPr>
          <w:rFonts w:ascii="Calibri" w:hAnsi="Calibri" w:cs="Calibri"/>
          <w:u w:val="single"/>
        </w:rPr>
        <w:t xml:space="preserve">Note: </w:t>
      </w:r>
      <w:r w:rsidRPr="00DD7BD1">
        <w:rPr>
          <w:rFonts w:ascii="Calibri" w:hAnsi="Calibri" w:cs="Calibri"/>
        </w:rPr>
        <w:t>ETC’s MN State Handbook Addendum released December 2025 includes policy language addressing Paid Family Leave under the Minnesota Paid Leave policy. Also, the Paid Leave law requires employers to display a workplace poster about the program by Dec. 1, 2025. Further, these Employee Notices must be acknowledged by the employee in writing or electronically</w:t>
      </w:r>
    </w:p>
    <w:p w14:paraId="6C7F021D" w14:textId="77777777" w:rsidR="00CA360C" w:rsidRPr="00DD7BD1" w:rsidRDefault="00CA360C" w:rsidP="00CA360C">
      <w:pPr>
        <w:spacing w:after="0" w:line="240" w:lineRule="auto"/>
        <w:rPr>
          <w:rFonts w:ascii="Calibri" w:hAnsi="Calibri" w:cs="Calibri"/>
        </w:rPr>
      </w:pPr>
    </w:p>
    <w:p w14:paraId="5F80F79D" w14:textId="77777777" w:rsidR="00CA360C" w:rsidRPr="00DD7BD1" w:rsidRDefault="00CA360C" w:rsidP="00CA360C">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Reminder: State’s Meal &amp; Rest Break Amendment in Effect – </w:t>
      </w:r>
      <w:r w:rsidRPr="00DD7BD1">
        <w:rPr>
          <w:rFonts w:ascii="Calibri" w:hAnsi="Calibri" w:cs="Calibri"/>
          <w:b/>
          <w:bCs/>
          <w:color w:val="C00000"/>
          <w:sz w:val="28"/>
          <w:szCs w:val="28"/>
        </w:rPr>
        <w:t>Jan 1, 2026</w:t>
      </w:r>
    </w:p>
    <w:p w14:paraId="7703C45F" w14:textId="77777777" w:rsidR="00CA360C" w:rsidRPr="00DD7BD1" w:rsidRDefault="00CA360C" w:rsidP="00451936">
      <w:pPr>
        <w:spacing w:after="0" w:line="240" w:lineRule="auto"/>
        <w:jc w:val="center"/>
        <w:rPr>
          <w:rFonts w:ascii="Calibri" w:hAnsi="Calibri" w:cs="Calibri"/>
          <w:b/>
          <w:bCs/>
          <w:shd w:val="clear" w:color="auto" w:fill="FFFFFF"/>
          <w:lang w:val="en"/>
        </w:rPr>
      </w:pPr>
    </w:p>
    <w:p w14:paraId="47C066E3" w14:textId="07D44FBD" w:rsidR="00451936" w:rsidRPr="00DD7BD1" w:rsidRDefault="00451936"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Change in Sick &amp; Safe Leave Notice Requirement Changes –</w:t>
      </w:r>
      <w:r w:rsidRPr="00DD7BD1">
        <w:rPr>
          <w:rFonts w:ascii="Calibri" w:hAnsi="Calibri" w:cs="Calibri"/>
          <w:b/>
          <w:bCs/>
          <w:color w:val="C00000"/>
          <w:sz w:val="28"/>
          <w:szCs w:val="28"/>
          <w:shd w:val="clear" w:color="auto" w:fill="FFFFFF"/>
          <w:lang w:val="en"/>
        </w:rPr>
        <w:t xml:space="preserve"> Dec 31, 2025</w:t>
      </w:r>
    </w:p>
    <w:p w14:paraId="6D17DE84" w14:textId="378D80D9" w:rsidR="00451936" w:rsidRPr="00DD7BD1" w:rsidRDefault="00451936" w:rsidP="00451936">
      <w:pPr>
        <w:spacing w:after="0" w:line="240" w:lineRule="auto"/>
        <w:rPr>
          <w:rFonts w:ascii="Calibri" w:hAnsi="Calibri" w:cs="Calibri"/>
          <w:shd w:val="clear" w:color="auto" w:fill="FFFFFF"/>
        </w:rPr>
      </w:pPr>
      <w:r w:rsidRPr="00DD7BD1">
        <w:rPr>
          <w:rFonts w:ascii="Calibri" w:hAnsi="Calibri" w:cs="Calibri"/>
          <w:shd w:val="clear" w:color="auto" w:fill="FFFFFF"/>
        </w:rPr>
        <w:t>Employers will be allowed to require documentation from employees to support their use of earned sick and safe time (ESST) when leave is used for more than</w:t>
      </w:r>
      <w:r w:rsidRPr="00DD7BD1">
        <w:rPr>
          <w:rFonts w:ascii="Calibri" w:hAnsi="Calibri" w:cs="Calibri"/>
          <w:i/>
          <w:iCs/>
          <w:shd w:val="clear" w:color="auto" w:fill="FFFFFF"/>
        </w:rPr>
        <w:t> two </w:t>
      </w:r>
      <w:r w:rsidRPr="00DD7BD1">
        <w:rPr>
          <w:rFonts w:ascii="Calibri" w:hAnsi="Calibri" w:cs="Calibri"/>
          <w:shd w:val="clear" w:color="auto" w:fill="FFFFFF"/>
        </w:rPr>
        <w:t>consecutive scheduled workdays (currently, it’s more than </w:t>
      </w:r>
      <w:r w:rsidRPr="00DD7BD1">
        <w:rPr>
          <w:rFonts w:ascii="Calibri" w:hAnsi="Calibri" w:cs="Calibri"/>
          <w:i/>
          <w:iCs/>
          <w:shd w:val="clear" w:color="auto" w:fill="FFFFFF"/>
        </w:rPr>
        <w:t>three </w:t>
      </w:r>
      <w:r w:rsidRPr="00DD7BD1">
        <w:rPr>
          <w:rFonts w:ascii="Calibri" w:hAnsi="Calibri" w:cs="Calibri"/>
          <w:shd w:val="clear" w:color="auto" w:fill="FFFFFF"/>
        </w:rPr>
        <w:t>consecutive workdays).  ETC’s current MN State Handbook Addendum reflects changes.</w:t>
      </w:r>
    </w:p>
    <w:p w14:paraId="21642537" w14:textId="77777777" w:rsidR="004603F0" w:rsidRPr="00DD7BD1" w:rsidRDefault="004603F0" w:rsidP="00451936">
      <w:pPr>
        <w:spacing w:after="0" w:line="240" w:lineRule="auto"/>
        <w:jc w:val="center"/>
        <w:rPr>
          <w:rFonts w:ascii="Calibri" w:hAnsi="Calibri" w:cs="Calibri"/>
          <w:b/>
          <w:bCs/>
          <w:shd w:val="clear" w:color="auto" w:fill="FFFFFF"/>
          <w:lang w:val="en"/>
        </w:rPr>
      </w:pPr>
    </w:p>
    <w:p w14:paraId="1BD2D6A4" w14:textId="4D145DED" w:rsidR="00005949" w:rsidRPr="00DD7BD1" w:rsidRDefault="00005949" w:rsidP="00451936">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Releases Paid Family Medical Leave: </w:t>
      </w:r>
    </w:p>
    <w:p w14:paraId="0281129F" w14:textId="77777777" w:rsidR="00005949" w:rsidRPr="00DD7BD1" w:rsidRDefault="00005949"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Notices – </w:t>
      </w:r>
      <w:r w:rsidRPr="00DD7BD1">
        <w:rPr>
          <w:rFonts w:ascii="Calibri" w:hAnsi="Calibri" w:cs="Calibri"/>
          <w:b/>
          <w:bCs/>
          <w:color w:val="C00000"/>
          <w:sz w:val="28"/>
          <w:szCs w:val="28"/>
          <w:shd w:val="clear" w:color="auto" w:fill="FFFFFF"/>
          <w:lang w:val="en"/>
        </w:rPr>
        <w:t>Distribution Deadline Dec 1, 2025</w:t>
      </w:r>
    </w:p>
    <w:p w14:paraId="1117B915" w14:textId="7144985A" w:rsidR="00005949" w:rsidRPr="00DD7BD1" w:rsidRDefault="00005949" w:rsidP="00D019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Benefits – </w:t>
      </w:r>
      <w:r w:rsidRPr="00DD7BD1">
        <w:rPr>
          <w:rFonts w:ascii="Calibri" w:hAnsi="Calibri" w:cs="Calibri"/>
          <w:b/>
          <w:bCs/>
          <w:color w:val="C00000"/>
          <w:sz w:val="28"/>
          <w:szCs w:val="28"/>
          <w:shd w:val="clear" w:color="auto" w:fill="FFFFFF"/>
          <w:lang w:val="en"/>
        </w:rPr>
        <w:t>Eff Jan 1, 2026</w:t>
      </w:r>
    </w:p>
    <w:p w14:paraId="56241094" w14:textId="77777777" w:rsidR="00005949" w:rsidRPr="00DD7BD1" w:rsidRDefault="00005949" w:rsidP="000059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Minnesota Department of Employment and Economic Development has published sample notices for employer use on the </w:t>
      </w:r>
      <w:hyperlink r:id="rId778"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for Paid Leave Minnesota, the state paid family and medical leave program that begins Jan. 1, 2026.</w:t>
      </w:r>
    </w:p>
    <w:p w14:paraId="409CCF37" w14:textId="77777777" w:rsidR="00005949" w:rsidRPr="00DD7BD1" w:rsidRDefault="00005949" w:rsidP="00005949">
      <w:pPr>
        <w:spacing w:after="0" w:line="240" w:lineRule="auto"/>
        <w:jc w:val="both"/>
        <w:rPr>
          <w:rFonts w:ascii="Calibri" w:hAnsi="Calibri" w:cs="Calibri"/>
          <w:sz w:val="16"/>
          <w:szCs w:val="16"/>
          <w:shd w:val="clear" w:color="auto" w:fill="FFFFFF"/>
        </w:rPr>
      </w:pPr>
    </w:p>
    <w:p w14:paraId="00FDF0D3" w14:textId="74435417"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Paid Leave law requires employers to display a workplace </w:t>
      </w:r>
      <w:hyperlink r:id="rId779" w:history="1">
        <w:r w:rsidRPr="00DD7BD1">
          <w:rPr>
            <w:rStyle w:val="Hyperlink"/>
            <w:rFonts w:ascii="Calibri" w:hAnsi="Calibri" w:cs="Calibri"/>
            <w:shd w:val="clear" w:color="auto" w:fill="FFFFFF"/>
          </w:rPr>
          <w:t>poster</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about the program by Dec. 1, 2025. In addition, employers must provide each employee with a </w:t>
      </w:r>
      <w:hyperlink r:id="rId780" w:tgtFrame="_blank" w:tooltip="paid-leave-notice-employee" w:history="1">
        <w:r w:rsidRPr="00DD7BD1">
          <w:rPr>
            <w:rStyle w:val="Hyperlink"/>
            <w:rFonts w:ascii="Calibri" w:hAnsi="Calibri" w:cs="Calibri"/>
            <w:shd w:val="clear" w:color="auto" w:fill="FFFFFF"/>
          </w:rPr>
          <w:t>notice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5DA177EA" w14:textId="55FDEB9E"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department has also published a required workplace </w:t>
      </w:r>
      <w:hyperlink r:id="rId781" w:history="1">
        <w:r w:rsidRPr="00DD7BD1">
          <w:rPr>
            <w:rStyle w:val="Hyperlink"/>
            <w:rFonts w:ascii="Calibri" w:hAnsi="Calibri" w:cs="Calibri"/>
            <w:shd w:val="clear" w:color="auto" w:fill="FFFFFF"/>
          </w:rPr>
          <w:t>poster</w:t>
        </w:r>
      </w:hyperlink>
      <w:r w:rsidRPr="00DD7BD1">
        <w:rPr>
          <w:rFonts w:ascii="Calibri" w:hAnsi="Calibri" w:cs="Calibri"/>
          <w:shd w:val="clear" w:color="auto" w:fill="FFFFFF"/>
        </w:rPr>
        <w:t xml:space="preserve"> and sample employee </w:t>
      </w:r>
      <w:hyperlink r:id="rId782" w:history="1">
        <w:r w:rsidRPr="00DD7BD1">
          <w:rPr>
            <w:rStyle w:val="Hyperlink"/>
            <w:rFonts w:ascii="Calibri" w:hAnsi="Calibri" w:cs="Calibri"/>
            <w:shd w:val="clear" w:color="auto" w:fill="FFFFFF"/>
          </w:rPr>
          <w:t>notice</w:t>
        </w:r>
      </w:hyperlink>
      <w:r w:rsidRPr="00DD7BD1">
        <w:rPr>
          <w:rFonts w:ascii="Calibri" w:hAnsi="Calibri" w:cs="Calibri"/>
          <w:shd w:val="clear" w:color="auto" w:fill="FFFFFF"/>
        </w:rPr>
        <w:t xml:space="preserve"> for employers that will be </w:t>
      </w:r>
      <w:r w:rsidRPr="00DD7BD1">
        <w:rPr>
          <w:rFonts w:ascii="Calibri" w:hAnsi="Calibri" w:cs="Calibri"/>
          <w:b/>
          <w:bCs/>
          <w:u w:val="single"/>
          <w:shd w:val="clear" w:color="auto" w:fill="FFFFFF"/>
        </w:rPr>
        <w:t>using approved equivalent plans in lieu of the state paid leave plan.</w:t>
      </w:r>
    </w:p>
    <w:p w14:paraId="1A7E3132" w14:textId="0944F095" w:rsidR="00005949" w:rsidRPr="00DD7BD1" w:rsidRDefault="00005949" w:rsidP="00005949">
      <w:pPr>
        <w:rPr>
          <w:rFonts w:ascii="Calibri" w:hAnsi="Calibri" w:cs="Calibri"/>
          <w:shd w:val="clear" w:color="auto" w:fill="FFFFFF"/>
        </w:rPr>
      </w:pPr>
      <w:r w:rsidRPr="00DD7BD1">
        <w:rPr>
          <w:rFonts w:ascii="Calibri" w:hAnsi="Calibri" w:cs="Calibri"/>
          <w:b/>
          <w:bCs/>
          <w:color w:val="C00000"/>
          <w:u w:val="single"/>
          <w:shd w:val="clear" w:color="auto" w:fill="FFFFFF"/>
        </w:rPr>
        <w:t>IMPORTANT: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The employee notices </w:t>
      </w:r>
      <w:r w:rsidRPr="00DD7BD1">
        <w:rPr>
          <w:rFonts w:ascii="Calibri" w:hAnsi="Calibri" w:cs="Calibri"/>
          <w:b/>
          <w:bCs/>
          <w:u w:val="single"/>
          <w:shd w:val="clear" w:color="auto" w:fill="FFFFFF"/>
        </w:rPr>
        <w:t>must be acknowledged by the employee in writing or electronically</w:t>
      </w:r>
      <w:r w:rsidRPr="00DD7BD1">
        <w:rPr>
          <w:rFonts w:ascii="Calibri" w:hAnsi="Calibri" w:cs="Calibri"/>
          <w:shd w:val="clear" w:color="auto" w:fill="FFFFFF"/>
        </w:rPr>
        <w:t>. They may be provided electronically if the employer provides access to a computer during the employee’s regular working hours so the employee can review and print the notice.</w:t>
      </w:r>
    </w:p>
    <w:p w14:paraId="7AF67DB9" w14:textId="34CE31FC" w:rsidR="00005949" w:rsidRPr="00DD7BD1" w:rsidRDefault="00005949" w:rsidP="00005949">
      <w:pPr>
        <w:rPr>
          <w:rFonts w:ascii="Calibri" w:hAnsi="Calibri" w:cs="Calibri"/>
          <w:b/>
          <w:bCs/>
          <w:shd w:val="clear" w:color="auto" w:fill="FFFFFF"/>
        </w:rPr>
      </w:pPr>
      <w:r w:rsidRPr="00DD7BD1">
        <w:rPr>
          <w:rFonts w:ascii="Calibri" w:hAnsi="Calibri" w:cs="Calibri"/>
          <w:b/>
          <w:bCs/>
          <w:shd w:val="clear" w:color="auto" w:fill="FFFFFF"/>
        </w:rPr>
        <w:t xml:space="preserve">MN Paid Leave Recap – </w:t>
      </w:r>
      <w:r w:rsidRPr="00DD7BD1">
        <w:rPr>
          <w:rFonts w:ascii="Calibri" w:hAnsi="Calibri" w:cs="Calibri"/>
          <w:b/>
          <w:bCs/>
          <w:color w:val="C00000"/>
          <w:shd w:val="clear" w:color="auto" w:fill="FFFFFF"/>
        </w:rPr>
        <w:t>Eff Jan 1, 2026</w:t>
      </w:r>
    </w:p>
    <w:p w14:paraId="4E375BFE" w14:textId="67A55756" w:rsidR="00005949" w:rsidRPr="00DD7BD1" w:rsidRDefault="00005949" w:rsidP="00005949">
      <w:pPr>
        <w:rPr>
          <w:rFonts w:ascii="Calibri" w:hAnsi="Calibri" w:cs="Calibri"/>
        </w:rPr>
      </w:pPr>
      <w:r w:rsidRPr="00DD7BD1">
        <w:rPr>
          <w:rFonts w:ascii="Calibri" w:hAnsi="Calibri" w:cs="Calibri"/>
          <w:shd w:val="clear" w:color="auto" w:fill="FFFFFF"/>
        </w:rPr>
        <w:t>Virtually all Mi</w:t>
      </w:r>
      <w:r w:rsidRPr="00DD7BD1">
        <w:rPr>
          <w:rFonts w:ascii="Calibri" w:hAnsi="Calibri" w:cs="Calibri"/>
        </w:rPr>
        <w:t xml:space="preserve">nnesota employers are covered by Paid Leave, which will provide up to 20 weeks of paid, job-protected family and medical leave for eligible employees, beginning </w:t>
      </w:r>
      <w:r w:rsidRPr="00DD7BD1">
        <w:rPr>
          <w:rFonts w:ascii="Calibri" w:hAnsi="Calibri" w:cs="Calibri"/>
          <w:color w:val="C00000"/>
        </w:rPr>
        <w:t xml:space="preserve">Jan. 1.  </w:t>
      </w:r>
      <w:r w:rsidRPr="00DD7BD1">
        <w:rPr>
          <w:rFonts w:ascii="Calibri" w:hAnsi="Calibri" w:cs="Calibri"/>
        </w:rPr>
        <w:t xml:space="preserve">Funding for the program is split evenly between employers and employees,  starting </w:t>
      </w:r>
      <w:r w:rsidRPr="00DD7BD1">
        <w:rPr>
          <w:rFonts w:ascii="Calibri" w:hAnsi="Calibri" w:cs="Calibri"/>
          <w:color w:val="C00000"/>
        </w:rPr>
        <w:t xml:space="preserve">Jan. 1. </w:t>
      </w:r>
      <w:r w:rsidRPr="00DD7BD1">
        <w:rPr>
          <w:rFonts w:ascii="Calibri" w:hAnsi="Calibri" w:cs="Calibri"/>
        </w:rPr>
        <w:t>Employers should begin deducting the employee share of the premium on January 1, 2026. The first premiums must be paid to the state Department of Employment and Economic Development (DEED) by April 30, 2026.</w:t>
      </w:r>
    </w:p>
    <w:p w14:paraId="39982C32" w14:textId="656070AE" w:rsidR="00005949" w:rsidRPr="00DD7BD1" w:rsidRDefault="00005949" w:rsidP="00005949">
      <w:pPr>
        <w:rPr>
          <w:rFonts w:ascii="Calibri" w:hAnsi="Calibri" w:cs="Calibri"/>
        </w:rPr>
      </w:pPr>
      <w:r w:rsidRPr="00DD7BD1">
        <w:rPr>
          <w:rFonts w:ascii="Calibri" w:hAnsi="Calibri" w:cs="Calibri"/>
        </w:rPr>
        <w:t>The Paid Leave law allows covered employees to take up to 12 weeks of </w:t>
      </w:r>
      <w:r w:rsidRPr="00DD7BD1">
        <w:rPr>
          <w:rFonts w:ascii="Calibri" w:hAnsi="Calibri" w:cs="Calibri"/>
          <w:i/>
          <w:iCs/>
        </w:rPr>
        <w:t>medical leave</w:t>
      </w:r>
      <w:r w:rsidRPr="00DD7BD1">
        <w:rPr>
          <w:rFonts w:ascii="Calibri" w:hAnsi="Calibri" w:cs="Calibri"/>
        </w:rPr>
        <w:t> for their own serious health condition or up to 12 weeks of </w:t>
      </w:r>
      <w:r w:rsidRPr="00DD7BD1">
        <w:rPr>
          <w:rFonts w:ascii="Calibri" w:hAnsi="Calibri" w:cs="Calibri"/>
          <w:i/>
          <w:iCs/>
        </w:rPr>
        <w:t>family leave</w:t>
      </w:r>
      <w:r w:rsidRPr="00DD7BD1">
        <w:rPr>
          <w:rFonts w:ascii="Calibri" w:hAnsi="Calibri" w:cs="Calibri"/>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409C550D" w14:textId="53AD86E0" w:rsidR="001C5C45" w:rsidRPr="00DD7BD1" w:rsidRDefault="00005949" w:rsidP="001C5C45">
      <w:pPr>
        <w:rPr>
          <w:rFonts w:ascii="Calibri" w:hAnsi="Calibri" w:cs="Calibri"/>
        </w:rPr>
      </w:pPr>
      <w:r w:rsidRPr="00DD7BD1">
        <w:rPr>
          <w:rFonts w:ascii="Calibri" w:hAnsi="Calibri" w:cs="Calibri"/>
        </w:rPr>
        <w:t>The state has a </w:t>
      </w:r>
      <w:hyperlink r:id="rId783" w:tgtFrame="_blank" w:history="1">
        <w:r w:rsidRPr="00DD7BD1">
          <w:rPr>
            <w:rStyle w:val="Hyperlink"/>
            <w:rFonts w:ascii="Calibri" w:hAnsi="Calibri" w:cs="Calibri"/>
          </w:rPr>
          <w:t>website</w:t>
        </w:r>
      </w:hyperlink>
      <w:r w:rsidRPr="00DD7BD1">
        <w:rPr>
          <w:rFonts w:ascii="Calibri" w:hAnsi="Calibri" w:cs="Calibri"/>
        </w:rPr>
        <w:t> with FAQs, an overview of the program, and other resources for employers. </w:t>
      </w:r>
    </w:p>
    <w:p w14:paraId="321F20ED" w14:textId="40CD7407" w:rsidR="001C5C45" w:rsidRPr="00DD7BD1" w:rsidRDefault="001C5C45" w:rsidP="001C5C45">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&amp;</w:t>
      </w:r>
      <w:r w:rsidRPr="00DD7BD1">
        <w:rPr>
          <w:rFonts w:ascii="Calibri" w:hAnsi="Calibri" w:cs="Calibri"/>
          <w:b/>
          <w:bCs/>
          <w:sz w:val="28"/>
          <w:szCs w:val="28"/>
          <w:u w:val="single"/>
          <w:shd w:val="clear" w:color="auto" w:fill="FFFFFF"/>
        </w:rPr>
        <w:t xml:space="preserve"> St Paul</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3A6059E" w14:textId="4877AC70" w:rsidR="00005949" w:rsidRPr="00DD7BD1" w:rsidRDefault="00005949" w:rsidP="00005949">
      <w:pPr>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B9E42C9" w14:textId="1B0AEA6C" w:rsidR="00005949" w:rsidRPr="00DD7BD1" w:rsidRDefault="00005949" w:rsidP="00005949">
      <w:pPr>
        <w:rPr>
          <w:rFonts w:ascii="Calibri" w:hAnsi="Calibri" w:cs="Calibri"/>
        </w:rPr>
      </w:pPr>
      <w:r w:rsidRPr="00DD7BD1">
        <w:rPr>
          <w:rFonts w:ascii="Calibri" w:hAnsi="Calibri" w:cs="Calibri"/>
        </w:rPr>
        <w:t xml:space="preserve">Minneapolis has </w:t>
      </w:r>
      <w:hyperlink r:id="rId784" w:history="1">
        <w:r w:rsidRPr="00DD7BD1">
          <w:rPr>
            <w:rStyle w:val="Hyperlink"/>
            <w:rFonts w:ascii="Calibri" w:hAnsi="Calibri" w:cs="Calibri"/>
          </w:rPr>
          <w:t>amended</w:t>
        </w:r>
      </w:hyperlink>
      <w:r w:rsidRPr="00DD7BD1">
        <w:rPr>
          <w:rFonts w:ascii="Calibri" w:hAnsi="Calibri" w:cs="Calibri"/>
        </w:rPr>
        <w:t xml:space="preserve"> its Sick and Safe Time ordinance, which took effect in 2017, to align with the 2024 statewide Minnesota </w:t>
      </w:r>
      <w:hyperlink r:id="rId785" w:history="1">
        <w:r w:rsidRPr="00DD7BD1">
          <w:rPr>
            <w:rStyle w:val="Hyperlink"/>
            <w:rFonts w:ascii="Calibri" w:hAnsi="Calibri" w:cs="Calibri"/>
          </w:rPr>
          <w:t>Earned Sick and Safe Time law</w:t>
        </w:r>
      </w:hyperlink>
      <w:r w:rsidRPr="00DD7BD1">
        <w:rPr>
          <w:rFonts w:ascii="Calibri" w:hAnsi="Calibri" w:cs="Calibri"/>
        </w:rPr>
        <w:t xml:space="preserve">. Employers in Minnesota localities with their own sick leave laws were already </w:t>
      </w:r>
      <w:hyperlink r:id="rId786" w:history="1">
        <w:r w:rsidRPr="00DD7BD1">
          <w:rPr>
            <w:rStyle w:val="Hyperlink"/>
            <w:rFonts w:ascii="Calibri" w:hAnsi="Calibri" w:cs="Calibri"/>
          </w:rPr>
          <w:t>obligated</w:t>
        </w:r>
      </w:hyperlink>
      <w:r w:rsidRPr="00DD7BD1">
        <w:rPr>
          <w:rFonts w:ascii="Calibri" w:hAnsi="Calibri" w:cs="Calibri"/>
        </w:rPr>
        <w:t xml:space="preserve"> to follow the leave provisions most favorable to their employees.</w:t>
      </w:r>
    </w:p>
    <w:p w14:paraId="1B14DBF2" w14:textId="0CCFF892" w:rsidR="00005949" w:rsidRPr="00DD7BD1" w:rsidRDefault="00005949" w:rsidP="00005949">
      <w:pPr>
        <w:rPr>
          <w:rFonts w:ascii="Calibri" w:hAnsi="Calibri" w:cs="Calibri"/>
        </w:rPr>
      </w:pPr>
      <w:r w:rsidRPr="00DD7BD1">
        <w:rPr>
          <w:rFonts w:ascii="Calibri" w:hAnsi="Calibri" w:cs="Calibri"/>
        </w:rPr>
        <w:t xml:space="preserve">The changes in the Minneapolis ordinance are </w:t>
      </w:r>
      <w:hyperlink r:id="rId787" w:history="1">
        <w:r w:rsidRPr="00DD7BD1">
          <w:rPr>
            <w:rStyle w:val="Hyperlink"/>
            <w:rFonts w:ascii="Calibri" w:hAnsi="Calibri" w:cs="Calibri"/>
          </w:rPr>
          <w:t>intended</w:t>
        </w:r>
      </w:hyperlink>
      <w:r w:rsidRPr="00DD7BD1">
        <w:rPr>
          <w:rFonts w:ascii="Calibri" w:hAnsi="Calibri" w:cs="Calibri"/>
        </w:rPr>
        <w:t xml:space="preserve"> to reduce confusion by eliminating obsolete lower standards in the city. The amendments take effect </w:t>
      </w:r>
      <w:r w:rsidRPr="00DD7BD1">
        <w:rPr>
          <w:rFonts w:ascii="Calibri" w:hAnsi="Calibri" w:cs="Calibri"/>
          <w:color w:val="C00000"/>
        </w:rPr>
        <w:t>Dec. 31, 2025.</w:t>
      </w:r>
    </w:p>
    <w:p w14:paraId="0A4699BA"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51841AA2"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b/>
          <w:bCs/>
        </w:rPr>
        <w:t>All employers</w:t>
      </w:r>
      <w:r w:rsidRPr="00DD7BD1">
        <w:rPr>
          <w:rFonts w:ascii="Calibri" w:hAnsi="Calibri" w:cs="Calibri"/>
        </w:rPr>
        <w:t xml:space="preserve"> will now be required to provide paid sick and safe time, regardless of their size. </w:t>
      </w:r>
      <w:r w:rsidRPr="00DD7BD1">
        <w:rPr>
          <w:rFonts w:ascii="Calibri" w:hAnsi="Calibri" w:cs="Calibri"/>
          <w:i/>
          <w:iCs/>
        </w:rPr>
        <w:t>Previously, employers with fewer than six employees could provide the leave as unpaid.</w:t>
      </w:r>
      <w:r w:rsidRPr="00DD7BD1">
        <w:rPr>
          <w:rFonts w:ascii="Calibri" w:hAnsi="Calibri" w:cs="Calibri"/>
        </w:rPr>
        <w:t xml:space="preserve"> </w:t>
      </w:r>
    </w:p>
    <w:p w14:paraId="53FE9D2E"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w:t>
      </w:r>
      <w:r w:rsidRPr="00DD7BD1">
        <w:rPr>
          <w:rFonts w:ascii="Calibri" w:hAnsi="Calibri" w:cs="Calibri"/>
          <w:b/>
          <w:bCs/>
        </w:rPr>
        <w:t>be eligible</w:t>
      </w:r>
      <w:r w:rsidRPr="00DD7BD1">
        <w:rPr>
          <w:rFonts w:ascii="Calibri" w:hAnsi="Calibri" w:cs="Calibri"/>
        </w:rPr>
        <w:t xml:space="preserve"> for leave </w:t>
      </w:r>
      <w:r w:rsidRPr="00DD7BD1">
        <w:rPr>
          <w:rFonts w:ascii="Calibri" w:hAnsi="Calibri" w:cs="Calibri"/>
          <w:b/>
          <w:bCs/>
        </w:rPr>
        <w:t>if they are anticipated to work 80 hours in Minneapolis</w:t>
      </w:r>
      <w:r w:rsidRPr="00DD7BD1">
        <w:rPr>
          <w:rFonts w:ascii="Calibri" w:hAnsi="Calibri" w:cs="Calibri"/>
        </w:rPr>
        <w:t xml:space="preserve">. </w:t>
      </w:r>
      <w:r w:rsidRPr="00DD7BD1">
        <w:rPr>
          <w:rFonts w:ascii="Calibri" w:hAnsi="Calibri" w:cs="Calibri"/>
          <w:i/>
          <w:iCs/>
        </w:rPr>
        <w:t>The prior wording limited eligibility to employees who work in Minneapolis for 80 hours in a year.</w:t>
      </w:r>
      <w:r w:rsidRPr="00DD7BD1">
        <w:rPr>
          <w:rFonts w:ascii="Calibri" w:hAnsi="Calibri" w:cs="Calibri"/>
        </w:rPr>
        <w:t xml:space="preserve"> </w:t>
      </w:r>
    </w:p>
    <w:p w14:paraId="69E0CFD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A </w:t>
      </w:r>
      <w:r w:rsidRPr="00DD7BD1">
        <w:rPr>
          <w:rFonts w:ascii="Calibri" w:hAnsi="Calibri" w:cs="Calibri"/>
          <w:b/>
          <w:bCs/>
        </w:rPr>
        <w:t>revised definition of “family member</w:t>
      </w:r>
      <w:r w:rsidRPr="00DD7BD1">
        <w:rPr>
          <w:rFonts w:ascii="Calibri" w:hAnsi="Calibri" w:cs="Calibri"/>
        </w:rPr>
        <w:t xml:space="preserve">,” which will now include a wide variety of relatives of employees and their registered domestic partners, such as step-, foster and adoptive parents, grandchildren, grandparents and siblings; guardian, ward and in loco parentis relationships; in-law relationships; and members of the employee’s household, among others. </w:t>
      </w:r>
    </w:p>
    <w:p w14:paraId="70934F89" w14:textId="77777777" w:rsidR="00005949" w:rsidRPr="00DD7BD1" w:rsidRDefault="00005949" w:rsidP="00005949">
      <w:pPr>
        <w:ind w:left="720"/>
        <w:rPr>
          <w:rFonts w:ascii="Calibri" w:hAnsi="Calibri" w:cs="Calibri"/>
        </w:rPr>
      </w:pPr>
      <w:r w:rsidRPr="00DD7BD1">
        <w:rPr>
          <w:rFonts w:ascii="Calibri" w:hAnsi="Calibri" w:cs="Calibri"/>
        </w:rPr>
        <w:t>“Family member” will also include any individual related by blood or whose close association with the employee is the equivalent of a family relationship, and one individual annually designated by the employee.</w:t>
      </w:r>
    </w:p>
    <w:p w14:paraId="06C50FDD" w14:textId="7C99718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PSL Employee exceptions: 1) elected city officials  2) volunteer &amp; on-call firefighters and ambulance workers 3) certain collective bargaining agreements may waive the requirements of the ordinance.</w:t>
      </w:r>
    </w:p>
    <w:p w14:paraId="482D4128" w14:textId="217FA985"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0B29662A" w14:textId="05661E67" w:rsidR="00005949" w:rsidRPr="00DD7BD1" w:rsidRDefault="00005949" w:rsidP="00005949">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lang w:val="en"/>
        </w:rPr>
        <w:t xml:space="preserve">St. Paul </w:t>
      </w:r>
      <w:r w:rsidRPr="00DD7BD1">
        <w:rPr>
          <w:rFonts w:ascii="Calibri" w:hAnsi="Calibri" w:cs="Calibri"/>
          <w:b/>
          <w:bCs/>
          <w:sz w:val="28"/>
          <w:szCs w:val="28"/>
          <w:shd w:val="clear" w:color="auto" w:fill="FFFFFF"/>
        </w:rPr>
        <w:t xml:space="preserve">Aligns PSL Ordinance with State PSL Regulations – Eff </w:t>
      </w:r>
      <w:r w:rsidRPr="00DD7BD1">
        <w:rPr>
          <w:rFonts w:ascii="Calibri" w:hAnsi="Calibri" w:cs="Calibri"/>
          <w:b/>
          <w:bCs/>
          <w:color w:val="C00000"/>
          <w:sz w:val="28"/>
          <w:szCs w:val="28"/>
          <w:shd w:val="clear" w:color="auto" w:fill="FFFFFF"/>
        </w:rPr>
        <w:t>Dec 31, 2025</w:t>
      </w:r>
    </w:p>
    <w:p w14:paraId="4E410970" w14:textId="77777777" w:rsidR="00005949" w:rsidRPr="00DD7BD1" w:rsidRDefault="00005949" w:rsidP="00005949">
      <w:pPr>
        <w:rPr>
          <w:rFonts w:ascii="Calibri" w:hAnsi="Calibri" w:cs="Calibri"/>
        </w:rPr>
      </w:pPr>
      <w:r w:rsidRPr="00DD7BD1">
        <w:rPr>
          <w:rFonts w:ascii="Calibri" w:hAnsi="Calibri" w:cs="Calibri"/>
        </w:rPr>
        <w:t xml:space="preserve">St. Paul has </w:t>
      </w:r>
      <w:hyperlink r:id="rId788" w:history="1">
        <w:r w:rsidRPr="00DD7BD1">
          <w:rPr>
            <w:rStyle w:val="Hyperlink"/>
            <w:rFonts w:ascii="Calibri" w:hAnsi="Calibri" w:cs="Calibri"/>
          </w:rPr>
          <w:t>amended</w:t>
        </w:r>
      </w:hyperlink>
      <w:r w:rsidRPr="00DD7BD1">
        <w:rPr>
          <w:rFonts w:ascii="Calibri" w:hAnsi="Calibri" w:cs="Calibri"/>
        </w:rPr>
        <w:t xml:space="preserve"> its Earned Sick and Safe Time (ESST) ordinance to align with the statewide Minnesota Earned Sick &amp; Safe Time - </w:t>
      </w:r>
      <w:hyperlink r:id="rId789" w:history="1">
        <w:r w:rsidRPr="00DD7BD1">
          <w:rPr>
            <w:rStyle w:val="Hyperlink"/>
            <w:rFonts w:ascii="Calibri" w:hAnsi="Calibri" w:cs="Calibri"/>
          </w:rPr>
          <w:t>ESST law</w:t>
        </w:r>
      </w:hyperlink>
      <w:r w:rsidRPr="00DD7BD1">
        <w:rPr>
          <w:rFonts w:ascii="Calibri" w:hAnsi="Calibri" w:cs="Calibri"/>
        </w:rPr>
        <w:t xml:space="preserve">, which took effect Jan. 1, 2024, and was later amended. Employers in Minnesota localities with their own sick leave laws were already </w:t>
      </w:r>
      <w:hyperlink r:id="rId790" w:history="1">
        <w:r w:rsidRPr="00DD7BD1">
          <w:rPr>
            <w:rStyle w:val="Hyperlink"/>
            <w:rFonts w:ascii="Calibri" w:hAnsi="Calibri" w:cs="Calibri"/>
          </w:rPr>
          <w:t>obligated</w:t>
        </w:r>
      </w:hyperlink>
      <w:r w:rsidRPr="00DD7BD1">
        <w:rPr>
          <w:rFonts w:ascii="Calibri" w:hAnsi="Calibri" w:cs="Calibri"/>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0578254C" w14:textId="25A5482C" w:rsidR="00005949" w:rsidRPr="00DD7BD1" w:rsidRDefault="00005949" w:rsidP="00005949">
      <w:pPr>
        <w:rPr>
          <w:rFonts w:ascii="Calibri" w:hAnsi="Calibri" w:cs="Calibri"/>
        </w:rPr>
      </w:pPr>
      <w:r w:rsidRPr="00DD7BD1">
        <w:rPr>
          <w:rFonts w:ascii="Calibri" w:hAnsi="Calibri" w:cs="Calibri"/>
        </w:rPr>
        <w:t xml:space="preserve">The amendments take effect 30 days after their publication. </w:t>
      </w:r>
    </w:p>
    <w:p w14:paraId="6D3B9259"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216A53F3"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be eligible for leave if they are </w:t>
      </w:r>
      <w:r w:rsidRPr="00DD7BD1">
        <w:rPr>
          <w:rFonts w:ascii="Calibri" w:hAnsi="Calibri" w:cs="Calibri"/>
          <w:b/>
          <w:bCs/>
        </w:rPr>
        <w:t>anticipated</w:t>
      </w:r>
      <w:r w:rsidRPr="00DD7BD1">
        <w:rPr>
          <w:rFonts w:ascii="Calibri" w:hAnsi="Calibri" w:cs="Calibri"/>
        </w:rPr>
        <w:t xml:space="preserve"> </w:t>
      </w:r>
      <w:r w:rsidRPr="00DD7BD1">
        <w:rPr>
          <w:rFonts w:ascii="Calibri" w:hAnsi="Calibri" w:cs="Calibri"/>
          <w:b/>
          <w:bCs/>
        </w:rPr>
        <w:t>to work</w:t>
      </w:r>
      <w:r w:rsidRPr="00DD7BD1">
        <w:rPr>
          <w:rFonts w:ascii="Calibri" w:hAnsi="Calibri" w:cs="Calibri"/>
        </w:rPr>
        <w:t xml:space="preserve"> 80 hours in St. Paul in a year. </w:t>
      </w:r>
      <w:r w:rsidRPr="00DD7BD1">
        <w:rPr>
          <w:rFonts w:ascii="Calibri" w:hAnsi="Calibri" w:cs="Calibri"/>
          <w:i/>
          <w:iCs/>
        </w:rPr>
        <w:t xml:space="preserve">The prior wording limited eligibility to employees who </w:t>
      </w:r>
      <w:r w:rsidRPr="00DD7BD1">
        <w:rPr>
          <w:rFonts w:ascii="Calibri" w:hAnsi="Calibri" w:cs="Calibri"/>
          <w:b/>
          <w:bCs/>
          <w:i/>
          <w:iCs/>
        </w:rPr>
        <w:t>work</w:t>
      </w:r>
      <w:r w:rsidRPr="00DD7BD1">
        <w:rPr>
          <w:rFonts w:ascii="Calibri" w:hAnsi="Calibri" w:cs="Calibri"/>
          <w:i/>
          <w:iCs/>
        </w:rPr>
        <w:t xml:space="preserve"> in the city for 80 hours in a year. </w:t>
      </w:r>
    </w:p>
    <w:p w14:paraId="07234F3F"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Permitted use of ESST include leave for reasons related to the death of a family member or harassment of the employee or a family member. </w:t>
      </w:r>
    </w:p>
    <w:p w14:paraId="70A3DFA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Amendments eliminated:</w:t>
      </w:r>
    </w:p>
    <w:p w14:paraId="59C8EE1A"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 provision allowing employers to limit the use of ESST to hours when the employee was scheduled to work in St. Paul.</w:t>
      </w:r>
    </w:p>
    <w:p w14:paraId="0C6337D6"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requirement that employees work in St. Paul for one year before being entitled to carry over at least 80 hours of unused accrued sick time into the following year. In addition, employees will be allowed to use ESST in the same increment in which they are paid (instead of the smallest increment tracked by the employer’s payroll system). However, employers are </w:t>
      </w:r>
      <w:r w:rsidRPr="00DD7BD1">
        <w:rPr>
          <w:rFonts w:ascii="Calibri" w:hAnsi="Calibri" w:cs="Calibri"/>
          <w:b/>
          <w:bCs/>
        </w:rPr>
        <w:t>not</w:t>
      </w:r>
      <w:r w:rsidRPr="00DD7BD1">
        <w:rPr>
          <w:rFonts w:ascii="Calibri" w:hAnsi="Calibri" w:cs="Calibri"/>
        </w:rPr>
        <w:t xml:space="preserve"> required to allow leave in less than 15-minute increments, nor can they require that it be used in increments greater than four hours.</w:t>
      </w:r>
    </w:p>
    <w:p w14:paraId="5561BECB" w14:textId="77777777" w:rsidR="00005949" w:rsidRPr="00DD7BD1" w:rsidRDefault="00005949" w:rsidP="00005949">
      <w:pPr>
        <w:pStyle w:val="ListParagraph"/>
        <w:numPr>
          <w:ilvl w:val="1"/>
          <w:numId w:val="259"/>
        </w:numPr>
        <w:spacing w:after="0" w:line="240" w:lineRule="auto"/>
        <w:ind w:left="720"/>
        <w:rPr>
          <w:rFonts w:ascii="Calibri" w:hAnsi="Calibri" w:cs="Calibri"/>
        </w:rPr>
      </w:pPr>
      <w:r w:rsidRPr="00DD7BD1">
        <w:rPr>
          <w:rFonts w:ascii="Calibri" w:hAnsi="Calibri" w:cs="Calibri"/>
        </w:rPr>
        <w:t xml:space="preserve">Amendments allow employers to require reasonable documentation for leave of more than </w:t>
      </w:r>
      <w:r w:rsidRPr="00DD7BD1">
        <w:rPr>
          <w:rFonts w:ascii="Calibri" w:hAnsi="Calibri" w:cs="Calibri"/>
          <w:b/>
          <w:bCs/>
        </w:rPr>
        <w:t>2 consecutive days rather than 3,</w:t>
      </w:r>
      <w:r w:rsidRPr="00DD7BD1">
        <w:rPr>
          <w:rFonts w:ascii="Calibri" w:hAnsi="Calibri" w:cs="Calibri"/>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21E1587A"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Amendments to the ordinance both add and strike employee exceptions. </w:t>
      </w:r>
    </w:p>
    <w:p w14:paraId="5D0BF4EB"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Elected officials and short-term farm laborers are newly excepted from coverage. </w:t>
      </w:r>
    </w:p>
    <w:p w14:paraId="2EBFC8D8"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The exception for airline cabin and flight crew members is eliminated.</w:t>
      </w:r>
    </w:p>
    <w:p w14:paraId="0E88C869"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Other employee exceptions apply to ESST for the closure of the employee’s place of business due to weather or other public emergency, or an employee’s need to care for a family member whose school or place of care has been closed due to weather or other public emergency. </w:t>
      </w:r>
    </w:p>
    <w:p w14:paraId="491A0AC8" w14:textId="38218B16"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5185F9F4" w14:textId="6D186670"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5BB6BC21" w14:textId="737E5B6A" w:rsidR="003A22A9" w:rsidRPr="00DD7BD1" w:rsidRDefault="003A22A9" w:rsidP="003A22A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Guidance</w:t>
      </w:r>
      <w:r w:rsidRPr="00DD7BD1">
        <w:rPr>
          <w:rFonts w:ascii="Calibri" w:hAnsi="Calibri" w:cs="Calibri"/>
          <w:b/>
          <w:spacing w:val="-7"/>
          <w:sz w:val="28"/>
        </w:rPr>
        <w:t xml:space="preserve"> </w:t>
      </w:r>
      <w:r w:rsidRPr="00DD7BD1">
        <w:rPr>
          <w:rFonts w:ascii="Calibri" w:hAnsi="Calibri" w:cs="Calibri"/>
          <w:b/>
          <w:spacing w:val="-6"/>
          <w:sz w:val="28"/>
        </w:rPr>
        <w:t>on</w:t>
      </w:r>
      <w:r w:rsidRPr="00DD7BD1">
        <w:rPr>
          <w:rFonts w:ascii="Calibri" w:hAnsi="Calibri" w:cs="Calibri"/>
          <w:b/>
          <w:spacing w:val="-7"/>
          <w:sz w:val="28"/>
        </w:rPr>
        <w:t xml:space="preserve"> </w:t>
      </w:r>
      <w:r w:rsidRPr="00DD7BD1">
        <w:rPr>
          <w:rFonts w:ascii="Calibri" w:hAnsi="Calibri" w:cs="Calibri"/>
          <w:b/>
          <w:spacing w:val="-6"/>
          <w:sz w:val="28"/>
        </w:rPr>
        <w:t>Meal</w:t>
      </w:r>
      <w:r w:rsidRPr="00DD7BD1">
        <w:rPr>
          <w:rFonts w:ascii="Calibri" w:hAnsi="Calibri" w:cs="Calibri"/>
          <w:b/>
          <w:spacing w:val="-10"/>
          <w:sz w:val="28"/>
        </w:rPr>
        <w:t xml:space="preserve"> </w:t>
      </w:r>
      <w:r w:rsidRPr="00DD7BD1">
        <w:rPr>
          <w:rFonts w:ascii="Calibri" w:hAnsi="Calibri" w:cs="Calibri"/>
          <w:b/>
          <w:spacing w:val="-6"/>
          <w:sz w:val="28"/>
        </w:rPr>
        <w:t>&amp;</w:t>
      </w:r>
      <w:r w:rsidRPr="00DD7BD1">
        <w:rPr>
          <w:rFonts w:ascii="Calibri" w:hAnsi="Calibri" w:cs="Calibri"/>
          <w:b/>
          <w:spacing w:val="-7"/>
          <w:sz w:val="28"/>
        </w:rPr>
        <w:t xml:space="preserve"> </w:t>
      </w:r>
      <w:r w:rsidRPr="00DD7BD1">
        <w:rPr>
          <w:rFonts w:ascii="Calibri" w:hAnsi="Calibri" w:cs="Calibri"/>
          <w:b/>
          <w:spacing w:val="-6"/>
          <w:sz w:val="28"/>
        </w:rPr>
        <w:t>Rest</w:t>
      </w:r>
      <w:r w:rsidRPr="00DD7BD1">
        <w:rPr>
          <w:rFonts w:ascii="Calibri" w:hAnsi="Calibri" w:cs="Calibri"/>
          <w:b/>
          <w:spacing w:val="-9"/>
          <w:sz w:val="28"/>
        </w:rPr>
        <w:t xml:space="preserve"> </w:t>
      </w:r>
      <w:r w:rsidRPr="00DD7BD1">
        <w:rPr>
          <w:rFonts w:ascii="Calibri" w:hAnsi="Calibri" w:cs="Calibri"/>
          <w:b/>
          <w:spacing w:val="-6"/>
          <w:sz w:val="28"/>
        </w:rPr>
        <w:t>Break</w:t>
      </w:r>
      <w:r w:rsidRPr="00DD7BD1">
        <w:rPr>
          <w:rFonts w:ascii="Calibri" w:hAnsi="Calibri" w:cs="Calibri"/>
          <w:b/>
          <w:spacing w:val="-9"/>
          <w:sz w:val="28"/>
        </w:rPr>
        <w:t xml:space="preserve"> </w:t>
      </w:r>
      <w:r w:rsidRPr="00DD7BD1">
        <w:rPr>
          <w:rFonts w:ascii="Calibri" w:hAnsi="Calibri" w:cs="Calibri"/>
          <w:b/>
          <w:spacing w:val="-6"/>
          <w:sz w:val="28"/>
        </w:rPr>
        <w:t>Amendments</w:t>
      </w:r>
      <w:r w:rsidRPr="00DD7BD1">
        <w:rPr>
          <w:rFonts w:ascii="Calibri" w:hAnsi="Calibri" w:cs="Calibri"/>
          <w:b/>
          <w:spacing w:val="-5"/>
          <w:sz w:val="28"/>
        </w:rPr>
        <w:t xml:space="preserve"> </w:t>
      </w:r>
      <w:r w:rsidRPr="00DD7BD1">
        <w:rPr>
          <w:rFonts w:ascii="Calibri" w:hAnsi="Calibri" w:cs="Calibri"/>
          <w:b/>
          <w:spacing w:val="-6"/>
          <w:sz w:val="28"/>
        </w:rPr>
        <w:t>–</w:t>
      </w:r>
      <w:r w:rsidRPr="00DD7BD1">
        <w:rPr>
          <w:rFonts w:ascii="Calibri" w:hAnsi="Calibri" w:cs="Calibri"/>
          <w:b/>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2026</w:t>
      </w:r>
    </w:p>
    <w:p w14:paraId="0C5C2D09"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January</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2026,</w:t>
      </w:r>
      <w:r w:rsidRPr="00DD7BD1">
        <w:rPr>
          <w:rFonts w:cs="Calibri"/>
          <w:color w:val="auto"/>
          <w:spacing w:val="-9"/>
          <w:w w:val="110"/>
          <w:szCs w:val="22"/>
        </w:rPr>
        <w:t xml:space="preserve"> </w:t>
      </w:r>
      <w:r w:rsidRPr="00DD7BD1">
        <w:rPr>
          <w:rFonts w:cs="Calibri"/>
          <w:color w:val="auto"/>
          <w:w w:val="110"/>
          <w:szCs w:val="22"/>
        </w:rPr>
        <w:t>changes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Minnesota’s</w:t>
      </w:r>
      <w:r w:rsidRPr="00DD7BD1">
        <w:rPr>
          <w:rFonts w:cs="Calibri"/>
          <w:color w:val="auto"/>
          <w:spacing w:val="-10"/>
          <w:w w:val="110"/>
          <w:szCs w:val="22"/>
        </w:rPr>
        <w:t xml:space="preserve"> </w:t>
      </w:r>
      <w:r w:rsidRPr="00DD7BD1">
        <w:rPr>
          <w:rFonts w:cs="Calibri"/>
          <w:color w:val="auto"/>
          <w:w w:val="110"/>
          <w:szCs w:val="22"/>
        </w:rPr>
        <w:t>meal</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9"/>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laws</w:t>
      </w:r>
      <w:r w:rsidRPr="00DD7BD1">
        <w:rPr>
          <w:rFonts w:cs="Calibri"/>
          <w:color w:val="auto"/>
          <w:spacing w:val="-8"/>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fifteen-minute breaks and</w:t>
      </w:r>
      <w:r w:rsidRPr="00DD7BD1">
        <w:rPr>
          <w:rFonts w:cs="Calibri"/>
          <w:color w:val="auto"/>
          <w:spacing w:val="-1"/>
          <w:w w:val="110"/>
          <w:szCs w:val="22"/>
        </w:rPr>
        <w:t xml:space="preserve"> </w:t>
      </w:r>
      <w:r w:rsidRPr="00DD7BD1">
        <w:rPr>
          <w:rFonts w:cs="Calibri"/>
          <w:color w:val="auto"/>
          <w:w w:val="110"/>
          <w:szCs w:val="22"/>
        </w:rPr>
        <w:t>a thirty-minute meal break depending</w:t>
      </w:r>
      <w:r w:rsidRPr="00DD7BD1">
        <w:rPr>
          <w:rFonts w:cs="Calibri"/>
          <w:color w:val="auto"/>
          <w:spacing w:val="-4"/>
          <w:w w:val="110"/>
          <w:szCs w:val="22"/>
        </w:rPr>
        <w:t xml:space="preserve"> </w:t>
      </w:r>
      <w:r w:rsidRPr="00DD7BD1">
        <w:rPr>
          <w:rFonts w:cs="Calibri"/>
          <w:color w:val="auto"/>
          <w:w w:val="110"/>
          <w:szCs w:val="22"/>
        </w:rPr>
        <w:t>on hours worked.</w:t>
      </w:r>
    </w:p>
    <w:p w14:paraId="47386D17" w14:textId="77777777" w:rsidR="003A22A9" w:rsidRPr="00DD7BD1" w:rsidRDefault="003A22A9" w:rsidP="003A22A9">
      <w:pPr>
        <w:pStyle w:val="BodyText"/>
        <w:spacing w:after="0" w:line="240" w:lineRule="auto"/>
        <w:ind w:right="-187"/>
        <w:jc w:val="left"/>
        <w:rPr>
          <w:rFonts w:cs="Calibri"/>
          <w:color w:val="auto"/>
          <w:spacing w:val="-2"/>
          <w:w w:val="115"/>
          <w:szCs w:val="22"/>
        </w:rPr>
      </w:pPr>
    </w:p>
    <w:p w14:paraId="5ABDD562" w14:textId="77777777" w:rsidR="003A22A9" w:rsidRPr="00DD7BD1" w:rsidRDefault="003A22A9" w:rsidP="003A22A9">
      <w:pPr>
        <w:pStyle w:val="BodyText"/>
        <w:spacing w:after="0" w:line="240" w:lineRule="auto"/>
        <w:ind w:right="-187"/>
        <w:jc w:val="left"/>
        <w:rPr>
          <w:rFonts w:cs="Calibri"/>
          <w:b/>
          <w:bCs/>
          <w:color w:val="auto"/>
          <w:spacing w:val="-2"/>
          <w:w w:val="115"/>
          <w:szCs w:val="22"/>
        </w:rPr>
      </w:pPr>
      <w:r w:rsidRPr="00DD7BD1">
        <w:rPr>
          <w:rFonts w:cs="Calibri"/>
          <w:b/>
          <w:bCs/>
          <w:color w:val="auto"/>
          <w:spacing w:val="-2"/>
          <w:w w:val="115"/>
          <w:szCs w:val="22"/>
        </w:rPr>
        <w:t>Highlights:</w:t>
      </w:r>
    </w:p>
    <w:p w14:paraId="3FAFFC20" w14:textId="77777777" w:rsidR="003A22A9" w:rsidRPr="00DD7BD1"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Calibri" w:hAnsi="Calibri" w:cs="Calibri"/>
        </w:rPr>
      </w:pPr>
      <w:r w:rsidRPr="00DD7BD1">
        <w:rPr>
          <w:rFonts w:ascii="Calibri" w:hAnsi="Calibri" w:cs="Calibri"/>
          <w:w w:val="110"/>
        </w:rPr>
        <w:t>Minnesota’s</w:t>
      </w:r>
      <w:r w:rsidRPr="00DD7BD1">
        <w:rPr>
          <w:rFonts w:ascii="Calibri" w:hAnsi="Calibri" w:cs="Calibri"/>
          <w:spacing w:val="-21"/>
          <w:w w:val="110"/>
        </w:rPr>
        <w:t xml:space="preserve"> </w:t>
      </w:r>
      <w:r w:rsidRPr="00DD7BD1">
        <w:rPr>
          <w:rFonts w:ascii="Calibri" w:hAnsi="Calibri" w:cs="Calibri"/>
          <w:w w:val="110"/>
        </w:rPr>
        <w:t>break</w:t>
      </w:r>
      <w:r w:rsidRPr="00DD7BD1">
        <w:rPr>
          <w:rFonts w:ascii="Calibri" w:hAnsi="Calibri" w:cs="Calibri"/>
          <w:spacing w:val="-20"/>
          <w:w w:val="110"/>
        </w:rPr>
        <w:t xml:space="preserve"> </w:t>
      </w:r>
      <w:r w:rsidRPr="00DD7BD1">
        <w:rPr>
          <w:rFonts w:ascii="Calibri" w:hAnsi="Calibri" w:cs="Calibri"/>
          <w:w w:val="110"/>
        </w:rPr>
        <w:t>laws</w:t>
      </w:r>
      <w:r w:rsidRPr="00DD7BD1">
        <w:rPr>
          <w:rFonts w:ascii="Calibri" w:hAnsi="Calibri" w:cs="Calibri"/>
          <w:spacing w:val="-20"/>
          <w:w w:val="110"/>
        </w:rPr>
        <w:t xml:space="preserve"> </w:t>
      </w:r>
      <w:r w:rsidRPr="00DD7BD1">
        <w:rPr>
          <w:rFonts w:ascii="Calibri" w:hAnsi="Calibri" w:cs="Calibri"/>
          <w:w w:val="110"/>
        </w:rPr>
        <w:t>are</w:t>
      </w:r>
      <w:r w:rsidRPr="00DD7BD1">
        <w:rPr>
          <w:rFonts w:ascii="Calibri" w:hAnsi="Calibri" w:cs="Calibri"/>
          <w:spacing w:val="-21"/>
          <w:w w:val="110"/>
        </w:rPr>
        <w:t xml:space="preserve"> </w:t>
      </w:r>
      <w:r w:rsidRPr="00DD7BD1">
        <w:rPr>
          <w:rFonts w:ascii="Calibri" w:hAnsi="Calibri" w:cs="Calibri"/>
          <w:w w:val="110"/>
        </w:rPr>
        <w:t>only</w:t>
      </w:r>
      <w:r w:rsidRPr="00DD7BD1">
        <w:rPr>
          <w:rFonts w:ascii="Calibri" w:hAnsi="Calibri" w:cs="Calibri"/>
          <w:spacing w:val="-21"/>
          <w:w w:val="110"/>
        </w:rPr>
        <w:t xml:space="preserve"> </w:t>
      </w:r>
      <w:r w:rsidRPr="00DD7BD1">
        <w:rPr>
          <w:rFonts w:ascii="Calibri" w:hAnsi="Calibri" w:cs="Calibri"/>
          <w:w w:val="110"/>
        </w:rPr>
        <w:t>applicable</w:t>
      </w:r>
      <w:r w:rsidRPr="00DD7BD1">
        <w:rPr>
          <w:rFonts w:ascii="Calibri" w:hAnsi="Calibri" w:cs="Calibri"/>
          <w:spacing w:val="-21"/>
          <w:w w:val="110"/>
        </w:rPr>
        <w:t xml:space="preserve"> </w:t>
      </w:r>
      <w:r w:rsidRPr="00DD7BD1">
        <w:rPr>
          <w:rFonts w:ascii="Calibri" w:hAnsi="Calibri" w:cs="Calibri"/>
          <w:w w:val="110"/>
        </w:rPr>
        <w:t>to</w:t>
      </w:r>
      <w:r w:rsidRPr="00DD7BD1">
        <w:rPr>
          <w:rFonts w:ascii="Calibri" w:hAnsi="Calibri" w:cs="Calibri"/>
          <w:spacing w:val="-23"/>
          <w:w w:val="110"/>
        </w:rPr>
        <w:t xml:space="preserve"> </w:t>
      </w:r>
      <w:r w:rsidRPr="00DD7BD1">
        <w:rPr>
          <w:rFonts w:ascii="Calibri" w:hAnsi="Calibri" w:cs="Calibri"/>
          <w:w w:val="110"/>
        </w:rPr>
        <w:t>“employees”</w:t>
      </w:r>
      <w:r w:rsidRPr="00DD7BD1">
        <w:rPr>
          <w:rFonts w:ascii="Calibri" w:hAnsi="Calibri" w:cs="Calibri"/>
          <w:spacing w:val="-25"/>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defined</w:t>
      </w:r>
      <w:r w:rsidRPr="00DD7BD1">
        <w:rPr>
          <w:rFonts w:ascii="Calibri" w:hAnsi="Calibri" w:cs="Calibri"/>
          <w:spacing w:val="-23"/>
          <w:w w:val="110"/>
        </w:rPr>
        <w:t xml:space="preserve"> </w:t>
      </w:r>
      <w:r w:rsidRPr="00DD7BD1">
        <w:rPr>
          <w:rFonts w:ascii="Calibri" w:hAnsi="Calibri" w:cs="Calibri"/>
          <w:w w:val="110"/>
        </w:rPr>
        <w:t>by</w:t>
      </w:r>
      <w:r w:rsidRPr="00DD7BD1">
        <w:rPr>
          <w:rFonts w:ascii="Calibri" w:hAnsi="Calibri" w:cs="Calibri"/>
          <w:spacing w:val="-20"/>
          <w:w w:val="110"/>
        </w:rPr>
        <w:t xml:space="preserve"> </w:t>
      </w:r>
      <w:r w:rsidRPr="00DD7BD1">
        <w:rPr>
          <w:rFonts w:ascii="Calibri" w:hAnsi="Calibri" w:cs="Calibri"/>
          <w:w w:val="110"/>
        </w:rPr>
        <w:t>the</w:t>
      </w:r>
      <w:r w:rsidRPr="00DD7BD1">
        <w:rPr>
          <w:rFonts w:ascii="Calibri" w:hAnsi="Calibri" w:cs="Calibri"/>
          <w:spacing w:val="-22"/>
          <w:w w:val="110"/>
        </w:rPr>
        <w:t xml:space="preserve"> </w:t>
      </w:r>
      <w:r w:rsidRPr="00DD7BD1">
        <w:rPr>
          <w:rFonts w:ascii="Calibri" w:hAnsi="Calibri" w:cs="Calibri"/>
          <w:w w:val="110"/>
        </w:rPr>
        <w:t>Minnesota</w:t>
      </w:r>
      <w:r w:rsidRPr="00DD7BD1">
        <w:rPr>
          <w:rFonts w:ascii="Calibri" w:hAnsi="Calibri" w:cs="Calibri"/>
          <w:spacing w:val="-22"/>
          <w:w w:val="110"/>
        </w:rPr>
        <w:t xml:space="preserve"> </w:t>
      </w:r>
      <w:r w:rsidRPr="00DD7BD1">
        <w:rPr>
          <w:rFonts w:ascii="Calibri" w:hAnsi="Calibri" w:cs="Calibri"/>
          <w:w w:val="110"/>
        </w:rPr>
        <w:t>Fair</w:t>
      </w:r>
      <w:r w:rsidRPr="00DD7BD1">
        <w:rPr>
          <w:rFonts w:ascii="Calibri" w:hAnsi="Calibri" w:cs="Calibri"/>
          <w:spacing w:val="-24"/>
          <w:w w:val="110"/>
        </w:rPr>
        <w:t xml:space="preserve"> </w:t>
      </w:r>
      <w:r w:rsidRPr="00DD7BD1">
        <w:rPr>
          <w:rFonts w:ascii="Calibri" w:hAnsi="Calibri" w:cs="Calibri"/>
          <w:w w:val="110"/>
        </w:rPr>
        <w:t>Labor</w:t>
      </w:r>
      <w:r w:rsidRPr="00DD7BD1">
        <w:rPr>
          <w:rFonts w:ascii="Calibri" w:hAnsi="Calibri" w:cs="Calibri"/>
          <w:spacing w:val="-24"/>
          <w:w w:val="110"/>
        </w:rPr>
        <w:t xml:space="preserve"> </w:t>
      </w:r>
      <w:r w:rsidRPr="00DD7BD1">
        <w:rPr>
          <w:rFonts w:ascii="Calibri" w:hAnsi="Calibri" w:cs="Calibri"/>
          <w:spacing w:val="-2"/>
          <w:w w:val="110"/>
        </w:rPr>
        <w:t>Standards</w:t>
      </w:r>
    </w:p>
    <w:p w14:paraId="5D682433" w14:textId="77777777" w:rsidR="003A22A9" w:rsidRPr="00DD7BD1" w:rsidRDefault="003A22A9" w:rsidP="003A22A9">
      <w:pPr>
        <w:pStyle w:val="BodyText"/>
        <w:tabs>
          <w:tab w:val="left" w:pos="1"/>
        </w:tabs>
        <w:spacing w:after="0" w:line="240" w:lineRule="auto"/>
        <w:ind w:left="360" w:right="-187"/>
        <w:jc w:val="left"/>
        <w:rPr>
          <w:rFonts w:cs="Calibri"/>
          <w:color w:val="auto"/>
          <w:spacing w:val="-2"/>
          <w:szCs w:val="22"/>
        </w:rPr>
      </w:pPr>
      <w:r w:rsidRPr="00DD7BD1">
        <w:rPr>
          <w:rFonts w:cs="Calibri"/>
          <w:color w:val="auto"/>
          <w:szCs w:val="22"/>
        </w:rPr>
        <w:t>Act,</w:t>
      </w:r>
      <w:r w:rsidRPr="00DD7BD1">
        <w:rPr>
          <w:rFonts w:cs="Calibri"/>
          <w:color w:val="auto"/>
          <w:spacing w:val="46"/>
          <w:szCs w:val="22"/>
        </w:rPr>
        <w:t xml:space="preserve"> </w:t>
      </w:r>
      <w:r w:rsidRPr="00DD7BD1">
        <w:rPr>
          <w:rFonts w:cs="Calibri"/>
          <w:color w:val="auto"/>
          <w:szCs w:val="22"/>
        </w:rPr>
        <w:t>excluding</w:t>
      </w:r>
      <w:r w:rsidRPr="00DD7BD1">
        <w:rPr>
          <w:rFonts w:cs="Calibri"/>
          <w:color w:val="auto"/>
          <w:spacing w:val="42"/>
          <w:szCs w:val="22"/>
        </w:rPr>
        <w:t xml:space="preserve"> </w:t>
      </w:r>
      <w:r w:rsidRPr="00DD7BD1">
        <w:rPr>
          <w:rFonts w:cs="Calibri"/>
          <w:color w:val="auto"/>
          <w:szCs w:val="22"/>
        </w:rPr>
        <w:t>exempt</w:t>
      </w:r>
      <w:r w:rsidRPr="00DD7BD1">
        <w:rPr>
          <w:rFonts w:cs="Calibri"/>
          <w:color w:val="auto"/>
          <w:spacing w:val="42"/>
          <w:szCs w:val="22"/>
        </w:rPr>
        <w:t xml:space="preserve"> </w:t>
      </w:r>
      <w:r w:rsidRPr="00DD7BD1">
        <w:rPr>
          <w:rFonts w:cs="Calibri"/>
          <w:color w:val="auto"/>
          <w:szCs w:val="22"/>
        </w:rPr>
        <w:t>employees</w:t>
      </w:r>
      <w:r w:rsidRPr="00DD7BD1">
        <w:rPr>
          <w:rFonts w:cs="Calibri"/>
          <w:color w:val="auto"/>
          <w:spacing w:val="48"/>
          <w:szCs w:val="22"/>
        </w:rPr>
        <w:t xml:space="preserve"> </w:t>
      </w:r>
      <w:r w:rsidRPr="00DD7BD1">
        <w:rPr>
          <w:rFonts w:cs="Calibri"/>
          <w:color w:val="auto"/>
          <w:szCs w:val="22"/>
        </w:rPr>
        <w:t>and</w:t>
      </w:r>
      <w:r w:rsidRPr="00DD7BD1">
        <w:rPr>
          <w:rFonts w:cs="Calibri"/>
          <w:color w:val="auto"/>
          <w:spacing w:val="42"/>
          <w:szCs w:val="22"/>
        </w:rPr>
        <w:t xml:space="preserve"> </w:t>
      </w:r>
      <w:r w:rsidRPr="00DD7BD1">
        <w:rPr>
          <w:rFonts w:cs="Calibri"/>
          <w:color w:val="auto"/>
          <w:szCs w:val="22"/>
        </w:rPr>
        <w:t>some</w:t>
      </w:r>
      <w:r w:rsidRPr="00DD7BD1">
        <w:rPr>
          <w:rFonts w:cs="Calibri"/>
          <w:color w:val="auto"/>
          <w:spacing w:val="42"/>
          <w:szCs w:val="22"/>
        </w:rPr>
        <w:t xml:space="preserve"> </w:t>
      </w:r>
      <w:r w:rsidRPr="00DD7BD1">
        <w:rPr>
          <w:rFonts w:cs="Calibri"/>
          <w:color w:val="auto"/>
          <w:szCs w:val="22"/>
        </w:rPr>
        <w:t>U.S.</w:t>
      </w:r>
      <w:r w:rsidRPr="00DD7BD1">
        <w:rPr>
          <w:rFonts w:cs="Calibri"/>
          <w:color w:val="auto"/>
          <w:spacing w:val="47"/>
          <w:szCs w:val="22"/>
        </w:rPr>
        <w:t xml:space="preserve"> </w:t>
      </w:r>
      <w:r w:rsidRPr="00DD7BD1">
        <w:rPr>
          <w:rFonts w:cs="Calibri"/>
          <w:color w:val="auto"/>
          <w:szCs w:val="22"/>
        </w:rPr>
        <w:t>Department</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6"/>
          <w:szCs w:val="22"/>
        </w:rPr>
        <w:t xml:space="preserve"> </w:t>
      </w:r>
      <w:r w:rsidRPr="00DD7BD1">
        <w:rPr>
          <w:rFonts w:cs="Calibri"/>
          <w:color w:val="auto"/>
          <w:szCs w:val="22"/>
        </w:rPr>
        <w:t>Transportation</w:t>
      </w:r>
      <w:r w:rsidRPr="00DD7BD1">
        <w:rPr>
          <w:rFonts w:cs="Calibri"/>
          <w:color w:val="auto"/>
          <w:spacing w:val="44"/>
          <w:szCs w:val="22"/>
        </w:rPr>
        <w:t xml:space="preserve"> </w:t>
      </w:r>
      <w:r w:rsidRPr="00DD7BD1">
        <w:rPr>
          <w:rFonts w:cs="Calibri"/>
          <w:color w:val="auto"/>
          <w:szCs w:val="22"/>
        </w:rPr>
        <w:t>(DOT)-related</w:t>
      </w:r>
      <w:r w:rsidRPr="00DD7BD1">
        <w:rPr>
          <w:rFonts w:cs="Calibri"/>
          <w:color w:val="auto"/>
          <w:spacing w:val="48"/>
          <w:szCs w:val="22"/>
        </w:rPr>
        <w:t xml:space="preserve"> </w:t>
      </w:r>
      <w:r w:rsidRPr="00DD7BD1">
        <w:rPr>
          <w:rFonts w:cs="Calibri"/>
          <w:color w:val="auto"/>
          <w:spacing w:val="-2"/>
          <w:szCs w:val="22"/>
        </w:rPr>
        <w:t>positions.</w:t>
      </w:r>
    </w:p>
    <w:p w14:paraId="7F41AACA" w14:textId="77777777" w:rsidR="003A22A9" w:rsidRPr="00DD7BD1" w:rsidRDefault="003A22A9">
      <w:pPr>
        <w:widowControl w:val="0"/>
        <w:numPr>
          <w:ilvl w:val="0"/>
          <w:numId w:val="247"/>
        </w:numPr>
        <w:tabs>
          <w:tab w:val="left" w:pos="1"/>
          <w:tab w:val="left" w:pos="1079"/>
        </w:tabs>
        <w:autoSpaceDE w:val="0"/>
        <w:autoSpaceDN w:val="0"/>
        <w:spacing w:after="0" w:line="240" w:lineRule="auto"/>
        <w:ind w:left="360" w:right="-187"/>
        <w:rPr>
          <w:rFonts w:ascii="Calibri" w:hAnsi="Calibri" w:cs="Calibri"/>
        </w:rPr>
      </w:pP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must</w:t>
      </w:r>
      <w:r w:rsidRPr="00DD7BD1">
        <w:rPr>
          <w:rFonts w:ascii="Calibri" w:hAnsi="Calibri" w:cs="Calibri"/>
          <w:spacing w:val="30"/>
        </w:rPr>
        <w:t xml:space="preserve"> </w:t>
      </w:r>
      <w:r w:rsidRPr="00DD7BD1">
        <w:rPr>
          <w:rFonts w:ascii="Calibri" w:hAnsi="Calibri" w:cs="Calibri"/>
        </w:rPr>
        <w:t>only</w:t>
      </w:r>
      <w:r w:rsidRPr="00DD7BD1">
        <w:rPr>
          <w:rFonts w:ascii="Calibri" w:hAnsi="Calibri" w:cs="Calibri"/>
          <w:spacing w:val="32"/>
        </w:rPr>
        <w:t xml:space="preserve"> </w:t>
      </w:r>
      <w:r w:rsidRPr="00DD7BD1">
        <w:rPr>
          <w:rFonts w:ascii="Calibri" w:hAnsi="Calibri" w:cs="Calibri"/>
        </w:rPr>
        <w:t>provide</w:t>
      </w:r>
      <w:r w:rsidRPr="00DD7BD1">
        <w:rPr>
          <w:rFonts w:ascii="Calibri" w:hAnsi="Calibri" w:cs="Calibri"/>
          <w:spacing w:val="32"/>
        </w:rPr>
        <w:t xml:space="preserve"> </w:t>
      </w:r>
      <w:r w:rsidRPr="00DD7BD1">
        <w:rPr>
          <w:rFonts w:ascii="Calibri" w:hAnsi="Calibri" w:cs="Calibri"/>
        </w:rPr>
        <w:t>one</w:t>
      </w:r>
      <w:r w:rsidRPr="00DD7BD1">
        <w:rPr>
          <w:rFonts w:ascii="Calibri" w:hAnsi="Calibri" w:cs="Calibri"/>
          <w:spacing w:val="32"/>
        </w:rPr>
        <w:t xml:space="preserve"> </w:t>
      </w:r>
      <w:r w:rsidRPr="00DD7BD1">
        <w:rPr>
          <w:rFonts w:ascii="Calibri" w:hAnsi="Calibri" w:cs="Calibri"/>
        </w:rPr>
        <w:t>meal</w:t>
      </w:r>
      <w:r w:rsidRPr="00DD7BD1">
        <w:rPr>
          <w:rFonts w:ascii="Calibri" w:hAnsi="Calibri" w:cs="Calibri"/>
          <w:spacing w:val="30"/>
        </w:rPr>
        <w:t xml:space="preserve"> </w:t>
      </w:r>
      <w:r w:rsidRPr="00DD7BD1">
        <w:rPr>
          <w:rFonts w:ascii="Calibri" w:hAnsi="Calibri" w:cs="Calibri"/>
        </w:rPr>
        <w:t>period</w:t>
      </w:r>
      <w:r w:rsidRPr="00DD7BD1">
        <w:rPr>
          <w:rFonts w:ascii="Calibri" w:hAnsi="Calibri" w:cs="Calibri"/>
          <w:spacing w:val="36"/>
        </w:rPr>
        <w:t xml:space="preserve"> </w:t>
      </w:r>
      <w:r w:rsidRPr="00DD7BD1">
        <w:rPr>
          <w:rFonts w:ascii="Calibri" w:hAnsi="Calibri" w:cs="Calibri"/>
        </w:rPr>
        <w:t>per</w:t>
      </w:r>
      <w:r w:rsidRPr="00DD7BD1">
        <w:rPr>
          <w:rFonts w:ascii="Calibri" w:hAnsi="Calibri" w:cs="Calibri"/>
          <w:spacing w:val="30"/>
        </w:rPr>
        <w:t xml:space="preserve"> </w:t>
      </w:r>
      <w:r w:rsidRPr="00DD7BD1">
        <w:rPr>
          <w:rFonts w:ascii="Calibri" w:hAnsi="Calibri" w:cs="Calibri"/>
        </w:rPr>
        <w:t>day</w:t>
      </w:r>
      <w:r w:rsidRPr="00DD7BD1">
        <w:rPr>
          <w:rFonts w:ascii="Calibri" w:hAnsi="Calibri" w:cs="Calibri"/>
          <w:spacing w:val="35"/>
        </w:rPr>
        <w:t xml:space="preserve"> </w:t>
      </w:r>
      <w:r w:rsidRPr="00DD7BD1">
        <w:rPr>
          <w:rFonts w:ascii="Calibri" w:hAnsi="Calibri" w:cs="Calibri"/>
        </w:rPr>
        <w:t>if</w:t>
      </w:r>
      <w:r w:rsidRPr="00DD7BD1">
        <w:rPr>
          <w:rFonts w:ascii="Calibri" w:hAnsi="Calibri" w:cs="Calibri"/>
          <w:spacing w:val="30"/>
        </w:rPr>
        <w:t xml:space="preserve"> </w:t>
      </w:r>
      <w:r w:rsidRPr="00DD7BD1">
        <w:rPr>
          <w:rFonts w:ascii="Calibri" w:hAnsi="Calibri" w:cs="Calibri"/>
        </w:rPr>
        <w:t>an</w:t>
      </w:r>
      <w:r w:rsidRPr="00DD7BD1">
        <w:rPr>
          <w:rFonts w:ascii="Calibri" w:hAnsi="Calibri" w:cs="Calibri"/>
          <w:spacing w:val="32"/>
        </w:rPr>
        <w:t xml:space="preserve"> </w:t>
      </w:r>
      <w:r w:rsidRPr="00DD7BD1">
        <w:rPr>
          <w:rFonts w:ascii="Calibri" w:hAnsi="Calibri" w:cs="Calibri"/>
        </w:rPr>
        <w:t>employee</w:t>
      </w:r>
      <w:r w:rsidRPr="00DD7BD1">
        <w:rPr>
          <w:rFonts w:ascii="Calibri" w:hAnsi="Calibri" w:cs="Calibri"/>
          <w:spacing w:val="35"/>
        </w:rPr>
        <w:t xml:space="preserve"> </w:t>
      </w:r>
      <w:r w:rsidRPr="00DD7BD1">
        <w:rPr>
          <w:rFonts w:ascii="Calibri" w:hAnsi="Calibri" w:cs="Calibri"/>
        </w:rPr>
        <w:t>works</w:t>
      </w:r>
      <w:r w:rsidRPr="00DD7BD1">
        <w:rPr>
          <w:rFonts w:ascii="Calibri" w:hAnsi="Calibri" w:cs="Calibri"/>
          <w:spacing w:val="48"/>
        </w:rPr>
        <w:t xml:space="preserve"> </w:t>
      </w:r>
      <w:r w:rsidRPr="00DD7BD1">
        <w:rPr>
          <w:rFonts w:ascii="Calibri" w:hAnsi="Calibri" w:cs="Calibri"/>
        </w:rPr>
        <w:t>6</w:t>
      </w:r>
      <w:r w:rsidRPr="00DD7BD1">
        <w:rPr>
          <w:rFonts w:ascii="Calibri" w:hAnsi="Calibri" w:cs="Calibri"/>
          <w:spacing w:val="30"/>
        </w:rPr>
        <w:t xml:space="preserve"> </w:t>
      </w:r>
      <w:r w:rsidRPr="00DD7BD1">
        <w:rPr>
          <w:rFonts w:ascii="Calibri" w:hAnsi="Calibri" w:cs="Calibri"/>
        </w:rPr>
        <w:t>continuous</w:t>
      </w:r>
      <w:r w:rsidRPr="00DD7BD1">
        <w:rPr>
          <w:rFonts w:ascii="Calibri" w:hAnsi="Calibri" w:cs="Calibri"/>
          <w:spacing w:val="35"/>
        </w:rPr>
        <w:t xml:space="preserve"> </w:t>
      </w:r>
      <w:r w:rsidRPr="00DD7BD1">
        <w:rPr>
          <w:rFonts w:ascii="Calibri" w:hAnsi="Calibri" w:cs="Calibri"/>
        </w:rPr>
        <w:t>hours</w:t>
      </w:r>
      <w:r w:rsidRPr="00DD7BD1">
        <w:rPr>
          <w:rFonts w:ascii="Calibri" w:hAnsi="Calibri" w:cs="Calibri"/>
          <w:spacing w:val="32"/>
        </w:rPr>
        <w:t xml:space="preserve"> </w:t>
      </w:r>
      <w:r w:rsidRPr="00DD7BD1">
        <w:rPr>
          <w:rFonts w:ascii="Calibri" w:hAnsi="Calibri" w:cs="Calibri"/>
        </w:rPr>
        <w:t>or</w:t>
      </w:r>
      <w:r w:rsidRPr="00DD7BD1">
        <w:rPr>
          <w:rFonts w:ascii="Calibri" w:hAnsi="Calibri" w:cs="Calibri"/>
          <w:spacing w:val="30"/>
        </w:rPr>
        <w:t xml:space="preserve"> </w:t>
      </w:r>
      <w:r w:rsidRPr="00DD7BD1">
        <w:rPr>
          <w:rFonts w:ascii="Calibri" w:hAnsi="Calibri" w:cs="Calibri"/>
          <w:spacing w:val="-2"/>
        </w:rPr>
        <w:t>more.</w:t>
      </w:r>
    </w:p>
    <w:p w14:paraId="154207AA" w14:textId="77777777" w:rsidR="003A22A9" w:rsidRPr="00DD7BD1"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An</w:t>
      </w:r>
      <w:r w:rsidRPr="00DD7BD1">
        <w:rPr>
          <w:rFonts w:ascii="Calibri" w:hAnsi="Calibri" w:cs="Calibri"/>
          <w:spacing w:val="22"/>
          <w:w w:val="110"/>
        </w:rPr>
        <w:t xml:space="preserve"> </w:t>
      </w:r>
      <w:r w:rsidRPr="00DD7BD1">
        <w:rPr>
          <w:rFonts w:ascii="Calibri" w:hAnsi="Calibri" w:cs="Calibri"/>
          <w:w w:val="110"/>
        </w:rPr>
        <w:t>unpaid</w:t>
      </w:r>
      <w:r w:rsidRPr="00DD7BD1">
        <w:rPr>
          <w:rFonts w:ascii="Calibri" w:hAnsi="Calibri" w:cs="Calibri"/>
          <w:spacing w:val="22"/>
          <w:w w:val="110"/>
        </w:rPr>
        <w:t xml:space="preserve"> </w:t>
      </w:r>
      <w:r w:rsidRPr="00DD7BD1">
        <w:rPr>
          <w:rFonts w:ascii="Calibri" w:hAnsi="Calibri" w:cs="Calibri"/>
          <w:w w:val="110"/>
        </w:rPr>
        <w:t>meal</w:t>
      </w:r>
      <w:r w:rsidRPr="00DD7BD1">
        <w:rPr>
          <w:rFonts w:ascii="Calibri" w:hAnsi="Calibri" w:cs="Calibri"/>
          <w:spacing w:val="22"/>
          <w:w w:val="110"/>
        </w:rPr>
        <w:t xml:space="preserve"> </w:t>
      </w:r>
      <w:r w:rsidRPr="00DD7BD1">
        <w:rPr>
          <w:rFonts w:ascii="Calibri" w:hAnsi="Calibri" w:cs="Calibri"/>
          <w:w w:val="110"/>
        </w:rPr>
        <w:t>period</w:t>
      </w:r>
      <w:r w:rsidRPr="00DD7BD1">
        <w:rPr>
          <w:rFonts w:ascii="Calibri" w:hAnsi="Calibri" w:cs="Calibri"/>
          <w:spacing w:val="21"/>
          <w:w w:val="110"/>
        </w:rPr>
        <w:t xml:space="preserve"> </w:t>
      </w:r>
      <w:r w:rsidRPr="00DD7BD1">
        <w:rPr>
          <w:rFonts w:ascii="Calibri" w:hAnsi="Calibri" w:cs="Calibri"/>
          <w:w w:val="110"/>
        </w:rPr>
        <w:t>of</w:t>
      </w:r>
      <w:r w:rsidRPr="00DD7BD1">
        <w:rPr>
          <w:rFonts w:ascii="Calibri" w:hAnsi="Calibri" w:cs="Calibri"/>
          <w:spacing w:val="22"/>
          <w:w w:val="110"/>
        </w:rPr>
        <w:t xml:space="preserve"> </w:t>
      </w:r>
      <w:r w:rsidRPr="00DD7BD1">
        <w:rPr>
          <w:rFonts w:ascii="Calibri" w:hAnsi="Calibri" w:cs="Calibri"/>
          <w:w w:val="110"/>
        </w:rPr>
        <w:t>twenty</w:t>
      </w:r>
      <w:r w:rsidRPr="00DD7BD1">
        <w:rPr>
          <w:rFonts w:ascii="Calibri" w:hAnsi="Calibri" w:cs="Calibri"/>
          <w:spacing w:val="22"/>
          <w:w w:val="110"/>
        </w:rPr>
        <w:t xml:space="preserve"> </w:t>
      </w:r>
      <w:r w:rsidRPr="00DD7BD1">
        <w:rPr>
          <w:rFonts w:ascii="Calibri" w:hAnsi="Calibri" w:cs="Calibri"/>
          <w:w w:val="110"/>
        </w:rPr>
        <w:t>minutes</w:t>
      </w:r>
      <w:r w:rsidRPr="00DD7BD1">
        <w:rPr>
          <w:rFonts w:ascii="Calibri" w:hAnsi="Calibri" w:cs="Calibri"/>
          <w:spacing w:val="21"/>
          <w:w w:val="110"/>
        </w:rPr>
        <w:t xml:space="preserve"> </w:t>
      </w:r>
      <w:r w:rsidRPr="00DD7BD1">
        <w:rPr>
          <w:rFonts w:ascii="Calibri" w:hAnsi="Calibri" w:cs="Calibri"/>
          <w:w w:val="110"/>
        </w:rPr>
        <w:t>or</w:t>
      </w:r>
      <w:r w:rsidRPr="00DD7BD1">
        <w:rPr>
          <w:rFonts w:ascii="Calibri" w:hAnsi="Calibri" w:cs="Calibri"/>
          <w:spacing w:val="22"/>
          <w:w w:val="110"/>
        </w:rPr>
        <w:t xml:space="preserve"> </w:t>
      </w:r>
      <w:r w:rsidRPr="00DD7BD1">
        <w:rPr>
          <w:rFonts w:ascii="Calibri" w:hAnsi="Calibri" w:cs="Calibri"/>
          <w:w w:val="110"/>
        </w:rPr>
        <w:t>more</w:t>
      </w:r>
      <w:r w:rsidRPr="00DD7BD1">
        <w:rPr>
          <w:rFonts w:ascii="Calibri" w:hAnsi="Calibri" w:cs="Calibri"/>
          <w:spacing w:val="22"/>
          <w:w w:val="110"/>
        </w:rPr>
        <w:t xml:space="preserve"> </w:t>
      </w:r>
      <w:r w:rsidRPr="00DD7BD1">
        <w:rPr>
          <w:rFonts w:ascii="Calibri" w:hAnsi="Calibri" w:cs="Calibri"/>
          <w:w w:val="110"/>
        </w:rPr>
        <w:t>is</w:t>
      </w:r>
      <w:r w:rsidRPr="00DD7BD1">
        <w:rPr>
          <w:rFonts w:ascii="Calibri" w:hAnsi="Calibri" w:cs="Calibri"/>
          <w:spacing w:val="24"/>
          <w:w w:val="110"/>
        </w:rPr>
        <w:t xml:space="preserve"> </w:t>
      </w:r>
      <w:r w:rsidRPr="00DD7BD1">
        <w:rPr>
          <w:rFonts w:ascii="Calibri" w:hAnsi="Calibri" w:cs="Calibri"/>
          <w:w w:val="110"/>
        </w:rPr>
        <w:t>not</w:t>
      </w:r>
      <w:r w:rsidRPr="00DD7BD1">
        <w:rPr>
          <w:rFonts w:ascii="Calibri" w:hAnsi="Calibri" w:cs="Calibri"/>
          <w:spacing w:val="22"/>
          <w:w w:val="110"/>
        </w:rPr>
        <w:t xml:space="preserve"> </w:t>
      </w:r>
      <w:r w:rsidRPr="00DD7BD1">
        <w:rPr>
          <w:rFonts w:ascii="Calibri" w:hAnsi="Calibri" w:cs="Calibri"/>
          <w:w w:val="110"/>
        </w:rPr>
        <w:t>counted</w:t>
      </w:r>
      <w:r w:rsidRPr="00DD7BD1">
        <w:rPr>
          <w:rFonts w:ascii="Calibri" w:hAnsi="Calibri" w:cs="Calibri"/>
          <w:spacing w:val="23"/>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“hours</w:t>
      </w:r>
      <w:r w:rsidRPr="00DD7BD1">
        <w:rPr>
          <w:rFonts w:ascii="Calibri" w:hAnsi="Calibri" w:cs="Calibri"/>
          <w:spacing w:val="23"/>
          <w:w w:val="110"/>
        </w:rPr>
        <w:t xml:space="preserve"> </w:t>
      </w:r>
      <w:r w:rsidRPr="00DD7BD1">
        <w:rPr>
          <w:rFonts w:ascii="Calibri" w:hAnsi="Calibri" w:cs="Calibri"/>
          <w:w w:val="110"/>
        </w:rPr>
        <w:t>worked”</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1"/>
          <w:w w:val="110"/>
        </w:rPr>
        <w:t xml:space="preserve"> </w:t>
      </w:r>
      <w:r w:rsidRPr="00DD7BD1">
        <w:rPr>
          <w:rFonts w:ascii="Calibri" w:hAnsi="Calibri" w:cs="Calibri"/>
          <w:w w:val="110"/>
        </w:rPr>
        <w:t>purposes</w:t>
      </w:r>
      <w:r w:rsidRPr="00DD7BD1">
        <w:rPr>
          <w:rFonts w:ascii="Calibri" w:hAnsi="Calibri" w:cs="Calibri"/>
          <w:spacing w:val="22"/>
          <w:w w:val="110"/>
        </w:rPr>
        <w:t xml:space="preserve"> </w:t>
      </w:r>
      <w:r w:rsidRPr="00DD7BD1">
        <w:rPr>
          <w:rFonts w:ascii="Calibri" w:hAnsi="Calibri" w:cs="Calibri"/>
          <w:spacing w:val="-5"/>
          <w:w w:val="110"/>
        </w:rPr>
        <w:t>of</w:t>
      </w:r>
    </w:p>
    <w:p w14:paraId="212CB709"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calculating</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6"/>
          <w:w w:val="110"/>
          <w:szCs w:val="22"/>
        </w:rPr>
        <w:t xml:space="preserve"> </w:t>
      </w:r>
      <w:r w:rsidRPr="00DD7BD1">
        <w:rPr>
          <w:rFonts w:cs="Calibri"/>
          <w:color w:val="auto"/>
          <w:spacing w:val="-2"/>
          <w:w w:val="110"/>
          <w:szCs w:val="22"/>
        </w:rPr>
        <w:t>breaks.</w:t>
      </w:r>
    </w:p>
    <w:p w14:paraId="4B76A98A" w14:textId="77777777" w:rsidR="003A22A9" w:rsidRPr="00DD7BD1"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Employes</w:t>
      </w:r>
      <w:r w:rsidRPr="00DD7BD1">
        <w:rPr>
          <w:rFonts w:ascii="Calibri" w:hAnsi="Calibri" w:cs="Calibri"/>
          <w:spacing w:val="38"/>
          <w:w w:val="110"/>
        </w:rPr>
        <w:t xml:space="preserve"> </w:t>
      </w:r>
      <w:r w:rsidRPr="00DD7BD1">
        <w:rPr>
          <w:rFonts w:ascii="Calibri" w:hAnsi="Calibri" w:cs="Calibri"/>
          <w:w w:val="110"/>
        </w:rPr>
        <w:t>must</w:t>
      </w:r>
      <w:r w:rsidRPr="00DD7BD1">
        <w:rPr>
          <w:rFonts w:ascii="Calibri" w:hAnsi="Calibri" w:cs="Calibri"/>
          <w:spacing w:val="37"/>
          <w:w w:val="110"/>
        </w:rPr>
        <w:t xml:space="preserve"> </w:t>
      </w:r>
      <w:r w:rsidRPr="00DD7BD1">
        <w:rPr>
          <w:rFonts w:ascii="Calibri" w:hAnsi="Calibri" w:cs="Calibri"/>
          <w:w w:val="110"/>
        </w:rPr>
        <w:t>be</w:t>
      </w:r>
      <w:r w:rsidRPr="00DD7BD1">
        <w:rPr>
          <w:rFonts w:ascii="Calibri" w:hAnsi="Calibri" w:cs="Calibri"/>
          <w:spacing w:val="38"/>
          <w:w w:val="110"/>
        </w:rPr>
        <w:t xml:space="preserve"> </w:t>
      </w:r>
      <w:r w:rsidRPr="00DD7BD1">
        <w:rPr>
          <w:rFonts w:ascii="Calibri" w:hAnsi="Calibri" w:cs="Calibri"/>
          <w:w w:val="110"/>
        </w:rPr>
        <w:t>provided</w:t>
      </w:r>
      <w:r w:rsidRPr="00DD7BD1">
        <w:rPr>
          <w:rFonts w:ascii="Calibri" w:hAnsi="Calibri" w:cs="Calibri"/>
          <w:spacing w:val="40"/>
          <w:w w:val="110"/>
        </w:rPr>
        <w:t xml:space="preserve"> </w:t>
      </w:r>
      <w:r w:rsidRPr="00DD7BD1">
        <w:rPr>
          <w:rFonts w:ascii="Calibri" w:hAnsi="Calibri" w:cs="Calibri"/>
          <w:w w:val="110"/>
        </w:rPr>
        <w:t>rest</w:t>
      </w:r>
      <w:r w:rsidRPr="00DD7BD1">
        <w:rPr>
          <w:rFonts w:ascii="Calibri" w:hAnsi="Calibri" w:cs="Calibri"/>
          <w:spacing w:val="34"/>
          <w:w w:val="110"/>
        </w:rPr>
        <w:t xml:space="preserve"> </w:t>
      </w:r>
      <w:r w:rsidRPr="00DD7BD1">
        <w:rPr>
          <w:rFonts w:ascii="Calibri" w:hAnsi="Calibri" w:cs="Calibri"/>
          <w:w w:val="110"/>
        </w:rPr>
        <w:t>breaks</w:t>
      </w:r>
      <w:r w:rsidRPr="00DD7BD1">
        <w:rPr>
          <w:rFonts w:ascii="Calibri" w:hAnsi="Calibri" w:cs="Calibri"/>
          <w:spacing w:val="36"/>
          <w:w w:val="110"/>
        </w:rPr>
        <w:t xml:space="preserve"> </w:t>
      </w:r>
      <w:r w:rsidRPr="00DD7BD1">
        <w:rPr>
          <w:rFonts w:ascii="Calibri" w:hAnsi="Calibri" w:cs="Calibri"/>
          <w:w w:val="110"/>
        </w:rPr>
        <w:t>of</w:t>
      </w:r>
      <w:r w:rsidRPr="00DD7BD1">
        <w:rPr>
          <w:rFonts w:ascii="Calibri" w:hAnsi="Calibri" w:cs="Calibri"/>
          <w:spacing w:val="37"/>
          <w:w w:val="110"/>
        </w:rPr>
        <w:t xml:space="preserve"> </w:t>
      </w:r>
      <w:r w:rsidRPr="00DD7BD1">
        <w:rPr>
          <w:rFonts w:ascii="Calibri" w:hAnsi="Calibri" w:cs="Calibri"/>
          <w:w w:val="110"/>
        </w:rPr>
        <w:t>at</w:t>
      </w:r>
      <w:r w:rsidRPr="00DD7BD1">
        <w:rPr>
          <w:rFonts w:ascii="Calibri" w:hAnsi="Calibri" w:cs="Calibri"/>
          <w:spacing w:val="39"/>
          <w:w w:val="110"/>
        </w:rPr>
        <w:t xml:space="preserve"> </w:t>
      </w:r>
      <w:r w:rsidRPr="00DD7BD1">
        <w:rPr>
          <w:rFonts w:ascii="Calibri" w:hAnsi="Calibri" w:cs="Calibri"/>
          <w:w w:val="110"/>
        </w:rPr>
        <w:t>least</w:t>
      </w:r>
      <w:r w:rsidRPr="00DD7BD1">
        <w:rPr>
          <w:rFonts w:ascii="Calibri" w:hAnsi="Calibri" w:cs="Calibri"/>
          <w:spacing w:val="37"/>
          <w:w w:val="110"/>
        </w:rPr>
        <w:t xml:space="preserve"> </w:t>
      </w:r>
      <w:r w:rsidRPr="00DD7BD1">
        <w:rPr>
          <w:rFonts w:ascii="Calibri" w:hAnsi="Calibri" w:cs="Calibri"/>
          <w:w w:val="110"/>
        </w:rPr>
        <w:t>15</w:t>
      </w:r>
      <w:r w:rsidRPr="00DD7BD1">
        <w:rPr>
          <w:rFonts w:ascii="Calibri" w:hAnsi="Calibri" w:cs="Calibri"/>
          <w:spacing w:val="38"/>
          <w:w w:val="110"/>
        </w:rPr>
        <w:t xml:space="preserve"> </w:t>
      </w:r>
      <w:r w:rsidRPr="00DD7BD1">
        <w:rPr>
          <w:rFonts w:ascii="Calibri" w:hAnsi="Calibri" w:cs="Calibri"/>
          <w:w w:val="110"/>
        </w:rPr>
        <w:t>minutes</w:t>
      </w:r>
      <w:r w:rsidRPr="00DD7BD1">
        <w:rPr>
          <w:rFonts w:ascii="Calibri" w:hAnsi="Calibri" w:cs="Calibri"/>
          <w:spacing w:val="38"/>
          <w:w w:val="110"/>
        </w:rPr>
        <w:t xml:space="preserve"> </w:t>
      </w:r>
      <w:r w:rsidRPr="00DD7BD1">
        <w:rPr>
          <w:rFonts w:ascii="Calibri" w:hAnsi="Calibri" w:cs="Calibri"/>
          <w:w w:val="110"/>
        </w:rPr>
        <w:t>or</w:t>
      </w:r>
      <w:r w:rsidRPr="00DD7BD1">
        <w:rPr>
          <w:rFonts w:ascii="Calibri" w:hAnsi="Calibri" w:cs="Calibri"/>
          <w:spacing w:val="37"/>
          <w:w w:val="110"/>
        </w:rPr>
        <w:t xml:space="preserve"> </w:t>
      </w:r>
      <w:r w:rsidRPr="00DD7BD1">
        <w:rPr>
          <w:rFonts w:ascii="Calibri" w:hAnsi="Calibri" w:cs="Calibri"/>
          <w:w w:val="110"/>
        </w:rPr>
        <w:t>enough</w:t>
      </w:r>
      <w:r w:rsidRPr="00DD7BD1">
        <w:rPr>
          <w:rFonts w:ascii="Calibri" w:hAnsi="Calibri" w:cs="Calibri"/>
          <w:spacing w:val="38"/>
          <w:w w:val="110"/>
        </w:rPr>
        <w:t xml:space="preserve"> </w:t>
      </w:r>
      <w:r w:rsidRPr="00DD7BD1">
        <w:rPr>
          <w:rFonts w:ascii="Calibri" w:hAnsi="Calibri" w:cs="Calibri"/>
          <w:w w:val="110"/>
        </w:rPr>
        <w:t>time</w:t>
      </w:r>
      <w:r w:rsidRPr="00DD7BD1">
        <w:rPr>
          <w:rFonts w:ascii="Calibri" w:hAnsi="Calibri" w:cs="Calibri"/>
          <w:spacing w:val="38"/>
          <w:w w:val="110"/>
        </w:rPr>
        <w:t xml:space="preserve"> </w:t>
      </w:r>
      <w:r w:rsidRPr="00DD7BD1">
        <w:rPr>
          <w:rFonts w:ascii="Calibri" w:hAnsi="Calibri" w:cs="Calibri"/>
          <w:w w:val="110"/>
        </w:rPr>
        <w:t>to</w:t>
      </w:r>
      <w:r w:rsidRPr="00DD7BD1">
        <w:rPr>
          <w:rFonts w:ascii="Calibri" w:hAnsi="Calibri" w:cs="Calibri"/>
          <w:spacing w:val="38"/>
          <w:w w:val="110"/>
        </w:rPr>
        <w:t xml:space="preserve"> </w:t>
      </w:r>
      <w:r w:rsidRPr="00DD7BD1">
        <w:rPr>
          <w:rFonts w:ascii="Calibri" w:hAnsi="Calibri" w:cs="Calibri"/>
          <w:w w:val="110"/>
        </w:rPr>
        <w:t>utilize</w:t>
      </w:r>
      <w:r w:rsidRPr="00DD7BD1">
        <w:rPr>
          <w:rFonts w:ascii="Calibri" w:hAnsi="Calibri" w:cs="Calibri"/>
          <w:spacing w:val="38"/>
          <w:w w:val="110"/>
        </w:rPr>
        <w:t xml:space="preserve"> </w:t>
      </w:r>
      <w:r w:rsidRPr="00DD7BD1">
        <w:rPr>
          <w:rFonts w:ascii="Calibri" w:hAnsi="Calibri" w:cs="Calibri"/>
          <w:w w:val="110"/>
        </w:rPr>
        <w:t>the</w:t>
      </w:r>
      <w:r w:rsidRPr="00DD7BD1">
        <w:rPr>
          <w:rFonts w:ascii="Calibri" w:hAnsi="Calibri" w:cs="Calibri"/>
          <w:spacing w:val="35"/>
          <w:w w:val="110"/>
        </w:rPr>
        <w:t xml:space="preserve"> </w:t>
      </w:r>
      <w:r w:rsidRPr="00DD7BD1">
        <w:rPr>
          <w:rFonts w:ascii="Calibri" w:hAnsi="Calibri" w:cs="Calibri"/>
          <w:w w:val="110"/>
        </w:rPr>
        <w:t>nearest convenient</w:t>
      </w:r>
      <w:r w:rsidRPr="00DD7BD1">
        <w:rPr>
          <w:rFonts w:ascii="Calibri" w:hAnsi="Calibri" w:cs="Calibri"/>
          <w:spacing w:val="-9"/>
          <w:w w:val="110"/>
        </w:rPr>
        <w:t xml:space="preserve"> </w:t>
      </w:r>
      <w:r w:rsidRPr="00DD7BD1">
        <w:rPr>
          <w:rFonts w:ascii="Calibri" w:hAnsi="Calibri" w:cs="Calibri"/>
          <w:w w:val="110"/>
        </w:rPr>
        <w:t>rest</w:t>
      </w:r>
      <w:r w:rsidRPr="00DD7BD1">
        <w:rPr>
          <w:rFonts w:ascii="Calibri" w:hAnsi="Calibri" w:cs="Calibri"/>
          <w:spacing w:val="-9"/>
          <w:w w:val="110"/>
        </w:rPr>
        <w:t xml:space="preserve"> </w:t>
      </w:r>
      <w:r w:rsidRPr="00DD7BD1">
        <w:rPr>
          <w:rFonts w:ascii="Calibri" w:hAnsi="Calibri" w:cs="Calibri"/>
          <w:w w:val="110"/>
        </w:rPr>
        <w:t>room</w:t>
      </w:r>
      <w:r w:rsidRPr="00DD7BD1">
        <w:rPr>
          <w:rFonts w:ascii="Calibri" w:hAnsi="Calibri" w:cs="Calibri"/>
          <w:spacing w:val="-10"/>
          <w:w w:val="110"/>
        </w:rPr>
        <w:t xml:space="preserve"> </w:t>
      </w:r>
      <w:r w:rsidRPr="00DD7BD1">
        <w:rPr>
          <w:rFonts w:ascii="Calibri" w:hAnsi="Calibri" w:cs="Calibri"/>
          <w:w w:val="110"/>
        </w:rPr>
        <w:t>(whichever</w:t>
      </w:r>
      <w:r w:rsidRPr="00DD7BD1">
        <w:rPr>
          <w:rFonts w:ascii="Calibri" w:hAnsi="Calibri" w:cs="Calibri"/>
          <w:spacing w:val="-9"/>
          <w:w w:val="110"/>
        </w:rPr>
        <w:t xml:space="preserve"> </w:t>
      </w:r>
      <w:r w:rsidRPr="00DD7BD1">
        <w:rPr>
          <w:rFonts w:ascii="Calibri" w:hAnsi="Calibri" w:cs="Calibri"/>
          <w:w w:val="110"/>
        </w:rPr>
        <w:t>is</w:t>
      </w:r>
      <w:r w:rsidRPr="00DD7BD1">
        <w:rPr>
          <w:rFonts w:ascii="Calibri" w:hAnsi="Calibri" w:cs="Calibri"/>
          <w:spacing w:val="-8"/>
          <w:w w:val="110"/>
        </w:rPr>
        <w:t xml:space="preserve"> </w:t>
      </w:r>
      <w:r w:rsidRPr="00DD7BD1">
        <w:rPr>
          <w:rFonts w:ascii="Calibri" w:hAnsi="Calibri" w:cs="Calibri"/>
          <w:w w:val="110"/>
        </w:rPr>
        <w:t>longer)</w:t>
      </w:r>
      <w:r w:rsidRPr="00DD7BD1">
        <w:rPr>
          <w:rFonts w:ascii="Calibri" w:hAnsi="Calibri" w:cs="Calibri"/>
          <w:spacing w:val="-9"/>
          <w:w w:val="110"/>
        </w:rPr>
        <w:t xml:space="preserve"> </w:t>
      </w:r>
      <w:r w:rsidRPr="00DD7BD1">
        <w:rPr>
          <w:rFonts w:ascii="Calibri" w:hAnsi="Calibri" w:cs="Calibri"/>
          <w:w w:val="110"/>
        </w:rPr>
        <w:t>within</w:t>
      </w:r>
      <w:r w:rsidRPr="00DD7BD1">
        <w:rPr>
          <w:rFonts w:ascii="Calibri" w:hAnsi="Calibri" w:cs="Calibri"/>
          <w:spacing w:val="-11"/>
          <w:w w:val="110"/>
        </w:rPr>
        <w:t xml:space="preserve"> </w:t>
      </w:r>
      <w:r w:rsidRPr="00DD7BD1">
        <w:rPr>
          <w:rFonts w:ascii="Calibri" w:hAnsi="Calibri" w:cs="Calibri"/>
          <w:w w:val="110"/>
        </w:rPr>
        <w:t>each</w:t>
      </w:r>
      <w:r w:rsidRPr="00DD7BD1">
        <w:rPr>
          <w:rFonts w:ascii="Calibri" w:hAnsi="Calibri" w:cs="Calibri"/>
          <w:spacing w:val="-11"/>
          <w:w w:val="110"/>
        </w:rPr>
        <w:t xml:space="preserve"> </w:t>
      </w:r>
      <w:r w:rsidRPr="00DD7BD1">
        <w:rPr>
          <w:rFonts w:ascii="Calibri" w:hAnsi="Calibri" w:cs="Calibri"/>
          <w:w w:val="110"/>
        </w:rPr>
        <w:t>4</w:t>
      </w:r>
      <w:r w:rsidRPr="00DD7BD1">
        <w:rPr>
          <w:rFonts w:ascii="Calibri" w:hAnsi="Calibri" w:cs="Calibri"/>
          <w:spacing w:val="40"/>
          <w:w w:val="110"/>
        </w:rPr>
        <w:t xml:space="preserve"> </w:t>
      </w:r>
      <w:r w:rsidRPr="00DD7BD1">
        <w:rPr>
          <w:rFonts w:ascii="Calibri" w:hAnsi="Calibri" w:cs="Calibri"/>
          <w:w w:val="110"/>
        </w:rPr>
        <w:t>continuous</w:t>
      </w:r>
      <w:r w:rsidRPr="00DD7BD1">
        <w:rPr>
          <w:rFonts w:ascii="Calibri" w:hAnsi="Calibri" w:cs="Calibri"/>
          <w:spacing w:val="-10"/>
          <w:w w:val="110"/>
        </w:rPr>
        <w:t xml:space="preserve"> </w:t>
      </w:r>
      <w:r w:rsidRPr="00DD7BD1">
        <w:rPr>
          <w:rFonts w:ascii="Calibri" w:hAnsi="Calibri" w:cs="Calibri"/>
          <w:w w:val="110"/>
        </w:rPr>
        <w:t>hours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work</w:t>
      </w:r>
    </w:p>
    <w:p w14:paraId="2252E1BC"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Minnesota</w:t>
      </w:r>
      <w:r w:rsidRPr="00DD7BD1">
        <w:rPr>
          <w:rFonts w:cs="Calibri"/>
          <w:color w:val="auto"/>
          <w:spacing w:val="-14"/>
          <w:w w:val="110"/>
          <w:szCs w:val="22"/>
        </w:rPr>
        <w:t xml:space="preserve"> </w:t>
      </w:r>
      <w:r w:rsidRPr="00DD7BD1">
        <w:rPr>
          <w:rFonts w:cs="Calibri"/>
          <w:color w:val="auto"/>
          <w:w w:val="110"/>
          <w:szCs w:val="22"/>
        </w:rPr>
        <w:t>Department</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Industry</w:t>
      </w:r>
      <w:r w:rsidRPr="00DD7BD1">
        <w:rPr>
          <w:rFonts w:cs="Calibri"/>
          <w:color w:val="auto"/>
          <w:spacing w:val="-13"/>
          <w:w w:val="110"/>
          <w:szCs w:val="22"/>
        </w:rPr>
        <w:t xml:space="preserve"> </w:t>
      </w:r>
      <w:r w:rsidRPr="00DD7BD1">
        <w:rPr>
          <w:rFonts w:cs="Calibri"/>
          <w:color w:val="auto"/>
          <w:w w:val="110"/>
          <w:szCs w:val="22"/>
        </w:rPr>
        <w:t>(MNDOLI)</w:t>
      </w:r>
      <w:r w:rsidRPr="00DD7BD1">
        <w:rPr>
          <w:rFonts w:cs="Calibri"/>
          <w:color w:val="auto"/>
          <w:spacing w:val="-16"/>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now</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guidance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form</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frequently asked</w:t>
      </w:r>
      <w:r w:rsidRPr="00DD7BD1">
        <w:rPr>
          <w:rFonts w:cs="Calibri"/>
          <w:color w:val="auto"/>
          <w:spacing w:val="-17"/>
          <w:w w:val="110"/>
          <w:szCs w:val="22"/>
        </w:rPr>
        <w:t xml:space="preserve"> </w:t>
      </w:r>
      <w:r w:rsidRPr="00DD7BD1">
        <w:rPr>
          <w:rFonts w:cs="Calibri"/>
          <w:color w:val="auto"/>
          <w:w w:val="110"/>
          <w:szCs w:val="22"/>
        </w:rPr>
        <w:t>questions</w:t>
      </w:r>
      <w:r w:rsidRPr="00DD7BD1">
        <w:rPr>
          <w:rFonts w:cs="Calibri"/>
          <w:color w:val="auto"/>
          <w:spacing w:val="-17"/>
          <w:w w:val="110"/>
          <w:szCs w:val="22"/>
        </w:rPr>
        <w:t xml:space="preserve"> </w:t>
      </w:r>
      <w:hyperlink r:id="rId791">
        <w:r w:rsidRPr="00DD7BD1">
          <w:rPr>
            <w:rFonts w:cs="Calibri"/>
            <w:color w:val="0000FF"/>
            <w:w w:val="110"/>
            <w:szCs w:val="22"/>
            <w:u w:val="single" w:color="0000FF"/>
          </w:rPr>
          <w:t>(FAQs)</w:t>
        </w:r>
      </w:hyperlink>
      <w:r w:rsidRPr="00DD7BD1">
        <w:rPr>
          <w:rFonts w:cs="Calibri"/>
          <w:color w:val="0000FF"/>
          <w:spacing w:val="-17"/>
          <w:w w:val="110"/>
          <w:szCs w:val="22"/>
        </w:rPr>
        <w:t xml:space="preserve"> </w:t>
      </w:r>
      <w:r w:rsidRPr="00DD7BD1">
        <w:rPr>
          <w:rFonts w:cs="Calibri"/>
          <w:color w:val="auto"/>
          <w:w w:val="110"/>
          <w:szCs w:val="22"/>
        </w:rPr>
        <w:t>providing</w:t>
      </w:r>
      <w:r w:rsidRPr="00DD7BD1">
        <w:rPr>
          <w:rFonts w:cs="Calibri"/>
          <w:color w:val="auto"/>
          <w:spacing w:val="-17"/>
          <w:w w:val="110"/>
          <w:szCs w:val="22"/>
        </w:rPr>
        <w:t xml:space="preserve"> </w:t>
      </w:r>
      <w:r w:rsidRPr="00DD7BD1">
        <w:rPr>
          <w:rFonts w:cs="Calibri"/>
          <w:color w:val="auto"/>
          <w:w w:val="110"/>
          <w:szCs w:val="22"/>
        </w:rPr>
        <w:t>some</w:t>
      </w:r>
      <w:r w:rsidRPr="00DD7BD1">
        <w:rPr>
          <w:rFonts w:cs="Calibri"/>
          <w:color w:val="auto"/>
          <w:spacing w:val="-17"/>
          <w:w w:val="110"/>
          <w:szCs w:val="22"/>
        </w:rPr>
        <w:t xml:space="preserve"> </w:t>
      </w:r>
      <w:r w:rsidRPr="00DD7BD1">
        <w:rPr>
          <w:rFonts w:cs="Calibri"/>
          <w:color w:val="auto"/>
          <w:w w:val="110"/>
          <w:szCs w:val="22"/>
        </w:rPr>
        <w:t>clarity.</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FAQs</w:t>
      </w:r>
      <w:r w:rsidRPr="00DD7BD1">
        <w:rPr>
          <w:rFonts w:cs="Calibri"/>
          <w:color w:val="auto"/>
          <w:spacing w:val="-16"/>
          <w:w w:val="110"/>
          <w:szCs w:val="22"/>
        </w:rPr>
        <w:t xml:space="preserve"> </w:t>
      </w:r>
      <w:r w:rsidRPr="00DD7BD1">
        <w:rPr>
          <w:rFonts w:cs="Calibri"/>
          <w:color w:val="auto"/>
          <w:w w:val="110"/>
          <w:szCs w:val="22"/>
        </w:rPr>
        <w:t>indicate</w:t>
      </w:r>
      <w:r w:rsidRPr="00DD7BD1">
        <w:rPr>
          <w:rFonts w:cs="Calibri"/>
          <w:color w:val="auto"/>
          <w:spacing w:val="-17"/>
          <w:w w:val="110"/>
          <w:szCs w:val="22"/>
        </w:rPr>
        <w:t xml:space="preserve"> </w:t>
      </w:r>
      <w:r w:rsidRPr="00DD7BD1">
        <w:rPr>
          <w:rFonts w:cs="Calibri"/>
          <w:color w:val="auto"/>
          <w:w w:val="110"/>
          <w:szCs w:val="22"/>
        </w:rPr>
        <w:t>how</w:t>
      </w:r>
      <w:r w:rsidRPr="00DD7BD1">
        <w:rPr>
          <w:rFonts w:cs="Calibri"/>
          <w:color w:val="auto"/>
          <w:spacing w:val="-17"/>
          <w:w w:val="110"/>
          <w:szCs w:val="22"/>
        </w:rPr>
        <w:t xml:space="preserve"> </w:t>
      </w:r>
      <w:r w:rsidRPr="00DD7BD1">
        <w:rPr>
          <w:rFonts w:cs="Calibri"/>
          <w:color w:val="auto"/>
          <w:w w:val="110"/>
          <w:szCs w:val="22"/>
        </w:rPr>
        <w:t>MNDOLI</w:t>
      </w:r>
      <w:r w:rsidRPr="00DD7BD1">
        <w:rPr>
          <w:rFonts w:cs="Calibri"/>
          <w:color w:val="auto"/>
          <w:spacing w:val="-17"/>
          <w:w w:val="110"/>
          <w:szCs w:val="22"/>
        </w:rPr>
        <w:t xml:space="preserve"> </w:t>
      </w:r>
      <w:r w:rsidRPr="00DD7BD1">
        <w:rPr>
          <w:rFonts w:cs="Calibri"/>
          <w:color w:val="auto"/>
          <w:w w:val="110"/>
          <w:szCs w:val="22"/>
        </w:rPr>
        <w:t>interprets</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 xml:space="preserve">laws </w:t>
      </w:r>
      <w:r w:rsidRPr="00DD7BD1">
        <w:rPr>
          <w:rFonts w:cs="Calibri"/>
          <w:color w:val="auto"/>
          <w:spacing w:val="-2"/>
          <w:w w:val="110"/>
          <w:szCs w:val="22"/>
        </w:rPr>
        <w:t>and</w:t>
      </w:r>
      <w:r w:rsidRPr="00DD7BD1">
        <w:rPr>
          <w:rFonts w:cs="Calibri"/>
          <w:color w:val="auto"/>
          <w:spacing w:val="-11"/>
          <w:w w:val="110"/>
          <w:szCs w:val="22"/>
        </w:rPr>
        <w:t xml:space="preserve"> </w:t>
      </w:r>
      <w:r w:rsidRPr="00DD7BD1">
        <w:rPr>
          <w:rFonts w:cs="Calibri"/>
          <w:color w:val="auto"/>
          <w:spacing w:val="-2"/>
          <w:w w:val="110"/>
          <w:szCs w:val="22"/>
        </w:rPr>
        <w:t>how</w:t>
      </w:r>
      <w:r w:rsidRPr="00DD7BD1">
        <w:rPr>
          <w:rFonts w:cs="Calibri"/>
          <w:color w:val="auto"/>
          <w:spacing w:val="-8"/>
          <w:w w:val="110"/>
          <w:szCs w:val="22"/>
        </w:rPr>
        <w:t xml:space="preserve"> </w:t>
      </w:r>
      <w:r w:rsidRPr="00DD7BD1">
        <w:rPr>
          <w:rFonts w:cs="Calibri"/>
          <w:color w:val="auto"/>
          <w:spacing w:val="-2"/>
          <w:w w:val="110"/>
          <w:szCs w:val="22"/>
        </w:rPr>
        <w:t>they</w:t>
      </w:r>
      <w:r w:rsidRPr="00DD7BD1">
        <w:rPr>
          <w:rFonts w:cs="Calibri"/>
          <w:color w:val="auto"/>
          <w:spacing w:val="-7"/>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anticipated</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enforce</w:t>
      </w:r>
      <w:r w:rsidRPr="00DD7BD1">
        <w:rPr>
          <w:rFonts w:cs="Calibri"/>
          <w:color w:val="auto"/>
          <w:spacing w:val="-11"/>
          <w:w w:val="110"/>
          <w:szCs w:val="22"/>
        </w:rPr>
        <w:t xml:space="preserve"> </w:t>
      </w:r>
      <w:r w:rsidRPr="00DD7BD1">
        <w:rPr>
          <w:rFonts w:cs="Calibri"/>
          <w:color w:val="auto"/>
          <w:spacing w:val="-2"/>
          <w:w w:val="110"/>
          <w:szCs w:val="22"/>
        </w:rPr>
        <w:t>them.</w:t>
      </w:r>
      <w:r w:rsidRPr="00DD7BD1">
        <w:rPr>
          <w:rFonts w:cs="Calibri"/>
          <w:color w:val="auto"/>
          <w:spacing w:val="-12"/>
          <w:w w:val="110"/>
          <w:szCs w:val="22"/>
        </w:rPr>
        <w:t xml:space="preserve"> </w:t>
      </w:r>
      <w:r w:rsidRPr="00DD7BD1">
        <w:rPr>
          <w:rFonts w:cs="Calibri"/>
          <w:color w:val="auto"/>
          <w:spacing w:val="-2"/>
          <w:w w:val="110"/>
          <w:szCs w:val="22"/>
        </w:rPr>
        <w:t>MNDOLI</w:t>
      </w:r>
      <w:r w:rsidRPr="00DD7BD1">
        <w:rPr>
          <w:rFonts w:cs="Calibri"/>
          <w:color w:val="auto"/>
          <w:spacing w:val="-11"/>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indicated</w:t>
      </w:r>
      <w:r w:rsidRPr="00DD7BD1">
        <w:rPr>
          <w:rFonts w:cs="Calibri"/>
          <w:color w:val="auto"/>
          <w:spacing w:val="-11"/>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is</w:t>
      </w:r>
      <w:r w:rsidRPr="00DD7BD1">
        <w:rPr>
          <w:rFonts w:cs="Calibri"/>
          <w:color w:val="auto"/>
          <w:spacing w:val="-12"/>
          <w:w w:val="110"/>
          <w:szCs w:val="22"/>
        </w:rPr>
        <w:t xml:space="preserve"> </w:t>
      </w:r>
      <w:r w:rsidRPr="00DD7BD1">
        <w:rPr>
          <w:rFonts w:cs="Calibri"/>
          <w:color w:val="auto"/>
          <w:spacing w:val="-2"/>
          <w:w w:val="110"/>
          <w:szCs w:val="22"/>
        </w:rPr>
        <w:t>evaluating</w:t>
      </w:r>
      <w:r w:rsidRPr="00DD7BD1">
        <w:rPr>
          <w:rFonts w:cs="Calibri"/>
          <w:color w:val="auto"/>
          <w:spacing w:val="-9"/>
          <w:w w:val="110"/>
          <w:szCs w:val="22"/>
        </w:rPr>
        <w:t xml:space="preserve"> </w:t>
      </w:r>
      <w:r w:rsidRPr="00DD7BD1">
        <w:rPr>
          <w:rFonts w:cs="Calibri"/>
          <w:color w:val="auto"/>
          <w:spacing w:val="-2"/>
          <w:w w:val="110"/>
          <w:szCs w:val="22"/>
        </w:rPr>
        <w:t>whether</w:t>
      </w:r>
      <w:r w:rsidRPr="00DD7BD1">
        <w:rPr>
          <w:rFonts w:cs="Calibri"/>
          <w:color w:val="auto"/>
          <w:spacing w:val="-12"/>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will</w:t>
      </w:r>
      <w:r w:rsidRPr="00DD7BD1">
        <w:rPr>
          <w:rFonts w:cs="Calibri"/>
          <w:color w:val="auto"/>
          <w:spacing w:val="-12"/>
          <w:w w:val="110"/>
          <w:szCs w:val="22"/>
        </w:rPr>
        <w:t xml:space="preserve"> </w:t>
      </w:r>
      <w:r w:rsidRPr="00DD7BD1">
        <w:rPr>
          <w:rFonts w:cs="Calibri"/>
          <w:color w:val="auto"/>
          <w:spacing w:val="-2"/>
          <w:w w:val="110"/>
          <w:szCs w:val="22"/>
        </w:rPr>
        <w:t>conduct</w:t>
      </w:r>
      <w:r w:rsidRPr="00DD7BD1">
        <w:rPr>
          <w:rFonts w:cs="Calibri"/>
          <w:color w:val="auto"/>
          <w:spacing w:val="-12"/>
          <w:w w:val="110"/>
          <w:szCs w:val="22"/>
        </w:rPr>
        <w:t xml:space="preserve"> </w:t>
      </w:r>
      <w:r w:rsidRPr="00DD7BD1">
        <w:rPr>
          <w:rFonts w:cs="Calibri"/>
          <w:color w:val="auto"/>
          <w:spacing w:val="-2"/>
          <w:w w:val="110"/>
          <w:szCs w:val="22"/>
        </w:rPr>
        <w:t xml:space="preserve">breaks- </w:t>
      </w:r>
      <w:r w:rsidRPr="00DD7BD1">
        <w:rPr>
          <w:rFonts w:cs="Calibri"/>
          <w:color w:val="auto"/>
          <w:w w:val="110"/>
          <w:szCs w:val="22"/>
        </w:rPr>
        <w:t>related rulemaking.</w:t>
      </w:r>
    </w:p>
    <w:p w14:paraId="443260C2" w14:textId="5AE61767" w:rsidR="003A22A9" w:rsidRPr="00DD7BD1" w:rsidRDefault="003A22A9" w:rsidP="003A3D32">
      <w:pPr>
        <w:pStyle w:val="BodyText"/>
        <w:tabs>
          <w:tab w:val="left" w:pos="1"/>
        </w:tabs>
        <w:spacing w:after="0" w:line="240" w:lineRule="auto"/>
        <w:ind w:left="360" w:right="-187"/>
        <w:jc w:val="left"/>
        <w:rPr>
          <w:rFonts w:cs="Calibri"/>
          <w:color w:val="auto"/>
          <w:spacing w:val="-2"/>
          <w:w w:val="110"/>
          <w:szCs w:val="22"/>
        </w:rPr>
      </w:pPr>
      <w:r w:rsidRPr="00DD7BD1">
        <w:rPr>
          <w:rFonts w:cs="Calibri"/>
          <w:color w:val="auto"/>
          <w:w w:val="110"/>
          <w:szCs w:val="22"/>
        </w:rPr>
        <w:t>ETC</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update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applicable</w:t>
      </w:r>
      <w:r w:rsidRPr="00DD7BD1">
        <w:rPr>
          <w:rFonts w:cs="Calibri"/>
          <w:color w:val="auto"/>
          <w:spacing w:val="-17"/>
          <w:w w:val="110"/>
          <w:szCs w:val="22"/>
        </w:rPr>
        <w:t xml:space="preserve"> </w:t>
      </w:r>
      <w:r w:rsidRPr="00DD7BD1">
        <w:rPr>
          <w:rFonts w:cs="Calibri"/>
          <w:color w:val="auto"/>
          <w:w w:val="110"/>
          <w:szCs w:val="22"/>
        </w:rPr>
        <w:t>MN</w:t>
      </w:r>
      <w:r w:rsidRPr="00DD7BD1">
        <w:rPr>
          <w:rFonts w:cs="Calibri"/>
          <w:color w:val="auto"/>
          <w:spacing w:val="-17"/>
          <w:w w:val="110"/>
          <w:szCs w:val="22"/>
        </w:rPr>
        <w:t xml:space="preserve"> </w:t>
      </w:r>
      <w:r w:rsidRPr="00DD7BD1">
        <w:rPr>
          <w:rFonts w:cs="Calibri"/>
          <w:color w:val="auto"/>
          <w:w w:val="110"/>
          <w:szCs w:val="22"/>
        </w:rPr>
        <w:t>State</w:t>
      </w:r>
      <w:r w:rsidRPr="00DD7BD1">
        <w:rPr>
          <w:rFonts w:cs="Calibri"/>
          <w:color w:val="auto"/>
          <w:spacing w:val="-16"/>
          <w:w w:val="110"/>
          <w:szCs w:val="22"/>
        </w:rPr>
        <w:t xml:space="preserve"> </w:t>
      </w:r>
      <w:r w:rsidRPr="00DD7BD1">
        <w:rPr>
          <w:rFonts w:cs="Calibri"/>
          <w:color w:val="auto"/>
          <w:w w:val="110"/>
          <w:szCs w:val="22"/>
        </w:rPr>
        <w:t>Handbook</w:t>
      </w:r>
      <w:r w:rsidRPr="00DD7BD1">
        <w:rPr>
          <w:rFonts w:cs="Calibri"/>
          <w:color w:val="auto"/>
          <w:spacing w:val="-17"/>
          <w:w w:val="110"/>
          <w:szCs w:val="22"/>
        </w:rPr>
        <w:t xml:space="preserve"> </w:t>
      </w:r>
      <w:r w:rsidRPr="00DD7BD1">
        <w:rPr>
          <w:rFonts w:cs="Calibri"/>
          <w:color w:val="auto"/>
          <w:w w:val="110"/>
          <w:szCs w:val="22"/>
        </w:rPr>
        <w:t>Addendum</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coming</w:t>
      </w:r>
      <w:r w:rsidRPr="00DD7BD1">
        <w:rPr>
          <w:rFonts w:cs="Calibri"/>
          <w:color w:val="auto"/>
          <w:spacing w:val="-17"/>
          <w:w w:val="110"/>
          <w:szCs w:val="22"/>
        </w:rPr>
        <w:t xml:space="preserve"> </w:t>
      </w:r>
      <w:r w:rsidRPr="00DD7BD1">
        <w:rPr>
          <w:rFonts w:cs="Calibri"/>
          <w:color w:val="auto"/>
          <w:spacing w:val="-2"/>
          <w:w w:val="110"/>
          <w:szCs w:val="22"/>
        </w:rPr>
        <w:t>months.</w:t>
      </w:r>
    </w:p>
    <w:p w14:paraId="0DBF4AB0" w14:textId="77777777" w:rsidR="003A3D32" w:rsidRPr="00DD7BD1" w:rsidRDefault="003A3D32" w:rsidP="003A3D32">
      <w:pPr>
        <w:pStyle w:val="BodyText"/>
        <w:tabs>
          <w:tab w:val="left" w:pos="1"/>
        </w:tabs>
        <w:spacing w:after="0" w:line="240" w:lineRule="auto"/>
        <w:ind w:left="360" w:right="-187"/>
        <w:jc w:val="left"/>
        <w:rPr>
          <w:rFonts w:cs="Calibri"/>
          <w:color w:val="auto"/>
          <w:szCs w:val="22"/>
        </w:rPr>
      </w:pPr>
    </w:p>
    <w:p w14:paraId="1E1CDC03" w14:textId="59664A04" w:rsidR="0001411D" w:rsidRPr="00DD7BD1" w:rsidRDefault="0001411D" w:rsidP="0001411D">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Paid Leave Requirements</w:t>
      </w:r>
    </w:p>
    <w:p w14:paraId="75BAE62A" w14:textId="3A09B18F" w:rsidR="0001411D" w:rsidRPr="00DD7BD1" w:rsidRDefault="0001411D" w:rsidP="0001411D">
      <w:pPr>
        <w:jc w:val="both"/>
        <w:rPr>
          <w:rFonts w:ascii="Calibri" w:hAnsi="Calibri" w:cs="Calibri"/>
          <w:b/>
          <w:bCs/>
          <w:color w:val="2E74B5" w:themeColor="accent5" w:themeShade="BF"/>
          <w:shd w:val="clear" w:color="auto" w:fill="FFFFFF"/>
          <w:lang w:val="en"/>
        </w:rPr>
      </w:pPr>
      <w:r w:rsidRPr="00DD7BD1">
        <w:rPr>
          <w:rFonts w:ascii="Calibri" w:hAnsi="Calibri" w:cs="Calibri"/>
          <w:shd w:val="clear" w:color="auto" w:fill="FFFFFF"/>
          <w:lang w:val="en"/>
        </w:rPr>
        <w:t xml:space="preserve">Employers wishing to learn more about the State’s Paid Leave for employees effective July 1 can access the State’s provided training session </w:t>
      </w:r>
      <w:hyperlink r:id="rId792" w:history="1">
        <w:r w:rsidRPr="00DD7BD1">
          <w:rPr>
            <w:rStyle w:val="Hyperlink"/>
            <w:rFonts w:ascii="Calibri" w:hAnsi="Calibri" w:cs="Calibri"/>
            <w:b/>
            <w:bCs/>
            <w:shd w:val="clear" w:color="auto" w:fill="FFFFFF"/>
            <w:lang w:val="en"/>
          </w:rPr>
          <w:t>HERE</w:t>
        </w:r>
      </w:hyperlink>
      <w:r w:rsidRPr="00DD7BD1">
        <w:rPr>
          <w:rFonts w:ascii="Calibri" w:hAnsi="Calibri" w:cs="Calibri"/>
          <w:b/>
          <w:bCs/>
          <w:color w:val="2E74B5" w:themeColor="accent5" w:themeShade="BF"/>
          <w:shd w:val="clear" w:color="auto" w:fill="FFFFFF"/>
          <w:lang w:val="en"/>
        </w:rPr>
        <w:t xml:space="preserve">.  </w:t>
      </w:r>
      <w:r w:rsidRPr="00DD7BD1">
        <w:rPr>
          <w:rFonts w:ascii="Calibri" w:hAnsi="Calibri" w:cs="Calibri"/>
          <w:shd w:val="clear" w:color="auto" w:fill="FFFFFF"/>
          <w:lang w:val="en"/>
        </w:rPr>
        <w:t>Previous HR WIRE publications also included information for employers.</w:t>
      </w:r>
    </w:p>
    <w:p w14:paraId="4F7B1993" w14:textId="3F77E5E2"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&amp; PFML – </w:t>
      </w:r>
      <w:r w:rsidRPr="00DD7BD1">
        <w:rPr>
          <w:rFonts w:ascii="Calibri" w:hAnsi="Calibri" w:cs="Calibri"/>
          <w:b/>
          <w:bCs/>
          <w:color w:val="C00000"/>
          <w:sz w:val="28"/>
          <w:szCs w:val="28"/>
          <w:shd w:val="clear" w:color="auto" w:fill="FFFFFF"/>
          <w:lang w:val="en"/>
        </w:rPr>
        <w:t>Eff July 1, 2025</w:t>
      </w:r>
    </w:p>
    <w:p w14:paraId="4090EEC0" w14:textId="77777777" w:rsidR="00784E6F" w:rsidRPr="00DD7BD1" w:rsidRDefault="00784E6F" w:rsidP="00784E6F">
      <w:pPr>
        <w:pStyle w:val="BodyText"/>
        <w:spacing w:after="0" w:line="240" w:lineRule="auto"/>
        <w:rPr>
          <w:rFonts w:cs="Calibri"/>
          <w:szCs w:val="22"/>
        </w:rPr>
      </w:pPr>
      <w:r w:rsidRPr="00DD7BD1">
        <w:rPr>
          <w:rFonts w:cs="Calibri"/>
          <w:color w:val="auto"/>
          <w:szCs w:val="22"/>
        </w:rPr>
        <w:t xml:space="preserve">Minnesota has enacted changes to its earned sick and safe time (ESST) and paid family and medical leave (PFML) laws. The amendments were passed in a special legislative session as part of a </w:t>
      </w:r>
      <w:hyperlink r:id="rId793" w:history="1">
        <w:r w:rsidRPr="00DD7BD1">
          <w:rPr>
            <w:rStyle w:val="Hyperlink"/>
            <w:rFonts w:cs="Calibri"/>
            <w:szCs w:val="22"/>
          </w:rPr>
          <w:t>budget measure</w:t>
        </w:r>
      </w:hyperlink>
      <w:r w:rsidRPr="00DD7BD1">
        <w:rPr>
          <w:rFonts w:cs="Calibri"/>
          <w:szCs w:val="22"/>
        </w:rPr>
        <w:t>.</w:t>
      </w:r>
    </w:p>
    <w:p w14:paraId="13240722" w14:textId="77777777" w:rsidR="00784E6F" w:rsidRPr="00DD7BD1" w:rsidRDefault="00784E6F" w:rsidP="00784E6F">
      <w:pPr>
        <w:pStyle w:val="SubHeader"/>
        <w:spacing w:line="240" w:lineRule="auto"/>
        <w:rPr>
          <w:rFonts w:cs="Calibri"/>
          <w:color w:val="auto"/>
          <w:sz w:val="16"/>
          <w:szCs w:val="16"/>
          <w:shd w:val="clear" w:color="auto" w:fill="FFFFFF"/>
          <w:lang w:val="en"/>
        </w:rPr>
      </w:pPr>
    </w:p>
    <w:p w14:paraId="68324C7C"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shd w:val="clear" w:color="auto" w:fill="FFFFFF"/>
          <w:lang w:val="en"/>
        </w:rPr>
        <w:t xml:space="preserve">ESST </w:t>
      </w:r>
      <w:r w:rsidRPr="00DD7BD1">
        <w:rPr>
          <w:rFonts w:cs="Calibri"/>
          <w:color w:val="auto"/>
          <w:sz w:val="22"/>
          <w:szCs w:val="22"/>
        </w:rPr>
        <w:t>Changes—Notice and Documentation</w:t>
      </w:r>
    </w:p>
    <w:p w14:paraId="6CAD2688"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One of the main changes to the ESST law is that, effective </w:t>
      </w:r>
      <w:r w:rsidRPr="00DD7BD1">
        <w:rPr>
          <w:rFonts w:cs="Calibri"/>
          <w:color w:val="C00000"/>
          <w:szCs w:val="22"/>
        </w:rPr>
        <w:t>July 1, 2025</w:t>
      </w:r>
      <w:r w:rsidRPr="00DD7BD1">
        <w:rPr>
          <w:rFonts w:cs="Calibri"/>
          <w:color w:val="auto"/>
          <w:szCs w:val="22"/>
          <w:u w:val="single"/>
        </w:rPr>
        <w:t>, employees may be required to provide notice of their need for unforeseeable leave “</w:t>
      </w:r>
      <w:bookmarkStart w:id="113" w:name="_Hlk201931862"/>
      <w:r w:rsidRPr="00DD7BD1">
        <w:rPr>
          <w:rFonts w:cs="Calibri"/>
          <w:color w:val="auto"/>
          <w:szCs w:val="22"/>
          <w:u w:val="single"/>
        </w:rPr>
        <w:t>as reasonably required by the employer</w:t>
      </w:r>
      <w:bookmarkEnd w:id="113"/>
      <w:r w:rsidRPr="00DD7BD1">
        <w:rPr>
          <w:rFonts w:cs="Calibri"/>
          <w:color w:val="auto"/>
          <w:szCs w:val="22"/>
          <w:u w:val="single"/>
        </w:rPr>
        <w:t xml:space="preserve">” rather than “as soon as practicable,” </w:t>
      </w:r>
      <w:r w:rsidRPr="00DD7BD1">
        <w:rPr>
          <w:rFonts w:cs="Calibri"/>
          <w:color w:val="auto"/>
          <w:szCs w:val="22"/>
        </w:rPr>
        <w:t>the current governing language in the provision.</w:t>
      </w:r>
    </w:p>
    <w:p w14:paraId="49AC286A"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A second change allows </w:t>
      </w:r>
      <w:r w:rsidRPr="00DD7BD1">
        <w:rPr>
          <w:rFonts w:cs="Calibri"/>
          <w:color w:val="auto"/>
          <w:szCs w:val="22"/>
          <w:u w:val="single"/>
        </w:rPr>
        <w:t>employers to require documentation in support of ESST leave after two, instead of three, consecutive days of time off</w:t>
      </w:r>
      <w:r w:rsidRPr="00DD7BD1">
        <w:rPr>
          <w:rFonts w:cs="Calibri"/>
          <w:color w:val="auto"/>
          <w:szCs w:val="22"/>
        </w:rPr>
        <w:t xml:space="preserve">. This change also takes effect </w:t>
      </w:r>
      <w:r w:rsidRPr="00DD7BD1">
        <w:rPr>
          <w:rFonts w:cs="Calibri"/>
          <w:color w:val="C00000"/>
          <w:szCs w:val="22"/>
        </w:rPr>
        <w:t xml:space="preserve">July 1, 2025.  </w:t>
      </w:r>
    </w:p>
    <w:p w14:paraId="6C9751D5" w14:textId="77777777" w:rsidR="00784E6F" w:rsidRPr="00DD7BD1" w:rsidRDefault="00784E6F" w:rsidP="00784E6F">
      <w:pPr>
        <w:pStyle w:val="BodyText"/>
        <w:spacing w:after="0" w:line="240" w:lineRule="auto"/>
        <w:rPr>
          <w:rFonts w:cs="Calibri"/>
          <w:color w:val="auto"/>
          <w:szCs w:val="22"/>
        </w:rPr>
      </w:pPr>
    </w:p>
    <w:p w14:paraId="042B44BB"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Other ESST amendments allow:</w:t>
      </w:r>
    </w:p>
    <w:p w14:paraId="0AF8603A"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Employees to voluntarily trade shifts with a replacement worker to cover their leave time (effective July 1, 2025); and </w:t>
      </w:r>
    </w:p>
    <w:p w14:paraId="75903D9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Employers to advance ESST to an employee based on the employee’s anticipated work hours for the remainder of the year, effective Jan. 1, 2026. However, if the advanced amount of leave falls short with respect to the number of hours the employee actually works, the employer must make up the difference with additional ESST. </w:t>
      </w:r>
    </w:p>
    <w:p w14:paraId="39972C8F" w14:textId="77777777" w:rsidR="00784E6F" w:rsidRPr="00DD7BD1" w:rsidRDefault="00784E6F" w:rsidP="00784E6F">
      <w:pPr>
        <w:pStyle w:val="Bullet"/>
        <w:numPr>
          <w:ilvl w:val="0"/>
          <w:numId w:val="0"/>
        </w:numPr>
        <w:spacing w:line="240" w:lineRule="auto"/>
        <w:ind w:left="720"/>
        <w:rPr>
          <w:rFonts w:cs="Calibri"/>
          <w:color w:val="auto"/>
          <w:sz w:val="16"/>
          <w:szCs w:val="16"/>
        </w:rPr>
      </w:pPr>
    </w:p>
    <w:p w14:paraId="77954309"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PFML Changes</w:t>
      </w:r>
    </w:p>
    <w:p w14:paraId="3439AF5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Contributions and benefits for the state’s PFML program will begin </w:t>
      </w:r>
      <w:r w:rsidRPr="00DD7BD1">
        <w:rPr>
          <w:rFonts w:cs="Calibri"/>
          <w:color w:val="C00000"/>
          <w:szCs w:val="22"/>
        </w:rPr>
        <w:t>Jan. 1, 2026</w:t>
      </w:r>
      <w:r w:rsidRPr="00DD7BD1">
        <w:rPr>
          <w:rFonts w:cs="Calibri"/>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794" w:history="1">
        <w:r w:rsidRPr="00DD7BD1">
          <w:rPr>
            <w:rStyle w:val="Hyperlink"/>
            <w:rFonts w:cs="Calibri"/>
            <w:szCs w:val="22"/>
          </w:rPr>
          <w:t>discount</w:t>
        </w:r>
      </w:hyperlink>
      <w:r w:rsidRPr="00DD7BD1">
        <w:rPr>
          <w:rFonts w:cs="Calibri"/>
          <w:szCs w:val="22"/>
        </w:rPr>
        <w:t xml:space="preserve"> </w:t>
      </w:r>
      <w:r w:rsidRPr="00DD7BD1">
        <w:rPr>
          <w:rFonts w:cs="Calibri"/>
          <w:color w:val="auto"/>
          <w:szCs w:val="22"/>
        </w:rPr>
        <w:t>for eligible small employers.</w:t>
      </w:r>
    </w:p>
    <w:p w14:paraId="2408C592" w14:textId="77777777" w:rsidR="00784E6F" w:rsidRPr="00DD7BD1" w:rsidRDefault="00784E6F" w:rsidP="00784E6F">
      <w:pPr>
        <w:pStyle w:val="BodyText"/>
        <w:spacing w:after="0" w:line="240" w:lineRule="auto"/>
        <w:rPr>
          <w:rFonts w:cs="Calibri"/>
          <w:color w:val="auto"/>
          <w:szCs w:val="22"/>
        </w:rPr>
      </w:pPr>
    </w:p>
    <w:p w14:paraId="6C13D263" w14:textId="09FA1399"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ETC  published MN State Handbook Addendum reflective of these changes </w:t>
      </w:r>
      <w:r w:rsidRPr="00DD7BD1">
        <w:rPr>
          <w:rFonts w:cs="Calibri"/>
          <w:color w:val="auto"/>
          <w:szCs w:val="22"/>
          <w:u w:val="single"/>
        </w:rPr>
        <w:t>with</w:t>
      </w:r>
      <w:r w:rsidRPr="00DD7BD1">
        <w:rPr>
          <w:rFonts w:cs="Calibri"/>
          <w:color w:val="auto"/>
          <w:szCs w:val="22"/>
        </w:rPr>
        <w:t xml:space="preserve"> the June HR WIRE.</w:t>
      </w:r>
    </w:p>
    <w:p w14:paraId="19ED7D27" w14:textId="77777777" w:rsidR="00784E6F" w:rsidRPr="00DD7BD1" w:rsidRDefault="00784E6F" w:rsidP="00784E6F">
      <w:pPr>
        <w:pStyle w:val="BodyText"/>
        <w:spacing w:after="0" w:line="240" w:lineRule="auto"/>
        <w:rPr>
          <w:rFonts w:cs="Calibri"/>
        </w:rPr>
      </w:pPr>
    </w:p>
    <w:p w14:paraId="11EA2C57" w14:textId="77777777" w:rsidR="00784E6F" w:rsidRPr="00DD7BD1" w:rsidRDefault="00784E6F" w:rsidP="00784E6F">
      <w:pPr>
        <w:jc w:val="center"/>
        <w:rPr>
          <w:rFonts w:ascii="Calibri" w:hAnsi="Calibri" w:cs="Calibri"/>
          <w:b/>
          <w:bCs/>
          <w:color w:val="C00000"/>
          <w:sz w:val="28"/>
          <w:szCs w:val="28"/>
          <w:shd w:val="clear" w:color="auto" w:fill="FFFFFF"/>
          <w:lang w:val="en"/>
        </w:rPr>
      </w:pPr>
      <w:bookmarkStart w:id="114" w:name="_Hlk202782677"/>
      <w:r w:rsidRPr="00DD7BD1">
        <w:rPr>
          <w:rFonts w:ascii="Calibri" w:hAnsi="Calibri" w:cs="Calibri"/>
          <w:b/>
          <w:bCs/>
          <w:sz w:val="28"/>
          <w:szCs w:val="28"/>
          <w:shd w:val="clear" w:color="auto" w:fill="FFFFFF"/>
          <w:lang w:val="en"/>
        </w:rPr>
        <w:t xml:space="preserve">State Amends Meal &amp; Rest break Requirements – </w:t>
      </w:r>
      <w:r w:rsidRPr="00DD7BD1">
        <w:rPr>
          <w:rFonts w:ascii="Calibri" w:hAnsi="Calibri" w:cs="Calibri"/>
          <w:b/>
          <w:bCs/>
          <w:color w:val="C00000"/>
          <w:sz w:val="28"/>
          <w:szCs w:val="28"/>
          <w:shd w:val="clear" w:color="auto" w:fill="FFFFFF"/>
          <w:lang w:val="en"/>
        </w:rPr>
        <w:t>Eff January 1, 2026</w:t>
      </w:r>
    </w:p>
    <w:bookmarkEnd w:id="114"/>
    <w:p w14:paraId="5FB3B55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June 14, 2025, Minnesota’s governor signed an omnibus bill, </w:t>
      </w:r>
      <w:hyperlink r:id="rId795" w:tgtFrame="_blank" w:history="1">
        <w:r w:rsidRPr="00DD7BD1">
          <w:rPr>
            <w:rStyle w:val="Hyperlink"/>
            <w:rFonts w:ascii="Calibri" w:hAnsi="Calibri" w:cs="Calibri"/>
          </w:rPr>
          <w:t>SF 17</w:t>
        </w:r>
      </w:hyperlink>
      <w:r w:rsidRPr="00DD7BD1">
        <w:rPr>
          <w:rStyle w:val="Hyperlink"/>
          <w:rFonts w:ascii="Calibri" w:hAnsi="Calibri" w:cs="Calibri"/>
        </w:rPr>
        <w:t>,</w:t>
      </w:r>
      <w:r w:rsidRPr="00DD7BD1">
        <w:rPr>
          <w:rFonts w:ascii="Calibri" w:hAnsi="Calibri" w:cs="Calibri"/>
          <w:shd w:val="clear" w:color="auto" w:fill="FFFFFF"/>
        </w:rPr>
        <w:t xml:space="preserve"> which includes amendments to the state’s meal and rest break requirements found at Minnesota Statute Sections 177.253 and 177.254.</w:t>
      </w:r>
    </w:p>
    <w:p w14:paraId="0C4072C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and also opens the door to potentially longer paid rest breaks if it takes longer to utilize the nearest convenient restroom.</w:t>
      </w:r>
    </w:p>
    <w:p w14:paraId="1F7FB0D5" w14:textId="77777777" w:rsidR="00784E6F" w:rsidRPr="00DD7BD1" w:rsidRDefault="00784E6F" w:rsidP="00784E6F">
      <w:pPr>
        <w:rPr>
          <w:rFonts w:ascii="Calibri" w:hAnsi="Calibri" w:cs="Calibri"/>
          <w:shd w:val="clear" w:color="auto" w:fill="FFFFFF"/>
        </w:rPr>
      </w:pPr>
    </w:p>
    <w:p w14:paraId="00AF96E0"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DD7BD1" w:rsidRDefault="00784E6F" w:rsidP="00784E6F">
      <w:pPr>
        <w:rPr>
          <w:rFonts w:ascii="Calibri" w:hAnsi="Calibri" w:cs="Calibri"/>
          <w:shd w:val="clear" w:color="auto" w:fill="FFFFFF"/>
        </w:rPr>
      </w:pPr>
    </w:p>
    <w:p w14:paraId="49CF53E8" w14:textId="17CE108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p>
    <w:p w14:paraId="32BD1241"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 Paul’s Minimum Wage Increase - </w:t>
      </w:r>
      <w:r w:rsidRPr="00DD7BD1">
        <w:rPr>
          <w:rFonts w:ascii="Calibri" w:hAnsi="Calibri" w:cs="Calibri"/>
          <w:b/>
          <w:bCs/>
          <w:color w:val="C00000"/>
          <w:sz w:val="28"/>
          <w:szCs w:val="28"/>
          <w:shd w:val="clear" w:color="auto" w:fill="FFFFFF"/>
        </w:rPr>
        <w:t>Eff July 1, 2025</w:t>
      </w:r>
    </w:p>
    <w:p w14:paraId="1A7217CA"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Effective July 1, 2025, St. Paul’s minimum wages for small and micro business will increase as follows:</w:t>
      </w:r>
    </w:p>
    <w:p w14:paraId="26076FE2"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$15 per hour for small businesses (6–100 employees)</w:t>
      </w:r>
    </w:p>
    <w:p w14:paraId="065C003B"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$13.25 per hour for micro businesses (5 employees or fewer)</w:t>
      </w:r>
    </w:p>
    <w:p w14:paraId="128183B8"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minimum wage for employers with 101 or more employees will remain at $15.97 per hour.</w:t>
      </w:r>
    </w:p>
    <w:p w14:paraId="003CACC8" w14:textId="575BEC0B"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More information can be found on the city’s </w:t>
      </w:r>
      <w:hyperlink r:id="rId796"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6F060851" w14:textId="420A2C45"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Minneapolis Amended Anti-Discrimination Regulations – </w:t>
      </w:r>
      <w:r w:rsidRPr="00DD7BD1">
        <w:rPr>
          <w:rFonts w:ascii="Calibri" w:hAnsi="Calibri" w:cs="Calibri"/>
          <w:b/>
          <w:bCs/>
          <w:color w:val="C00000"/>
          <w:sz w:val="28"/>
          <w:szCs w:val="28"/>
          <w:shd w:val="clear" w:color="auto" w:fill="FFFFFF"/>
          <w:lang w:val="en"/>
        </w:rPr>
        <w:t>Eff August 1, 2025</w:t>
      </w:r>
    </w:p>
    <w:p w14:paraId="557A0F6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Minneapolis adds new protected classifications, including justice-impacted status, housing status, and height and weight to its anti-discrimination ordinance.</w:t>
      </w:r>
    </w:p>
    <w:p w14:paraId="692019B0"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The amendments also expand an employer’s duty to make reasonable accommodations for disability, pregnancy-related limitations and religion.</w:t>
      </w:r>
    </w:p>
    <w:p w14:paraId="0F8651C7" w14:textId="77777777" w:rsidR="00402F96" w:rsidRPr="00DD7BD1" w:rsidRDefault="00402F96" w:rsidP="00402F96">
      <w:pPr>
        <w:rPr>
          <w:rFonts w:ascii="Calibri" w:hAnsi="Calibri" w:cs="Calibri"/>
          <w:b/>
          <w:bCs/>
          <w:sz w:val="16"/>
          <w:szCs w:val="16"/>
          <w:u w:val="single"/>
          <w:shd w:val="clear" w:color="auto" w:fill="FFFFFF"/>
        </w:rPr>
      </w:pPr>
    </w:p>
    <w:p w14:paraId="2EFBF4CB" w14:textId="77777777" w:rsidR="00402F96" w:rsidRPr="00DD7BD1" w:rsidRDefault="00402F96" w:rsidP="00402F96">
      <w:pPr>
        <w:rPr>
          <w:rFonts w:ascii="Calibri" w:hAnsi="Calibri" w:cs="Calibri"/>
          <w:b/>
          <w:bCs/>
          <w:u w:val="single"/>
          <w:shd w:val="clear" w:color="auto" w:fill="FFFFFF"/>
        </w:rPr>
      </w:pPr>
      <w:r w:rsidRPr="00DD7BD1">
        <w:rPr>
          <w:rFonts w:ascii="Calibri" w:hAnsi="Calibri" w:cs="Calibri"/>
          <w:b/>
          <w:bCs/>
          <w:u w:val="single"/>
          <w:shd w:val="clear" w:color="auto" w:fill="FFFFFF"/>
        </w:rPr>
        <w:t>Additional Details</w:t>
      </w:r>
    </w:p>
    <w:p w14:paraId="12EADDC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Importantly, the new law includes several definitions of new and existing protected characteristics, including the following:</w:t>
      </w:r>
    </w:p>
    <w:p w14:paraId="5749C599"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Familial status</w:t>
      </w:r>
      <w:r w:rsidRPr="00DD7BD1">
        <w:rPr>
          <w:rFonts w:ascii="Calibri" w:hAnsi="Calibri" w:cs="Calibri"/>
          <w:shd w:val="clear" w:color="auto" w:fill="FFFFFF"/>
        </w:rPr>
        <w:t>: Adds that protected familial status includes those caring for one or more individuals who cannot meet their own requirements for physical health or safety due to their inability to receive, evaluate, or communicate information.</w:t>
      </w:r>
    </w:p>
    <w:p w14:paraId="442E56E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Height and weight</w:t>
      </w:r>
      <w:r w:rsidRPr="00DD7BD1">
        <w:rPr>
          <w:rFonts w:ascii="Calibri" w:hAnsi="Calibri" w:cs="Calibri"/>
          <w:shd w:val="clear" w:color="auto" w:fill="FFFFFF"/>
        </w:rPr>
        <w:t>: Clarifies that protected height and weight include both the numerical measures of one’s height and weight and others’ impressions of these traits (</w:t>
      </w:r>
      <w:r w:rsidRPr="00DD7BD1">
        <w:rPr>
          <w:rFonts w:ascii="Calibri" w:hAnsi="Calibri" w:cs="Calibri"/>
          <w:i/>
          <w:iCs/>
          <w:shd w:val="clear" w:color="auto" w:fill="FFFFFF"/>
        </w:rPr>
        <w:t>e.g</w:t>
      </w:r>
      <w:r w:rsidRPr="00DD7BD1">
        <w:rPr>
          <w:rFonts w:ascii="Calibri" w:hAnsi="Calibri" w:cs="Calibri"/>
          <w:shd w:val="clear" w:color="auto" w:fill="FFFFFF"/>
        </w:rPr>
        <w:t>., that someone is considered fat, thin, short, or tall).</w:t>
      </w:r>
    </w:p>
    <w:p w14:paraId="40C97B7E"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Housing status</w:t>
      </w:r>
      <w:r w:rsidRPr="00DD7BD1">
        <w:rPr>
          <w:rFonts w:ascii="Calibri" w:hAnsi="Calibri" w:cs="Calibri"/>
          <w:shd w:val="clear" w:color="auto" w:fill="FFFFFF"/>
        </w:rPr>
        <w:t>: Having, or not having, a fixed, regular, adequate nighttime residence.</w:t>
      </w:r>
    </w:p>
    <w:p w14:paraId="0C936FD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Justice-impacted status</w:t>
      </w:r>
      <w:r w:rsidRPr="00DD7BD1">
        <w:rPr>
          <w:rFonts w:ascii="Calibri" w:hAnsi="Calibri" w:cs="Calibri"/>
          <w:shd w:val="clear" w:color="auto" w:fill="FFFFFF"/>
        </w:rPr>
        <w:t>: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take action against the person. However, employers are entitled to examine the facts surrounding a charge without a conviction, using the factors listed above, and make a determination based on those facts for possible adverse action.</w:t>
      </w:r>
    </w:p>
    <w:p w14:paraId="0F3711A8"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Race</w:t>
      </w:r>
      <w:r w:rsidRPr="00DD7BD1">
        <w:rPr>
          <w:rFonts w:ascii="Calibri" w:hAnsi="Calibri" w:cs="Calibri"/>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Disability</w:t>
      </w:r>
      <w:r w:rsidRPr="00DD7BD1">
        <w:rPr>
          <w:rFonts w:ascii="Calibri" w:hAnsi="Calibri" w:cs="Calibri"/>
          <w:shd w:val="clear" w:color="auto" w:fill="FFFFFF"/>
        </w:rPr>
        <w:t>: The term has been amended to include having an impairment that is episodic or in remission that would materially limit a major life activity when active.</w:t>
      </w:r>
    </w:p>
    <w:p w14:paraId="5EAE67B4" w14:textId="278DA412"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Undue hardship</w:t>
      </w:r>
      <w:r w:rsidRPr="00DD7BD1">
        <w:rPr>
          <w:rFonts w:ascii="Calibri" w:hAnsi="Calibri" w:cs="Calibri"/>
          <w:shd w:val="clear" w:color="auto" w:fill="FFFFFF"/>
        </w:rPr>
        <w:t>: Removes the specific factors to be considered in assessing an undue hardship claim and clarifies that, in relation to reasonable accommodations, an “undue hardship” means a situation requiring significant difficulty or expense depending on a number of factors, determined on a case-by-case basis and specific to the area of discrimination.</w:t>
      </w:r>
    </w:p>
    <w:p w14:paraId="06F59C89" w14:textId="1E3EBD36" w:rsidR="00402F96" w:rsidRPr="00DD7BD1" w:rsidRDefault="00402F96" w:rsidP="00AD4A8E">
      <w:pPr>
        <w:rPr>
          <w:rFonts w:ascii="Calibri" w:hAnsi="Calibri" w:cs="Calibri"/>
          <w:shd w:val="clear" w:color="auto" w:fill="FFFFFF"/>
        </w:rPr>
      </w:pPr>
      <w:r w:rsidRPr="00DD7BD1">
        <w:rPr>
          <w:rFonts w:ascii="Calibri" w:hAnsi="Calibri" w:cs="Calibri"/>
          <w:shd w:val="clear" w:color="auto" w:fill="FFFFFF"/>
        </w:rPr>
        <w:t xml:space="preserve">To learn more access a May 15th article released by Littler Mendelson </w:t>
      </w:r>
      <w:hyperlink r:id="rId797"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ETC publish</w:t>
      </w:r>
      <w:r w:rsidR="00F45F26"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to reflect these changes </w:t>
      </w:r>
      <w:r w:rsidR="00F45F26" w:rsidRPr="00DD7BD1">
        <w:rPr>
          <w:rFonts w:ascii="Calibri" w:hAnsi="Calibri" w:cs="Calibri"/>
          <w:shd w:val="clear" w:color="auto" w:fill="FFFFFF"/>
        </w:rPr>
        <w:t>June 2025.</w:t>
      </w:r>
    </w:p>
    <w:p w14:paraId="7C6961B9" w14:textId="7B18F17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State’s Paid Leave Guidance Issued for Opting Out - Private Plans</w:t>
      </w:r>
    </w:p>
    <w:p w14:paraId="71D6E10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Minnesota’s Department of Employment and Economic Development (DEED) has issued initial guidance for employers who do not want to participate in Minnesota’s Paid Leave Law (PLL) program and instead wish to offer an equivalent private plan. (full guidance available </w:t>
      </w:r>
      <w:hyperlink r:id="rId798"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5B84B0D3" w14:textId="77777777" w:rsidR="00BD445F" w:rsidRPr="00DD7BD1" w:rsidRDefault="00BD445F" w:rsidP="00BD445F">
      <w:pPr>
        <w:spacing w:after="0" w:line="240" w:lineRule="auto"/>
        <w:rPr>
          <w:rFonts w:ascii="Calibri" w:hAnsi="Calibri" w:cs="Calibri"/>
          <w:sz w:val="20"/>
          <w:szCs w:val="20"/>
          <w:shd w:val="clear" w:color="auto" w:fill="FFFFFF"/>
        </w:rPr>
      </w:pPr>
    </w:p>
    <w:p w14:paraId="0C80674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DD7BD1" w:rsidRDefault="00BD445F" w:rsidP="003B29FD">
      <w:pPr>
        <w:spacing w:after="0" w:line="240" w:lineRule="auto"/>
        <w:jc w:val="center"/>
        <w:rPr>
          <w:rFonts w:ascii="Calibri" w:hAnsi="Calibri" w:cs="Calibri"/>
          <w:b/>
          <w:bCs/>
          <w:sz w:val="20"/>
          <w:szCs w:val="20"/>
          <w:shd w:val="clear" w:color="auto" w:fill="FFFFFF"/>
        </w:rPr>
      </w:pPr>
    </w:p>
    <w:p w14:paraId="350BCEBC" w14:textId="7EFDCC0F" w:rsidR="00CD70B8" w:rsidRPr="00DD7BD1" w:rsidRDefault="00CD70B8" w:rsidP="003B29FD">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Paid Leave Wage Reports - </w:t>
      </w:r>
      <w:r w:rsidRPr="00DD7BD1">
        <w:rPr>
          <w:rFonts w:ascii="Calibri" w:hAnsi="Calibri" w:cs="Calibri"/>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DD7BD1"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Minnesota employers of all sizes will be required to submit their first employee </w:t>
            </w:r>
            <w:r w:rsidRPr="00DD7BD1">
              <w:rPr>
                <w:rFonts w:ascii="Calibri" w:hAnsi="Calibri" w:cs="Calibri"/>
                <w:b/>
                <w:bCs/>
                <w:shd w:val="clear" w:color="auto" w:fill="FFFFFF"/>
              </w:rPr>
              <w:t>wage reports</w:t>
            </w:r>
            <w:r w:rsidRPr="00DD7BD1">
              <w:rPr>
                <w:rFonts w:ascii="Calibri" w:hAnsi="Calibri" w:cs="Calibri"/>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 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t>For more information, see </w:t>
            </w:r>
            <w:hyperlink r:id="rId799" w:tgtFrame="_blank" w:history="1">
              <w:r w:rsidRPr="00DD7BD1">
                <w:rPr>
                  <w:rStyle w:val="Hyperlink"/>
                  <w:rFonts w:ascii="Calibri" w:hAnsi="Calibri" w:cs="Calibri"/>
                  <w:shd w:val="clear" w:color="auto" w:fill="FFFFFF"/>
                </w:rPr>
                <w:t>Minnesota’s Paid Leave employer website</w:t>
              </w:r>
            </w:hyperlink>
            <w:r w:rsidRPr="00DD7BD1">
              <w:rPr>
                <w:rStyle w:val="Hyperlink"/>
                <w:rFonts w:ascii="Calibri" w:hAnsi="Calibri" w:cs="Calibri"/>
                <w:shd w:val="clear" w:color="auto" w:fill="FFFFFF"/>
              </w:rPr>
              <w:t xml:space="preserve"> </w:t>
            </w:r>
            <w:r w:rsidRPr="00DD7BD1">
              <w:rPr>
                <w:rFonts w:ascii="Calibri" w:hAnsi="Calibri" w:cs="Calibri"/>
                <w:shd w:val="clear" w:color="auto" w:fill="FFFFFF"/>
              </w:rPr>
              <w:t>or the September HR WIRE</w:t>
            </w:r>
          </w:p>
        </w:tc>
      </w:tr>
    </w:tbl>
    <w:p w14:paraId="79D7AC39" w14:textId="2E6508C3" w:rsidR="00837139" w:rsidRPr="00DD7BD1" w:rsidRDefault="00837139" w:rsidP="00CD70B8">
      <w:pPr>
        <w:spacing w:after="0" w:line="240" w:lineRule="auto"/>
        <w:jc w:val="center"/>
        <w:rPr>
          <w:rFonts w:ascii="Calibri" w:hAnsi="Calibri" w:cs="Calibri"/>
          <w:b/>
          <w:bCs/>
          <w:sz w:val="28"/>
          <w:szCs w:val="28"/>
          <w:shd w:val="clear" w:color="auto" w:fill="FFFFFF"/>
          <w:lang w:val="en"/>
        </w:rPr>
      </w:pPr>
      <w:bookmarkStart w:id="115" w:name="_Hlk183166661"/>
      <w:r w:rsidRPr="00DD7BD1">
        <w:rPr>
          <w:rFonts w:ascii="Calibri" w:hAnsi="Calibri" w:cs="Calibri"/>
          <w:b/>
          <w:bCs/>
          <w:sz w:val="28"/>
          <w:szCs w:val="28"/>
          <w:shd w:val="clear" w:color="auto" w:fill="FFFFFF"/>
          <w:lang w:val="en"/>
        </w:rPr>
        <w:t xml:space="preserve">State Makes Several Changes to Work Comp Laws – </w:t>
      </w:r>
      <w:r w:rsidRPr="00DD7BD1">
        <w:rPr>
          <w:rFonts w:ascii="Calibri" w:hAnsi="Calibri" w:cs="Calibri"/>
          <w:b/>
          <w:bCs/>
          <w:color w:val="C00000"/>
          <w:sz w:val="28"/>
          <w:szCs w:val="28"/>
          <w:shd w:val="clear" w:color="auto" w:fill="FFFFFF"/>
          <w:lang w:val="en"/>
        </w:rPr>
        <w:t>Aug &amp; Oct 2024</w:t>
      </w:r>
    </w:p>
    <w:bookmarkEnd w:id="115"/>
    <w:p w14:paraId="61F6F899"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Although changes are not likely to greatly impact employers, the below is provided for informational purposes to keep employers aware of the recent changes.</w:t>
      </w:r>
    </w:p>
    <w:p w14:paraId="5AABE304" w14:textId="77777777" w:rsidR="00837139" w:rsidRPr="00DD7BD1" w:rsidRDefault="00837139" w:rsidP="00837139">
      <w:pPr>
        <w:spacing w:after="0" w:line="240" w:lineRule="auto"/>
        <w:rPr>
          <w:rFonts w:ascii="Calibri" w:hAnsi="Calibri" w:cs="Calibri"/>
          <w:shd w:val="clear" w:color="auto" w:fill="FFFFFF"/>
        </w:rPr>
      </w:pPr>
    </w:p>
    <w:p w14:paraId="0F30FDB4"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The governor of Minnesota recently signed legislation that changed a number of key workers’ compensation laws. The bill was enacted on May 8, 2024, with some changes going into effect Aug. 1, 2024, and others to go into effect on Oct. 1, 2024, with the aim of such being to offer improved financial support, fair compensation and more thorough processes for determining benefits.</w:t>
      </w:r>
    </w:p>
    <w:p w14:paraId="65818F6C" w14:textId="77777777" w:rsidR="00837139" w:rsidRPr="00DD7BD1" w:rsidRDefault="00837139" w:rsidP="00837139">
      <w:pPr>
        <w:spacing w:after="0" w:line="240" w:lineRule="auto"/>
        <w:rPr>
          <w:rFonts w:ascii="Calibri" w:hAnsi="Calibri" w:cs="Calibri"/>
          <w:shd w:val="clear" w:color="auto" w:fill="FFFFFF"/>
        </w:rPr>
      </w:pPr>
    </w:p>
    <w:p w14:paraId="36680271" w14:textId="77777777" w:rsidR="00837139" w:rsidRPr="00DD7BD1" w:rsidRDefault="00837139" w:rsidP="0083713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Changes</w:t>
      </w:r>
    </w:p>
    <w:p w14:paraId="4F328B95"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Procedural timeline extensions;</w:t>
      </w:r>
    </w:p>
    <w:p w14:paraId="6121A77F"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to the maximum compensation rate increase;</w:t>
      </w:r>
    </w:p>
    <w:p w14:paraId="6323A13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Medical record penalties:</w:t>
      </w:r>
    </w:p>
    <w:p w14:paraId="68EC4192"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Average weekly wage (AWW) revisions for agricultural workers;</w:t>
      </w:r>
    </w:p>
    <w:p w14:paraId="4A9C7DA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Attorney fees increase; and</w:t>
      </w:r>
    </w:p>
    <w:p w14:paraId="708CE33A"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in home remodeling benefits.</w:t>
      </w:r>
    </w:p>
    <w:p w14:paraId="0E4EA334" w14:textId="77777777" w:rsidR="00837139" w:rsidRPr="00DD7BD1" w:rsidRDefault="00837139" w:rsidP="000F6584">
      <w:pPr>
        <w:spacing w:after="0" w:line="240" w:lineRule="auto"/>
        <w:jc w:val="center"/>
        <w:rPr>
          <w:rFonts w:ascii="Calibri" w:hAnsi="Calibri" w:cs="Calibri"/>
          <w:b/>
          <w:bCs/>
          <w:shd w:val="clear" w:color="auto" w:fill="FFFFFF"/>
        </w:rPr>
      </w:pPr>
    </w:p>
    <w:p w14:paraId="54A94020" w14:textId="7A5AF3F9"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Employment Law Updates – Aug 2024</w:t>
      </w:r>
    </w:p>
    <w:p w14:paraId="7C0DE7B5"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The below take effect August 1, 2024, and apply to employers of all sizes:</w:t>
      </w:r>
    </w:p>
    <w:p w14:paraId="3C7F1406" w14:textId="77777777" w:rsidR="000F6584" w:rsidRPr="00DD7BD1" w:rsidRDefault="000F6584" w:rsidP="000F6584">
      <w:pPr>
        <w:spacing w:after="0" w:line="240" w:lineRule="auto"/>
        <w:rPr>
          <w:rFonts w:ascii="Calibri" w:hAnsi="Calibri" w:cs="Calibri"/>
          <w:b/>
          <w:bCs/>
          <w:sz w:val="16"/>
          <w:szCs w:val="16"/>
          <w:shd w:val="clear" w:color="auto" w:fill="FFFFFF"/>
        </w:rPr>
      </w:pPr>
    </w:p>
    <w:p w14:paraId="722FFB06"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ANTIDISCRIMINATION LAW EXPANDED</w:t>
      </w:r>
      <w:r w:rsidRPr="00DD7BD1">
        <w:rPr>
          <w:rFonts w:ascii="Calibri" w:hAnsi="Calibri" w:cs="Calibri"/>
          <w:shd w:val="clear" w:color="auto" w:fill="FFFFFF"/>
        </w:rPr>
        <w:br/>
      </w:r>
      <w:bookmarkStart w:id="116" w:name="_Hlk188535046"/>
      <w:r w:rsidRPr="00DD7BD1">
        <w:rPr>
          <w:rFonts w:ascii="Calibri" w:hAnsi="Calibri" w:cs="Calibri"/>
          <w:shd w:val="clear" w:color="auto" w:fill="FFFFFF"/>
        </w:rPr>
        <w:t xml:space="preserve">Minnesota’s antidiscrimination statute </w:t>
      </w:r>
      <w:bookmarkEnd w:id="116"/>
      <w:r w:rsidRPr="00DD7BD1">
        <w:rPr>
          <w:rFonts w:ascii="Calibri" w:hAnsi="Calibri" w:cs="Calibri"/>
          <w:shd w:val="clear" w:color="auto" w:fill="FFFFFF"/>
        </w:rPr>
        <w:t>has had minor updates to several definitions.</w:t>
      </w:r>
    </w:p>
    <w:p w14:paraId="35BE1502" w14:textId="77777777" w:rsidR="000F6584" w:rsidRPr="00DD7BD1" w:rsidRDefault="000F6584" w:rsidP="000F6584">
      <w:pPr>
        <w:spacing w:after="0" w:line="240" w:lineRule="auto"/>
        <w:rPr>
          <w:rFonts w:ascii="Calibri" w:hAnsi="Calibri" w:cs="Calibri"/>
          <w:shd w:val="clear" w:color="auto" w:fill="FFFFFF"/>
        </w:rPr>
      </w:pPr>
      <w:bookmarkStart w:id="117" w:name="_Hlk188535074"/>
      <w:r w:rsidRPr="00DD7BD1">
        <w:rPr>
          <w:rFonts w:ascii="Calibri" w:hAnsi="Calibri" w:cs="Calibri"/>
          <w:shd w:val="clear" w:color="auto" w:fill="FFFFFF"/>
        </w:rPr>
        <w:t>First, the definition of </w:t>
      </w:r>
      <w:r w:rsidRPr="00DD7BD1">
        <w:rPr>
          <w:rFonts w:ascii="Calibri" w:hAnsi="Calibri" w:cs="Calibri"/>
          <w:b/>
          <w:bCs/>
          <w:i/>
          <w:iCs/>
          <w:shd w:val="clear" w:color="auto" w:fill="FFFFFF"/>
        </w:rPr>
        <w:t>disability</w:t>
      </w:r>
      <w:r w:rsidRPr="00DD7BD1">
        <w:rPr>
          <w:rFonts w:ascii="Calibri" w:hAnsi="Calibri" w:cs="Calibri"/>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Second, the definition of </w:t>
      </w:r>
      <w:r w:rsidRPr="00DD7BD1">
        <w:rPr>
          <w:rFonts w:ascii="Calibri" w:hAnsi="Calibri" w:cs="Calibri"/>
          <w:b/>
          <w:bCs/>
          <w:i/>
          <w:iCs/>
          <w:shd w:val="clear" w:color="auto" w:fill="FFFFFF"/>
        </w:rPr>
        <w:t>discriminate</w:t>
      </w:r>
      <w:r w:rsidRPr="00DD7BD1">
        <w:rPr>
          <w:rFonts w:ascii="Calibri" w:hAnsi="Calibri" w:cs="Calibri"/>
          <w:shd w:val="clear" w:color="auto" w:fill="FFFFFF"/>
        </w:rPr>
        <w:t> has been broadened to include any form of harassment, not just sexual harassment.</w:t>
      </w:r>
    </w:p>
    <w:p w14:paraId="14A05F1C"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Finally, the definition of </w:t>
      </w:r>
      <w:r w:rsidRPr="00DD7BD1">
        <w:rPr>
          <w:rFonts w:ascii="Calibri" w:hAnsi="Calibri" w:cs="Calibri"/>
          <w:b/>
          <w:bCs/>
          <w:i/>
          <w:iCs/>
          <w:shd w:val="clear" w:color="auto" w:fill="FFFFFF"/>
        </w:rPr>
        <w:t>familial status</w:t>
      </w:r>
      <w:r w:rsidRPr="00DD7BD1">
        <w:rPr>
          <w:rFonts w:ascii="Calibri" w:hAnsi="Calibri" w:cs="Calibri"/>
          <w:shd w:val="clear" w:color="auto" w:fill="FFFFFF"/>
        </w:rPr>
        <w:t> has been broadened to include, among other things, having custody of a minor child (even when they don’t live with you) and caregiving for an incapacitated person whom the employee lives with.</w:t>
      </w:r>
    </w:p>
    <w:bookmarkEnd w:id="117"/>
    <w:p w14:paraId="676D7948"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 If your Equal Employment Opportunity (EEO) policy includes these definitions (which is unlikely), update it by August 1.</w:t>
      </w:r>
    </w:p>
    <w:p w14:paraId="6DD29D44" w14:textId="77777777" w:rsidR="000F6584" w:rsidRPr="00DD7BD1" w:rsidRDefault="000F6584" w:rsidP="000F6584">
      <w:pPr>
        <w:spacing w:after="0" w:line="240" w:lineRule="auto"/>
        <w:rPr>
          <w:rFonts w:ascii="Calibri" w:hAnsi="Calibri" w:cs="Calibri"/>
          <w:b/>
          <w:bCs/>
          <w:shd w:val="clear" w:color="auto" w:fill="FFFFFF"/>
          <w:lang w:val="en"/>
        </w:rPr>
      </w:pPr>
    </w:p>
    <w:p w14:paraId="43E818F0" w14:textId="77777777" w:rsidR="000F6584" w:rsidRPr="00DD7BD1" w:rsidRDefault="000F6584" w:rsidP="000F6584">
      <w:pPr>
        <w:spacing w:after="0" w:line="240" w:lineRule="auto"/>
        <w:rPr>
          <w:rFonts w:ascii="Calibri" w:hAnsi="Calibri" w:cs="Calibri"/>
          <w:shd w:val="clear" w:color="auto" w:fill="FFFFFF"/>
          <w:lang w:val="en"/>
        </w:rPr>
      </w:pPr>
      <w:r w:rsidRPr="00DD7BD1">
        <w:rPr>
          <w:rFonts w:ascii="Calibri" w:hAnsi="Calibri" w:cs="Calibri"/>
          <w:b/>
          <w:bCs/>
          <w:highlight w:val="lightGray"/>
          <w:shd w:val="clear" w:color="auto" w:fill="FFFFFF"/>
        </w:rPr>
        <w:t>EARNINGS STATEMENTS MUST BE RETAINED</w:t>
      </w:r>
      <w:r w:rsidRPr="00DD7BD1">
        <w:rPr>
          <w:rFonts w:ascii="Calibri" w:hAnsi="Calibri" w:cs="Calibri"/>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Pr="00DD7BD1" w:rsidRDefault="000F6584" w:rsidP="000F6584">
      <w:pPr>
        <w:spacing w:after="0" w:line="240" w:lineRule="auto"/>
        <w:rPr>
          <w:rFonts w:ascii="Calibri" w:hAnsi="Calibri" w:cs="Calibri"/>
          <w:b/>
          <w:bCs/>
          <w:color w:val="2E74B5" w:themeColor="accent5" w:themeShade="BF"/>
          <w:shd w:val="clear" w:color="auto" w:fill="FFFFFF"/>
          <w:lang w:val="en"/>
        </w:rPr>
      </w:pPr>
    </w:p>
    <w:p w14:paraId="4CFF2C02"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spacing w:val="3"/>
          <w:sz w:val="22"/>
          <w:szCs w:val="22"/>
          <w:highlight w:val="lightGray"/>
          <w:shd w:val="clear" w:color="auto" w:fill="FFFFFF"/>
        </w:rPr>
        <w:t>PREGNANCY AND PARENTING LEAVE CHANGES</w:t>
      </w:r>
      <w:r w:rsidRPr="00DD7BD1">
        <w:rPr>
          <w:rFonts w:ascii="Calibri" w:eastAsiaTheme="majorEastAsia" w:hAnsi="Calibri" w:cs="Calibr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hAnsi="Calibri" w:cs="Calibri"/>
          <w:b w:val="0"/>
          <w:bCs w:val="0"/>
          <w:shd w:val="clear" w:color="auto" w:fill="FFFFFF"/>
        </w:rPr>
        <w:t xml:space="preserve"> </w:t>
      </w:r>
      <w:r w:rsidRPr="00DD7BD1">
        <w:rPr>
          <w:rFonts w:ascii="Calibri" w:hAnsi="Calibri" w:cs="Calibri"/>
          <w:shd w:val="clear" w:color="auto" w:fill="FFFFFF"/>
        </w:rPr>
        <w:t xml:space="preserve"> </w:t>
      </w:r>
      <w:r w:rsidRPr="00DD7BD1">
        <w:rPr>
          <w:rFonts w:ascii="Calibri" w:eastAsiaTheme="majorEastAsia" w:hAnsi="Calibri" w:cs="Calibr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Pr="00DD7BD1" w:rsidRDefault="000F6584" w:rsidP="000F6584">
      <w:pPr>
        <w:pStyle w:val="Heading1"/>
        <w:spacing w:before="0" w:beforeAutospacing="0" w:after="0" w:afterAutospacing="0"/>
        <w:rPr>
          <w:rFonts w:ascii="Calibri" w:eastAsiaTheme="majorEastAsia" w:hAnsi="Calibri" w:cs="Calibri"/>
          <w:color w:val="C00000"/>
          <w:spacing w:val="3"/>
          <w:kern w:val="0"/>
          <w:sz w:val="16"/>
          <w:szCs w:val="16"/>
          <w:shd w:val="clear" w:color="auto" w:fill="FFFFFF"/>
        </w:rPr>
      </w:pPr>
    </w:p>
    <w:p w14:paraId="29FF0F6E"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TIPS RECEIVED BY ELECTRONIC MEANS</w:t>
      </w:r>
      <w:r w:rsidRPr="00DD7BD1">
        <w:rPr>
          <w:rFonts w:ascii="Calibri" w:eastAsiaTheme="majorEastAsia" w:hAnsi="Calibri" w:cs="Calibr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DD7BD1">
        <w:rPr>
          <w:rFonts w:ascii="Calibri" w:eastAsiaTheme="majorEastAsia" w:hAnsi="Calibri" w:cs="Calibri"/>
          <w:b w:val="0"/>
          <w:bCs w:val="0"/>
          <w:i/>
          <w:iCs/>
          <w:spacing w:val="3"/>
          <w:kern w:val="0"/>
          <w:sz w:val="22"/>
          <w:szCs w:val="22"/>
          <w:shd w:val="clear" w:color="auto" w:fill="FFFFFF"/>
        </w:rPr>
        <w:t>full amount of the tip</w:t>
      </w:r>
      <w:r w:rsidRPr="00DD7BD1">
        <w:rPr>
          <w:rFonts w:ascii="Calibri" w:eastAsiaTheme="majorEastAsia" w:hAnsi="Calibri" w:cs="Calibr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i/>
          <w:iCs/>
          <w:spacing w:val="3"/>
          <w:kern w:val="0"/>
          <w:sz w:val="22"/>
          <w:szCs w:val="22"/>
          <w:highlight w:val="lightGray"/>
          <w:shd w:val="clear" w:color="auto" w:fill="FFFFFF"/>
        </w:rPr>
        <w:t>Employer Takeaway:</w:t>
      </w:r>
      <w:r w:rsidRPr="00DD7BD1">
        <w:rPr>
          <w:rFonts w:ascii="Calibri" w:eastAsiaTheme="majorEastAsia" w:hAnsi="Calibri" w:cs="Calibri"/>
          <w:i/>
          <w:iCs/>
          <w:spacing w:val="3"/>
          <w:kern w:val="0"/>
          <w:sz w:val="22"/>
          <w:szCs w:val="22"/>
          <w:shd w:val="clear" w:color="auto" w:fill="FFFFFF"/>
        </w:rPr>
        <w:t xml:space="preserve"> </w:t>
      </w:r>
      <w:r w:rsidRPr="00DD7BD1">
        <w:rPr>
          <w:rFonts w:ascii="Calibri" w:eastAsiaTheme="majorEastAsia" w:hAnsi="Calibri" w:cs="Calibr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16"/>
          <w:szCs w:val="16"/>
          <w:shd w:val="clear" w:color="auto" w:fill="FFFFFF"/>
        </w:rPr>
      </w:pPr>
    </w:p>
    <w:p w14:paraId="233514C5"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ORAL FLUID DRUG TESTING</w:t>
      </w:r>
      <w:r w:rsidRPr="00DD7BD1">
        <w:rPr>
          <w:rFonts w:ascii="Calibri" w:eastAsiaTheme="majorEastAsia" w:hAnsi="Calibri" w:cs="Calibr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DD7BD1" w:rsidRDefault="000F6584" w:rsidP="000F6584">
      <w:pPr>
        <w:spacing w:after="0" w:line="240" w:lineRule="auto"/>
        <w:rPr>
          <w:rFonts w:ascii="Calibri" w:hAnsi="Calibri" w:cs="Calibri"/>
          <w:b/>
          <w:bCs/>
          <w:shd w:val="clear" w:color="auto" w:fill="FFFFFF"/>
          <w:lang w:val="en"/>
        </w:rPr>
      </w:pPr>
    </w:p>
    <w:p w14:paraId="6A995AE0" w14:textId="1C38F3B2" w:rsidR="008C6649" w:rsidRPr="00DD7BD1" w:rsidRDefault="008C6649" w:rsidP="008C664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Minimum Wage Update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DD7BD1"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Minneapolis</w:t>
            </w:r>
            <w:r w:rsidRPr="00DD7BD1">
              <w:rPr>
                <w:rFonts w:ascii="Calibri" w:eastAsia="Times New Roman" w:hAnsi="Calibri" w:cs="Calibri"/>
                <w:color w:val="282828"/>
              </w:rPr>
              <w:br/>
              <w:t>The minimum wage will be $15.57 for employers of </w:t>
            </w:r>
            <w:r w:rsidRPr="00DD7BD1">
              <w:rPr>
                <w:rFonts w:ascii="Calibri" w:eastAsia="Times New Roman" w:hAnsi="Calibri" w:cs="Calibri"/>
                <w:i/>
                <w:iCs/>
                <w:color w:val="282828"/>
              </w:rPr>
              <w:t>all </w:t>
            </w:r>
            <w:r w:rsidRPr="00DD7BD1">
              <w:rPr>
                <w:rFonts w:ascii="Calibri" w:eastAsia="Times New Roman" w:hAnsi="Calibri" w:cs="Calibri"/>
                <w:color w:val="282828"/>
              </w:rPr>
              <w:t>sizes.</w:t>
            </w:r>
          </w:p>
          <w:p w14:paraId="709C0268"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St. Paul</w:t>
            </w:r>
            <w:r w:rsidRPr="00DD7BD1">
              <w:rPr>
                <w:rFonts w:ascii="Calibri" w:eastAsia="Times New Roman" w:hAnsi="Calibri" w:cs="Calibri"/>
                <w:color w:val="282828"/>
              </w:rPr>
              <w:br/>
              <w:t>Employers with 1–5 employees: $12.25</w:t>
            </w:r>
          </w:p>
          <w:p w14:paraId="2C153D41"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color w:val="282828"/>
              </w:rPr>
              <w:t>Employers with 6–100 employees: $14</w:t>
            </w:r>
          </w:p>
          <w:p w14:paraId="45DBA8A0" w14:textId="77777777" w:rsidR="008C6649" w:rsidRPr="00DD7BD1" w:rsidRDefault="008C6649" w:rsidP="005A061B">
            <w:pPr>
              <w:spacing w:after="0" w:line="240" w:lineRule="auto"/>
              <w:rPr>
                <w:rFonts w:ascii="Calibri" w:eastAsia="Times New Roman" w:hAnsi="Calibri" w:cs="Calibri"/>
                <w:color w:val="282828"/>
                <w:sz w:val="24"/>
                <w:szCs w:val="24"/>
              </w:rPr>
            </w:pPr>
            <w:r w:rsidRPr="00DD7BD1">
              <w:rPr>
                <w:rFonts w:ascii="Calibri" w:eastAsia="Times New Roman" w:hAnsi="Calibri" w:cs="Calibri"/>
                <w:color w:val="282828"/>
              </w:rPr>
              <w:t>Employers with 101 or more employees: $15.57</w:t>
            </w:r>
          </w:p>
        </w:tc>
      </w:tr>
    </w:tbl>
    <w:p w14:paraId="59CEB8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2562D52A"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FB47F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D487BF7"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3034C272" w14:textId="77777777" w:rsidR="008C6649" w:rsidRPr="00DD7BD1" w:rsidRDefault="008C6649" w:rsidP="008C6649">
      <w:pPr>
        <w:spacing w:after="0" w:line="240" w:lineRule="auto"/>
        <w:rPr>
          <w:rFonts w:ascii="Calibri" w:eastAsia="Times New Roman" w:hAnsi="Calibri" w:cs="Calibri"/>
          <w:b/>
          <w:bCs/>
          <w:color w:val="231F20"/>
          <w:kern w:val="36"/>
          <w:sz w:val="28"/>
          <w:szCs w:val="28"/>
        </w:rPr>
      </w:pPr>
    </w:p>
    <w:p w14:paraId="752A739D"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28"/>
          <w:szCs w:val="28"/>
          <w:shd w:val="clear" w:color="auto" w:fill="FFFFFF"/>
        </w:rPr>
      </w:pPr>
    </w:p>
    <w:p w14:paraId="03478704"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16"/>
          <w:szCs w:val="16"/>
          <w:shd w:val="clear" w:color="auto" w:fill="FFFFFF"/>
        </w:rPr>
      </w:pPr>
    </w:p>
    <w:p w14:paraId="2B9880D9" w14:textId="78A23E93" w:rsidR="004B7569" w:rsidRPr="00DD7BD1" w:rsidRDefault="004B7569" w:rsidP="004142EF">
      <w:pPr>
        <w:pStyle w:val="Heading1"/>
        <w:spacing w:before="0" w:beforeAutospacing="0" w:after="0" w:afterAutospacing="0"/>
        <w:jc w:val="center"/>
        <w:rPr>
          <w:rFonts w:ascii="Calibri" w:eastAsiaTheme="majorEastAsia" w:hAnsi="Calibri" w:cs="Calibri"/>
          <w:spacing w:val="3"/>
          <w:kern w:val="0"/>
          <w:sz w:val="28"/>
          <w:szCs w:val="28"/>
          <w:shd w:val="clear" w:color="auto" w:fill="FFFFFF"/>
        </w:rPr>
      </w:pPr>
      <w:r w:rsidRPr="00DD7BD1">
        <w:rPr>
          <w:rFonts w:ascii="Calibri" w:eastAsiaTheme="majorEastAsia" w:hAnsi="Calibri" w:cs="Calibri"/>
          <w:spacing w:val="3"/>
          <w:kern w:val="0"/>
          <w:sz w:val="28"/>
          <w:szCs w:val="28"/>
          <w:shd w:val="clear" w:color="auto" w:fill="FFFFFF"/>
        </w:rPr>
        <w:t>Minnesota Amends Sick Leave, Paid Family and Medical Leave</w:t>
      </w:r>
    </w:p>
    <w:p w14:paraId="1493E15F" w14:textId="77777777" w:rsidR="004B7569" w:rsidRPr="00DD7BD1" w:rsidRDefault="004B7569" w:rsidP="004B7569">
      <w:pPr>
        <w:spacing w:after="0" w:line="240" w:lineRule="auto"/>
        <w:rPr>
          <w:rFonts w:ascii="Calibri" w:hAnsi="Calibri" w:cs="Calibri"/>
        </w:rPr>
      </w:pPr>
      <w:r w:rsidRPr="00DD7BD1">
        <w:rPr>
          <w:rFonts w:ascii="Calibri" w:hAnsi="Calibri" w:cs="Calibri"/>
        </w:rPr>
        <w:t>Minnesota has enacted the</w:t>
      </w:r>
      <w:r w:rsidRPr="00DD7BD1">
        <w:rPr>
          <w:rFonts w:ascii="Calibri" w:hAnsi="Calibri" w:cs="Calibri"/>
          <w:b/>
          <w:bCs/>
        </w:rPr>
        <w:t xml:space="preserve"> </w:t>
      </w:r>
      <w:hyperlink r:id="rId800" w:history="1">
        <w:r w:rsidRPr="00DD7BD1">
          <w:rPr>
            <w:rStyle w:val="Hyperlink"/>
            <w:rFonts w:ascii="Calibri" w:eastAsia="Times New Roman" w:hAnsi="Calibri" w:cs="Calibri"/>
            <w:color w:val="3052DA"/>
          </w:rPr>
          <w:t>2024 Transportation, Housing and Labor Omnibus Budget Bill</w:t>
        </w:r>
      </w:hyperlink>
      <w:r w:rsidRPr="00DD7BD1">
        <w:rPr>
          <w:rStyle w:val="Hyperlink"/>
          <w:rFonts w:ascii="Calibri" w:eastAsia="Times New Roman" w:hAnsi="Calibri" w:cs="Calibri"/>
          <w:color w:val="3052DA"/>
        </w:rPr>
        <w:t>,</w:t>
      </w:r>
      <w:r w:rsidRPr="00DD7BD1">
        <w:rPr>
          <w:rFonts w:ascii="Calibri" w:hAnsi="Calibri" w:cs="Calibri"/>
        </w:rPr>
        <w:t xml:space="preserve"> which makes numerous changes to the state’s earned sick and safe time (ESST) and paid leave laws. </w:t>
      </w:r>
    </w:p>
    <w:p w14:paraId="0839B981" w14:textId="77777777" w:rsidR="004B7569" w:rsidRPr="00DD7BD1" w:rsidRDefault="004B7569" w:rsidP="004B7569">
      <w:pPr>
        <w:spacing w:after="0" w:line="240" w:lineRule="auto"/>
        <w:rPr>
          <w:rFonts w:ascii="Calibri" w:hAnsi="Calibri" w:cs="Calibri"/>
        </w:rPr>
      </w:pPr>
    </w:p>
    <w:p w14:paraId="298E41FC" w14:textId="77777777" w:rsidR="004B7569" w:rsidRPr="00DD7BD1" w:rsidRDefault="004B7569" w:rsidP="004B7569">
      <w:pPr>
        <w:spacing w:after="0" w:line="240" w:lineRule="auto"/>
        <w:rPr>
          <w:rFonts w:ascii="Calibri" w:hAnsi="Calibri" w:cs="Calibri"/>
        </w:rPr>
      </w:pPr>
      <w:r w:rsidRPr="00DD7BD1">
        <w:rPr>
          <w:rFonts w:ascii="Calibri" w:hAnsi="Calibri" w:cs="Calibri"/>
        </w:rPr>
        <w:t>Amended Sick &amp; Safe Leave Law:</w:t>
      </w:r>
    </w:p>
    <w:p w14:paraId="51863C42" w14:textId="77777777" w:rsidR="004B7569" w:rsidRPr="00DD7BD1" w:rsidRDefault="004B7569" w:rsidP="004B7569">
      <w:pPr>
        <w:spacing w:after="0" w:line="240" w:lineRule="auto"/>
        <w:rPr>
          <w:rFonts w:ascii="Calibri" w:hAnsi="Calibri" w:cs="Calibri"/>
        </w:rPr>
      </w:pPr>
      <w:r w:rsidRPr="00DD7BD1">
        <w:rPr>
          <w:rFonts w:ascii="Calibri" w:hAnsi="Calibri" w:cs="Calibri"/>
          <w:shd w:val="clear" w:color="auto" w:fill="FFFFFF"/>
        </w:rPr>
        <w:t xml:space="preserve">The most significant changes relate to reporting and usage requirements, and a majority of the clarifications and updates to the ESST law are </w:t>
      </w:r>
      <w:r w:rsidRPr="00DD7BD1">
        <w:rPr>
          <w:rFonts w:ascii="Calibri" w:hAnsi="Calibri" w:cs="Calibri"/>
          <w:u w:val="single"/>
          <w:shd w:val="clear" w:color="auto" w:fill="FFFFFF"/>
        </w:rPr>
        <w:t>effective immediately</w:t>
      </w:r>
      <w:r w:rsidRPr="00DD7BD1">
        <w:rPr>
          <w:rFonts w:ascii="Calibri" w:hAnsi="Calibri" w:cs="Calibri"/>
          <w:shd w:val="clear" w:color="auto" w:fill="FFFFFF"/>
        </w:rPr>
        <w:t>.</w:t>
      </w:r>
      <w:r w:rsidRPr="00DD7BD1">
        <w:rPr>
          <w:rFonts w:ascii="Calibri" w:hAnsi="Calibri" w:cs="Calibri"/>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Jan. 1, 2025</w:t>
      </w:r>
      <w:r w:rsidRPr="00DD7BD1">
        <w:rPr>
          <w:rFonts w:ascii="Calibri" w:hAnsi="Calibri" w:cs="Calibri"/>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also include new information on how to calculate pay for ESST and use of ESST as bereavement leave.</w:t>
      </w:r>
    </w:p>
    <w:p w14:paraId="6FD4EFC6"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16"/>
          <w:szCs w:val="16"/>
        </w:rPr>
      </w:pPr>
    </w:p>
    <w:p w14:paraId="56FF679A" w14:textId="77777777" w:rsidR="004B7569" w:rsidRPr="00DD7BD1" w:rsidRDefault="004B7569" w:rsidP="004B7569">
      <w:pPr>
        <w:spacing w:after="0" w:line="240" w:lineRule="auto"/>
        <w:rPr>
          <w:rFonts w:ascii="Calibri" w:hAnsi="Calibri" w:cs="Calibri"/>
          <w:color w:val="333333"/>
          <w:shd w:val="clear" w:color="auto" w:fill="FFFFFF"/>
        </w:rPr>
      </w:pPr>
      <w:r w:rsidRPr="00DD7BD1">
        <w:rPr>
          <w:rFonts w:ascii="Calibri" w:hAnsi="Calibri" w:cs="Calibri"/>
          <w:shd w:val="clear" w:color="auto" w:fill="FFFFFF"/>
        </w:rPr>
        <w:t xml:space="preserve">Under Minnesota’s Paid Leave Law (PLL) that was passed in 2023, eligible employees may take up to 20 weeks per year of paid leave during certain family and medical leave events starting in </w:t>
      </w:r>
      <w:r w:rsidRPr="00DD7BD1">
        <w:rPr>
          <w:rFonts w:ascii="Calibri" w:hAnsi="Calibri" w:cs="Calibri"/>
          <w:color w:val="C00000"/>
          <w:shd w:val="clear" w:color="auto" w:fill="FFFFFF"/>
        </w:rPr>
        <w:t>January 2026</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 xml:space="preserve">The PLL created a state-run family and medical leave insurance account modeled after the unemployment insurance fund. By </w:t>
      </w:r>
      <w:r w:rsidRPr="00DD7BD1">
        <w:rPr>
          <w:rFonts w:ascii="Calibri" w:hAnsi="Calibri" w:cs="Calibri"/>
          <w:color w:val="C00000"/>
          <w:shd w:val="clear" w:color="auto" w:fill="FFFFFF"/>
        </w:rPr>
        <w:t xml:space="preserve">October 31, 2024, </w:t>
      </w:r>
      <w:r w:rsidRPr="00DD7BD1">
        <w:rPr>
          <w:rFonts w:ascii="Calibri" w:hAnsi="Calibri" w:cs="Calibri"/>
          <w:shd w:val="clear" w:color="auto" w:fill="FFFFFF"/>
        </w:rPr>
        <w:t>employers must submit their first quarterly wage detail report. This first report will be based on wages paid between July 1, 2024, and September 30, 2024. Reports will be submitted through DEED’s employer portal. </w:t>
      </w:r>
      <w:bookmarkStart w:id="118" w:name="_Hlk170733029"/>
      <w:r w:rsidRPr="00DD7BD1">
        <w:rPr>
          <w:rStyle w:val="Hyperlink"/>
          <w:rFonts w:ascii="Calibri" w:eastAsiaTheme="majorEastAsia" w:hAnsi="Calibri" w:cs="Calibri"/>
        </w:rPr>
        <w:fldChar w:fldCharType="begin"/>
      </w:r>
      <w:r w:rsidRPr="00DD7BD1">
        <w:rPr>
          <w:rStyle w:val="Hyperlink"/>
          <w:rFonts w:ascii="Calibri" w:eastAsiaTheme="majorEastAsia" w:hAnsi="Calibri" w:cs="Calibri"/>
        </w:rPr>
        <w:instrText>HYPERLINK "https://www.uimn.org/employers/employer-account/news-updates/submit-adjust-wage-detail-news.jsp" \t "_blank"</w:instrText>
      </w:r>
      <w:r w:rsidRPr="00DD7BD1">
        <w:rPr>
          <w:rStyle w:val="Hyperlink"/>
          <w:rFonts w:ascii="Calibri" w:eastAsiaTheme="majorEastAsia" w:hAnsi="Calibri" w:cs="Calibri"/>
        </w:rPr>
      </w:r>
      <w:r w:rsidRPr="00DD7BD1">
        <w:rPr>
          <w:rStyle w:val="Hyperlink"/>
          <w:rFonts w:ascii="Calibri" w:eastAsiaTheme="majorEastAsia" w:hAnsi="Calibri" w:cs="Calibri"/>
        </w:rPr>
        <w:fldChar w:fldCharType="separate"/>
      </w:r>
      <w:r w:rsidRPr="00DD7BD1">
        <w:rPr>
          <w:rStyle w:val="Hyperlink"/>
          <w:rFonts w:ascii="Calibri" w:eastAsiaTheme="majorEastAsia" w:hAnsi="Calibri" w:cs="Calibri"/>
        </w:rPr>
        <w:t>DEED’s website</w:t>
      </w:r>
      <w:r w:rsidRPr="00DD7BD1">
        <w:rPr>
          <w:rStyle w:val="Hyperlink"/>
          <w:rFonts w:ascii="Calibri" w:eastAsiaTheme="majorEastAsia" w:hAnsi="Calibri" w:cs="Calibri"/>
        </w:rPr>
        <w:fldChar w:fldCharType="end"/>
      </w:r>
      <w:bookmarkEnd w:id="118"/>
      <w:r w:rsidRPr="00DD7BD1">
        <w:rPr>
          <w:rFonts w:ascii="Calibri" w:hAnsi="Calibri" w:cs="Calibri"/>
          <w:color w:val="333333"/>
          <w:shd w:val="clear" w:color="auto" w:fill="FFFFFF"/>
        </w:rPr>
        <w:t> </w:t>
      </w:r>
      <w:r w:rsidRPr="00DD7BD1">
        <w:rPr>
          <w:rFonts w:ascii="Calibri" w:hAnsi="Calibri" w:cs="Calibri"/>
          <w:shd w:val="clear" w:color="auto" w:fill="FFFFFF"/>
        </w:rPr>
        <w:t>explains in detail what must be included on a wage detail report and how to submit it.</w:t>
      </w:r>
    </w:p>
    <w:p w14:paraId="78032467" w14:textId="77777777" w:rsidR="004B7569" w:rsidRPr="00DD7BD1" w:rsidRDefault="004B7569" w:rsidP="008C6649">
      <w:pPr>
        <w:spacing w:after="0" w:line="240" w:lineRule="auto"/>
        <w:jc w:val="center"/>
        <w:rPr>
          <w:rFonts w:ascii="Calibri" w:eastAsia="Times New Roman" w:hAnsi="Calibri" w:cs="Calibri"/>
          <w:b/>
          <w:bCs/>
          <w:color w:val="231F20"/>
          <w:kern w:val="36"/>
          <w:sz w:val="20"/>
          <w:szCs w:val="20"/>
        </w:rPr>
      </w:pPr>
    </w:p>
    <w:p w14:paraId="77AF429B" w14:textId="06514CFC" w:rsidR="00F85B67" w:rsidRPr="00DD7BD1" w:rsidRDefault="00F85B67" w:rsidP="008C6649">
      <w:pPr>
        <w:spacing w:after="0" w:line="240" w:lineRule="auto"/>
        <w:jc w:val="center"/>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Minnesota Employers Must Provide Paid Sick Leave in 2024</w:t>
      </w:r>
    </w:p>
    <w:p w14:paraId="13FF2E77" w14:textId="77777777" w:rsidR="00F85B67" w:rsidRPr="00DD7BD1" w:rsidRDefault="00F85B67" w:rsidP="00F85B67">
      <w:pPr>
        <w:autoSpaceDE w:val="0"/>
        <w:autoSpaceDN w:val="0"/>
        <w:adjustRightInd w:val="0"/>
        <w:spacing w:after="0" w:line="240" w:lineRule="auto"/>
        <w:jc w:val="both"/>
        <w:rPr>
          <w:rStyle w:val="Hyperlink"/>
          <w:rFonts w:ascii="Calibri" w:hAnsi="Calibri" w:cs="Calibri"/>
        </w:rPr>
      </w:pPr>
      <w:r w:rsidRPr="00DD7BD1">
        <w:rPr>
          <w:rFonts w:ascii="Calibri" w:eastAsia="Times New Roman" w:hAnsi="Calibri" w:cs="Calibri"/>
        </w:rPr>
        <w:t xml:space="preserve">Effective Jan. 1, 2024, nearly all Minnesota employers are required to provide their workers with </w:t>
      </w:r>
      <w:r w:rsidRPr="00DD7BD1">
        <w:rPr>
          <w:rStyle w:val="Hyperlink"/>
          <w:rFonts w:ascii="Calibri" w:hAnsi="Calibri" w:cs="Calibri"/>
        </w:rPr>
        <w:t>paid earned sick and</w:t>
      </w:r>
    </w:p>
    <w:p w14:paraId="3FA63C90" w14:textId="7B6937B3"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Style w:val="Hyperlink"/>
          <w:rFonts w:ascii="Calibri" w:hAnsi="Calibri" w:cs="Calibri"/>
        </w:rPr>
        <w:t xml:space="preserve">safe </w:t>
      </w:r>
      <w:hyperlink r:id="rId801" w:history="1">
        <w:r w:rsidRPr="00DD7BD1">
          <w:rPr>
            <w:rStyle w:val="Hyperlink"/>
            <w:rFonts w:ascii="Calibri" w:hAnsi="Calibri" w:cs="Calibri"/>
          </w:rPr>
          <w:t>time</w:t>
        </w:r>
      </w:hyperlink>
      <w:r w:rsidRPr="00DD7BD1">
        <w:rPr>
          <w:rStyle w:val="Hyperlink"/>
          <w:rFonts w:ascii="Calibri" w:hAnsi="Calibri" w:cs="Calibri"/>
        </w:rPr>
        <w:t xml:space="preserve"> (ESST</w:t>
      </w:r>
      <w:r w:rsidRPr="00DD7BD1">
        <w:rPr>
          <w:rFonts w:ascii="Calibri" w:eastAsia="Times New Roman" w:hAnsi="Calibri" w:cs="Calibri"/>
        </w:rPr>
        <w:t>). Employees are eligible for ESST if they work at least 80 hours in a year in Minnesota. Leave accrues</w:t>
      </w:r>
    </w:p>
    <w:p w14:paraId="676E2F23"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at a rate of one hour of ESST for every 30 hours worked, up to a maximum of 48 hours per year. Employers must give</w:t>
      </w:r>
    </w:p>
    <w:p w14:paraId="09132EDB"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notice to all employees that they are entitled to ESST, and any employee handbooks must include a notice of employee</w:t>
      </w:r>
    </w:p>
    <w:p w14:paraId="66215CE8" w14:textId="26B5E2FF" w:rsidR="00F85B67" w:rsidRPr="00DD7BD1" w:rsidRDefault="00F85B67" w:rsidP="00F85B67">
      <w:pPr>
        <w:spacing w:after="0" w:line="240" w:lineRule="auto"/>
        <w:jc w:val="both"/>
        <w:rPr>
          <w:rFonts w:ascii="Calibri" w:eastAsia="Times New Roman" w:hAnsi="Calibri" w:cs="Calibri"/>
        </w:rPr>
      </w:pPr>
      <w:r w:rsidRPr="00DD7BD1">
        <w:rPr>
          <w:rFonts w:ascii="Calibri" w:eastAsia="Times New Roman" w:hAnsi="Calibri" w:cs="Calibri"/>
        </w:rPr>
        <w:t>rights and remedies.</w:t>
      </w:r>
    </w:p>
    <w:p w14:paraId="6C9571A8" w14:textId="77777777" w:rsidR="004B7569" w:rsidRPr="00DD7BD1" w:rsidRDefault="004B7569" w:rsidP="00F85B67">
      <w:pPr>
        <w:spacing w:after="0" w:line="240" w:lineRule="auto"/>
        <w:jc w:val="both"/>
        <w:rPr>
          <w:rFonts w:ascii="Calibri" w:eastAsia="Times New Roman" w:hAnsi="Calibri" w:cs="Calibri"/>
          <w:sz w:val="20"/>
          <w:szCs w:val="20"/>
        </w:rPr>
      </w:pPr>
    </w:p>
    <w:p w14:paraId="54CE5EA3" w14:textId="77725741" w:rsidR="004B7569" w:rsidRPr="00DD7BD1" w:rsidRDefault="004B7569" w:rsidP="004B7569">
      <w:pPr>
        <w:pStyle w:val="Heading2"/>
        <w:shd w:val="clear" w:color="auto" w:fill="FFFFFF"/>
        <w:spacing w:before="0" w:line="240" w:lineRule="auto"/>
        <w:jc w:val="center"/>
        <w:textAlignment w:val="baseline"/>
        <w:rPr>
          <w:rFonts w:ascii="Calibri" w:hAnsi="Calibri" w:cs="Calibri"/>
          <w:b/>
          <w:bCs/>
          <w:color w:val="auto"/>
          <w:sz w:val="28"/>
          <w:szCs w:val="28"/>
        </w:rPr>
      </w:pPr>
      <w:r w:rsidRPr="00DD7BD1">
        <w:rPr>
          <w:rFonts w:ascii="Calibri" w:hAnsi="Calibri" w:cs="Calibri"/>
          <w:b/>
          <w:bCs/>
          <w:color w:val="auto"/>
          <w:spacing w:val="3"/>
          <w:sz w:val="28"/>
          <w:szCs w:val="28"/>
          <w:shd w:val="clear" w:color="auto" w:fill="FFFFFF"/>
        </w:rPr>
        <w:t xml:space="preserve">Significant Changes to State’s Independent Contractor &amp; Employment Laws - </w:t>
      </w:r>
      <w:r w:rsidRPr="00DD7BD1">
        <w:rPr>
          <w:rFonts w:ascii="Calibri" w:hAnsi="Calibri" w:cs="Calibri"/>
          <w:b/>
          <w:bCs/>
          <w:color w:val="auto"/>
          <w:sz w:val="28"/>
          <w:szCs w:val="28"/>
        </w:rPr>
        <w:t xml:space="preserve">Updates to Employee Misclassification Prohibitions – </w:t>
      </w:r>
      <w:r w:rsidRPr="00DD7BD1">
        <w:rPr>
          <w:rFonts w:ascii="Calibri" w:hAnsi="Calibri" w:cs="Calibri"/>
          <w:b/>
          <w:bCs/>
          <w:color w:val="C00000"/>
          <w:sz w:val="28"/>
          <w:szCs w:val="28"/>
        </w:rPr>
        <w:t>July 1</w:t>
      </w:r>
    </w:p>
    <w:p w14:paraId="0C118662" w14:textId="77777777" w:rsidR="004B7569" w:rsidRPr="00DD7BD1" w:rsidRDefault="004B7569" w:rsidP="004B7569">
      <w:pPr>
        <w:pStyle w:val="NormalWeb"/>
        <w:shd w:val="clear" w:color="auto" w:fill="FFFFFF"/>
        <w:spacing w:before="0" w:beforeAutospacing="0" w:after="0" w:afterAutospacing="0"/>
        <w:textAlignment w:val="baseline"/>
        <w:rPr>
          <w:rFonts w:ascii="Calibri" w:hAnsi="Calibri" w:cs="Calibri"/>
          <w:sz w:val="22"/>
          <w:szCs w:val="22"/>
        </w:rPr>
      </w:pPr>
      <w:r w:rsidRPr="00DD7BD1">
        <w:rPr>
          <w:rFonts w:ascii="Calibri" w:hAnsi="Calibri" w:cs="Calibri"/>
          <w:spacing w:val="3"/>
          <w:sz w:val="22"/>
          <w:szCs w:val="22"/>
          <w:shd w:val="clear" w:color="auto" w:fill="FFFFFF"/>
        </w:rPr>
        <w:t xml:space="preserve">Effective </w:t>
      </w:r>
      <w:r w:rsidRPr="00DD7BD1">
        <w:rPr>
          <w:rFonts w:ascii="Calibri" w:hAnsi="Calibri" w:cs="Calibri"/>
          <w:color w:val="C00000"/>
          <w:spacing w:val="3"/>
          <w:sz w:val="22"/>
          <w:szCs w:val="22"/>
          <w:shd w:val="clear" w:color="auto" w:fill="FFFFFF"/>
        </w:rPr>
        <w:t xml:space="preserve">July 1, 2024, </w:t>
      </w:r>
      <w:r w:rsidRPr="00DD7BD1">
        <w:rPr>
          <w:rFonts w:ascii="Calibri" w:hAnsi="Calibri" w:cs="Calibri"/>
          <w:spacing w:val="3"/>
          <w:sz w:val="22"/>
          <w:szCs w:val="22"/>
          <w:shd w:val="clear" w:color="auto" w:fill="FFFFFF"/>
        </w:rPr>
        <w:t xml:space="preserve">all employers, as well as their owners, risk significantly increased penalties for misclassifying employees as independent contractors.  </w:t>
      </w:r>
      <w:r w:rsidRPr="00DD7BD1">
        <w:rPr>
          <w:rFonts w:ascii="Calibri" w:hAnsi="Calibri" w:cs="Calibri"/>
          <w:sz w:val="22"/>
          <w:szCs w:val="22"/>
        </w:rPr>
        <w:t> In addition, it changes the independent contractor test for those performing building construction or improvement services. Under the new statute, no person may:</w:t>
      </w:r>
    </w:p>
    <w:p w14:paraId="175D180C"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classify, represent, or treat an individual who is an employee as an employee under applicable law.</w:t>
      </w:r>
    </w:p>
    <w:p w14:paraId="697051E8"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report a person as an employee when required by applicable law.</w:t>
      </w:r>
    </w:p>
    <w:p w14:paraId="15033169"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Require an employee to misrepresent or misclassify themselves as non-employees, including as an independent contractor.</w:t>
      </w:r>
    </w:p>
    <w:p w14:paraId="368B53D9" w14:textId="77777777" w:rsidR="004B7569" w:rsidRPr="00DD7BD1" w:rsidRDefault="004B7569" w:rsidP="004B7569">
      <w:pPr>
        <w:spacing w:after="0" w:line="240" w:lineRule="auto"/>
        <w:jc w:val="both"/>
        <w:rPr>
          <w:rFonts w:ascii="Calibri" w:hAnsi="Calibri" w:cs="Calibri"/>
          <w:color w:val="000000"/>
          <w:shd w:val="clear" w:color="auto" w:fill="FFFFFF"/>
        </w:rPr>
      </w:pPr>
      <w:r w:rsidRPr="00DD7BD1">
        <w:rPr>
          <w:rFonts w:ascii="Calibri" w:hAnsi="Calibri" w:cs="Calibri"/>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DD7BD1" w:rsidRDefault="004B7569" w:rsidP="004B7569">
      <w:pPr>
        <w:spacing w:after="0" w:line="240" w:lineRule="auto"/>
        <w:jc w:val="both"/>
        <w:rPr>
          <w:rFonts w:ascii="Calibri" w:hAnsi="Calibri" w:cs="Calibri"/>
          <w:color w:val="292929"/>
          <w:spacing w:val="3"/>
          <w:sz w:val="16"/>
          <w:szCs w:val="16"/>
          <w:shd w:val="clear" w:color="auto" w:fill="FFFFFF"/>
        </w:rPr>
      </w:pPr>
    </w:p>
    <w:p w14:paraId="53CDC2D2" w14:textId="77777777" w:rsidR="004B7569" w:rsidRPr="00DD7BD1" w:rsidRDefault="004B7569" w:rsidP="004B7569">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Key Takeaway:</w:t>
      </w:r>
      <w:r w:rsidRPr="00DD7BD1">
        <w:rPr>
          <w:rFonts w:ascii="Calibri" w:hAnsi="Calibri" w:cs="Calibri"/>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Pr="00DD7BD1" w:rsidRDefault="004B7569" w:rsidP="004B7569">
      <w:pPr>
        <w:pStyle w:val="Heading2"/>
        <w:shd w:val="clear" w:color="auto" w:fill="FFFFFF"/>
        <w:spacing w:before="0" w:line="240" w:lineRule="auto"/>
        <w:textAlignment w:val="baseline"/>
        <w:rPr>
          <w:rFonts w:ascii="Calibri" w:hAnsi="Calibri" w:cs="Calibri"/>
          <w:color w:val="000000"/>
          <w:sz w:val="22"/>
          <w:szCs w:val="22"/>
        </w:rPr>
      </w:pPr>
      <w:r w:rsidRPr="00DD7BD1">
        <w:rPr>
          <w:rFonts w:ascii="Calibri" w:hAnsi="Calibri" w:cs="Calibri"/>
          <w:color w:val="292929"/>
          <w:spacing w:val="3"/>
          <w:sz w:val="22"/>
          <w:szCs w:val="22"/>
          <w:shd w:val="clear" w:color="auto" w:fill="FFFFFF"/>
        </w:rPr>
        <w:t>(</w:t>
      </w:r>
      <w:hyperlink r:id="rId802" w:history="1">
        <w:r w:rsidRPr="00DD7BD1">
          <w:rPr>
            <w:rStyle w:val="Hyperlink"/>
            <w:rFonts w:ascii="Calibri" w:hAnsi="Calibri" w:cs="Calibri"/>
            <w:sz w:val="22"/>
            <w:szCs w:val="22"/>
          </w:rPr>
          <w:t>Minn. Stat. §§ 177.27, 181.722, 181.723</w:t>
        </w:r>
      </w:hyperlink>
      <w:r w:rsidRPr="00DD7BD1">
        <w:rPr>
          <w:rFonts w:ascii="Calibri" w:hAnsi="Calibri" w:cs="Calibri"/>
          <w:color w:val="000000"/>
          <w:sz w:val="22"/>
          <w:szCs w:val="22"/>
        </w:rPr>
        <w:t>)</w:t>
      </w:r>
    </w:p>
    <w:p w14:paraId="7F8991E4" w14:textId="77777777" w:rsidR="004B7569" w:rsidRPr="00DD7BD1" w:rsidRDefault="004B7569" w:rsidP="004B7569">
      <w:pPr>
        <w:spacing w:after="0" w:line="240" w:lineRule="auto"/>
        <w:rPr>
          <w:rFonts w:ascii="Calibri" w:hAnsi="Calibri" w:cs="Calibri"/>
          <w:sz w:val="16"/>
          <w:szCs w:val="16"/>
        </w:rPr>
      </w:pPr>
    </w:p>
    <w:p w14:paraId="5BAEDD33" w14:textId="72490C86" w:rsidR="004B7569" w:rsidRPr="00DD7BD1" w:rsidRDefault="004B7569" w:rsidP="004B7569">
      <w:pPr>
        <w:pStyle w:val="Heading1"/>
        <w:shd w:val="clear" w:color="auto" w:fill="FFFFFF"/>
        <w:spacing w:before="0" w:beforeAutospacing="0" w:after="0" w:afterAutospacing="0"/>
        <w:jc w:val="center"/>
        <w:rPr>
          <w:rFonts w:ascii="Calibri" w:hAnsi="Calibri" w:cs="Calibri"/>
          <w:b w:val="0"/>
          <w:bCs w:val="0"/>
          <w:sz w:val="28"/>
          <w:szCs w:val="28"/>
        </w:rPr>
      </w:pPr>
      <w:r w:rsidRPr="00DD7BD1">
        <w:rPr>
          <w:rFonts w:ascii="Calibri" w:hAnsi="Calibri" w:cs="Calibri"/>
          <w:sz w:val="28"/>
          <w:szCs w:val="28"/>
        </w:rPr>
        <w:t>New Pay Transparency Disclosure Requirements</w:t>
      </w:r>
      <w:r w:rsidRPr="00DD7BD1">
        <w:rPr>
          <w:rFonts w:ascii="Calibri" w:hAnsi="Calibri" w:cs="Calibri"/>
          <w:b w:val="0"/>
          <w:bCs w:val="0"/>
          <w:sz w:val="28"/>
          <w:szCs w:val="28"/>
        </w:rPr>
        <w:t xml:space="preserve"> - </w:t>
      </w:r>
      <w:r w:rsidRPr="00DD7BD1">
        <w:rPr>
          <w:rFonts w:ascii="Calibri" w:hAnsi="Calibri" w:cs="Calibri"/>
          <w:b w:val="0"/>
          <w:bCs w:val="0"/>
          <w:color w:val="C00000"/>
          <w:sz w:val="28"/>
          <w:szCs w:val="28"/>
        </w:rPr>
        <w:t>Jan 1, 2025</w:t>
      </w:r>
    </w:p>
    <w:p w14:paraId="5E68D3A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333333"/>
          <w:sz w:val="23"/>
          <w:szCs w:val="23"/>
        </w:rPr>
      </w:pPr>
      <w:r w:rsidRPr="00DD7BD1">
        <w:rPr>
          <w:rFonts w:ascii="Calibri" w:hAnsi="Calibri" w:cs="Calibri"/>
          <w:sz w:val="23"/>
          <w:szCs w:val="23"/>
        </w:rPr>
        <w:t xml:space="preserve">The Minnesota legislature continues to expand protections for job applicants. In 2023, Minnesota enacted </w:t>
      </w:r>
      <w:r w:rsidRPr="00DD7BD1">
        <w:rPr>
          <w:rFonts w:ascii="Calibri" w:hAnsi="Calibri" w:cs="Calibri"/>
          <w:sz w:val="22"/>
          <w:szCs w:val="22"/>
        </w:rPr>
        <w:t>legislation that prohibits employers from inquiring into an applicants’ pay history during</w:t>
      </w:r>
      <w:r w:rsidRPr="00DD7BD1">
        <w:rPr>
          <w:rFonts w:ascii="Calibri" w:hAnsi="Calibri" w:cs="Calibri"/>
          <w:sz w:val="23"/>
          <w:szCs w:val="23"/>
        </w:rPr>
        <w:t xml:space="preserve"> the hiring process. </w:t>
      </w:r>
      <w:r w:rsidRPr="00DD7BD1">
        <w:rPr>
          <w:rFonts w:ascii="Calibri" w:hAnsi="Calibri" w:cs="Calibri"/>
          <w:color w:val="333333"/>
          <w:sz w:val="23"/>
          <w:szCs w:val="23"/>
          <w:shd w:val="clear" w:color="auto" w:fill="FFFFFF"/>
        </w:rPr>
        <w:t>Minnesota Gov. Walz signed the </w:t>
      </w:r>
      <w:hyperlink r:id="rId803" w:tgtFrame="_blank" w:history="1">
        <w:r w:rsidRPr="00DD7BD1">
          <w:rPr>
            <w:rStyle w:val="Hyperlink"/>
            <w:rFonts w:ascii="Calibri" w:eastAsiaTheme="majorEastAsia" w:hAnsi="Calibri" w:cs="Calibri"/>
            <w:sz w:val="22"/>
            <w:szCs w:val="22"/>
          </w:rPr>
          <w:t>Omnibus Labor and Industry policy bill</w:t>
        </w:r>
      </w:hyperlink>
      <w:r w:rsidRPr="00DD7BD1">
        <w:rPr>
          <w:rStyle w:val="Hyperlink"/>
          <w:rFonts w:ascii="Calibri" w:eastAsiaTheme="majorEastAsia" w:hAnsi="Calibri" w:cs="Calibri"/>
          <w:sz w:val="22"/>
          <w:szCs w:val="22"/>
        </w:rPr>
        <w:t>,</w:t>
      </w:r>
      <w:r w:rsidRPr="00DD7BD1">
        <w:rPr>
          <w:rFonts w:ascii="Calibri" w:hAnsi="Calibri" w:cs="Calibri"/>
          <w:color w:val="333333"/>
          <w:sz w:val="23"/>
          <w:szCs w:val="23"/>
          <w:shd w:val="clear" w:color="auto" w:fill="FFFFFF"/>
        </w:rPr>
        <w:t xml:space="preserve"> including new job posting requirements. This law is in addition to existing Minnesota </w:t>
      </w:r>
      <w:hyperlink r:id="rId804" w:tgtFrame="_blank" w:history="1">
        <w:r w:rsidRPr="00DD7BD1">
          <w:rPr>
            <w:rStyle w:val="Hyperlink"/>
            <w:rFonts w:ascii="Calibri" w:eastAsiaTheme="majorEastAsia" w:hAnsi="Calibri" w:cs="Calibri"/>
            <w:sz w:val="22"/>
            <w:szCs w:val="22"/>
          </w:rPr>
          <w:t>wage disclosure protections</w:t>
        </w:r>
      </w:hyperlink>
      <w:r w:rsidRPr="00DD7BD1">
        <w:rPr>
          <w:rFonts w:ascii="Calibri" w:hAnsi="Calibri" w:cs="Calibri"/>
          <w:color w:val="333333"/>
          <w:sz w:val="23"/>
          <w:szCs w:val="23"/>
          <w:shd w:val="clear" w:color="auto" w:fill="FFFFFF"/>
        </w:rPr>
        <w:t xml:space="preserve"> for employees. </w:t>
      </w:r>
      <w:r w:rsidRPr="00DD7BD1">
        <w:rPr>
          <w:rFonts w:ascii="Calibri" w:hAnsi="Calibri" w:cs="Calibri"/>
          <w:sz w:val="23"/>
          <w:szCs w:val="23"/>
        </w:rPr>
        <w:t xml:space="preserve">Now, most employers will be required to disclose salary ranges in their job postings. The pay transparency law will take effect </w:t>
      </w:r>
      <w:r w:rsidRPr="00DD7BD1">
        <w:rPr>
          <w:rFonts w:ascii="Calibri" w:hAnsi="Calibri" w:cs="Calibri"/>
          <w:color w:val="C00000"/>
          <w:sz w:val="23"/>
          <w:szCs w:val="23"/>
        </w:rPr>
        <w:t>January 1, 2025</w:t>
      </w:r>
      <w:r w:rsidRPr="00DD7BD1">
        <w:rPr>
          <w:rFonts w:ascii="Calibri" w:hAnsi="Calibri" w:cs="Calibri"/>
          <w:color w:val="333333"/>
          <w:sz w:val="23"/>
          <w:szCs w:val="23"/>
        </w:rPr>
        <w:t>.</w:t>
      </w:r>
    </w:p>
    <w:p w14:paraId="768C9D9C"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Who must comply with the pay transparency requirements?</w:t>
      </w:r>
    </w:p>
    <w:p w14:paraId="0B8751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The pay transparency requirements apply to any person or entity that employs 30 or more employees at one or more sites in Minnesota.</w:t>
      </w:r>
    </w:p>
    <w:p w14:paraId="6157F1C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must be included in job postings?</w:t>
      </w:r>
    </w:p>
    <w:p w14:paraId="05E2BCD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is a “posting”?</w:t>
      </w:r>
    </w:p>
    <w:p w14:paraId="47BA28E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highlight w:val="lightGray"/>
        </w:rPr>
        <w:t>Employer Take away:</w:t>
      </w:r>
      <w:r w:rsidRPr="00DD7BD1">
        <w:rPr>
          <w:rFonts w:ascii="Calibri" w:hAnsi="Calibri" w:cs="Calibri"/>
          <w:sz w:val="23"/>
          <w:szCs w:val="23"/>
        </w:rPr>
        <w:t xml:space="preserve"> Minnesota employers should review their current pay rates, hiring practices, and job postings in anticipation of the January 1, 2025, effective date.</w:t>
      </w:r>
    </w:p>
    <w:p w14:paraId="569596F7" w14:textId="77777777" w:rsidR="00472E17" w:rsidRPr="00DD7BD1" w:rsidRDefault="00472E17" w:rsidP="00F85B67">
      <w:pPr>
        <w:spacing w:after="0" w:line="240" w:lineRule="auto"/>
        <w:jc w:val="both"/>
        <w:rPr>
          <w:rFonts w:ascii="Calibri" w:eastAsia="Times New Roman" w:hAnsi="Calibri" w:cs="Calibri"/>
          <w:sz w:val="16"/>
          <w:szCs w:val="16"/>
        </w:rPr>
      </w:pPr>
    </w:p>
    <w:p w14:paraId="3159F5B3" w14:textId="098B48CA"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Missouri</w:t>
      </w:r>
    </w:p>
    <w:p w14:paraId="3EB0CB1D" w14:textId="77777777" w:rsidR="008B7ABB" w:rsidRPr="00DD7BD1" w:rsidRDefault="008B7ABB" w:rsidP="008B7ABB">
      <w:pPr>
        <w:jc w:val="center"/>
        <w:rPr>
          <w:rFonts w:ascii="Calibri" w:hAnsi="Calibri" w:cs="Calibri"/>
          <w:b/>
          <w:spacing w:val="-2"/>
          <w:sz w:val="28"/>
        </w:rPr>
      </w:pPr>
      <w:bookmarkStart w:id="119" w:name="_Hlk188875717"/>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5F5E4603" w14:textId="16D91437" w:rsidR="008B7ABB" w:rsidRPr="00DD7BD1" w:rsidRDefault="008B7ABB" w:rsidP="008B7ABB">
      <w:pPr>
        <w:jc w:val="both"/>
        <w:rPr>
          <w:rFonts w:ascii="Calibri" w:hAnsi="Calibri" w:cs="Calibri"/>
          <w:shd w:val="clear" w:color="auto" w:fill="FFFFFF"/>
          <w:lang w:val="en"/>
        </w:rPr>
      </w:pPr>
      <w:r w:rsidRPr="00DD7BD1">
        <w:rPr>
          <w:rFonts w:ascii="Calibri" w:hAnsi="Calibri" w:cs="Calibri"/>
          <w:shd w:val="clear" w:color="auto" w:fill="FFFFFF"/>
          <w:lang w:val="en"/>
        </w:rPr>
        <w:t>On January 1, 2026, Missouri’s minimum wage will increase to $15 per hour. The tipped employee base wage will increase to $7.50 per hour. Retail and service employers with less than $500,000 in gross annual business are exempt from the state minimum wage, but still need to pay at least the federal minimum wage.</w:t>
      </w:r>
    </w:p>
    <w:p w14:paraId="2D98AB8B" w14:textId="27396180" w:rsidR="003A22A9" w:rsidRPr="00DD7BD1" w:rsidRDefault="003A22A9" w:rsidP="003A22A9">
      <w:pPr>
        <w:spacing w:before="12"/>
        <w:ind w:left="1149"/>
        <w:rPr>
          <w:rFonts w:ascii="Calibri" w:hAnsi="Calibri" w:cs="Calibri"/>
          <w:b/>
          <w:color w:val="C00000"/>
          <w:spacing w:val="-7"/>
          <w:sz w:val="28"/>
        </w:rPr>
      </w:pPr>
      <w:r w:rsidRPr="00DD7BD1">
        <w:rPr>
          <w:rFonts w:ascii="Calibri" w:hAnsi="Calibri" w:cs="Calibri"/>
          <w:b/>
          <w:color w:val="C00000"/>
          <w:spacing w:val="-7"/>
          <w:sz w:val="28"/>
        </w:rPr>
        <w:t xml:space="preserve">Reminder: </w:t>
      </w:r>
      <w:r w:rsidRPr="00DD7BD1">
        <w:rPr>
          <w:rFonts w:ascii="Calibri" w:hAnsi="Calibri" w:cs="Calibri"/>
          <w:b/>
          <w:spacing w:val="-7"/>
          <w:sz w:val="28"/>
        </w:rPr>
        <w:t xml:space="preserve">State Legislature Repeals State’s Paid Sick Leave - </w:t>
      </w:r>
      <w:r w:rsidRPr="00DD7BD1">
        <w:rPr>
          <w:rFonts w:ascii="Calibri" w:hAnsi="Calibri" w:cs="Calibri"/>
          <w:b/>
          <w:color w:val="C00000"/>
          <w:spacing w:val="-7"/>
          <w:sz w:val="28"/>
        </w:rPr>
        <w:t>Eff Aug 28, 2025</w:t>
      </w:r>
    </w:p>
    <w:p w14:paraId="0A0BD824" w14:textId="7D9A9024"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 Legislature </w:t>
      </w:r>
      <w:r w:rsidRPr="00DD7BD1">
        <w:rPr>
          <w:rFonts w:ascii="Calibri" w:hAnsi="Calibri" w:cs="Calibri"/>
          <w:b/>
          <w:bCs/>
          <w:sz w:val="28"/>
          <w:szCs w:val="28"/>
          <w:u w:val="single"/>
          <w:shd w:val="clear" w:color="auto" w:fill="FFFFFF"/>
          <w:lang w:val="en"/>
        </w:rPr>
        <w:t xml:space="preserve">Repeals </w:t>
      </w:r>
      <w:r w:rsidRPr="00DD7BD1">
        <w:rPr>
          <w:rFonts w:ascii="Calibri" w:hAnsi="Calibri" w:cs="Calibri"/>
          <w:b/>
          <w:bCs/>
          <w:sz w:val="28"/>
          <w:szCs w:val="28"/>
          <w:shd w:val="clear" w:color="auto" w:fill="FFFFFF"/>
          <w:lang w:val="en"/>
        </w:rPr>
        <w:t xml:space="preserve">State’s Paid Sick Leave - </w:t>
      </w:r>
      <w:r w:rsidRPr="00DD7BD1">
        <w:rPr>
          <w:rFonts w:ascii="Calibri" w:hAnsi="Calibri" w:cs="Calibri"/>
          <w:b/>
          <w:bCs/>
          <w:color w:val="C00000"/>
          <w:sz w:val="28"/>
          <w:szCs w:val="28"/>
          <w:shd w:val="clear" w:color="auto" w:fill="FFFFFF"/>
          <w:lang w:val="en"/>
        </w:rPr>
        <w:t>Eff Aug 28, 2025</w:t>
      </w:r>
    </w:p>
    <w:p w14:paraId="67ADC46A" w14:textId="69C2BCB8"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The Missouri Senate has passed a bill to repeal that new paid sick leave law less than a month after it went into effect, and Gov. Mike Kehoe has supported the repeal bill, meaning he will almost certainly sign it into law in the near future.</w:t>
      </w:r>
    </w:p>
    <w:p w14:paraId="28BA33CB" w14:textId="6ECEC7F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The state’s sick leave law will remain in effect until </w:t>
      </w:r>
      <w:r w:rsidRPr="00DD7BD1">
        <w:rPr>
          <w:rFonts w:ascii="Calibri" w:hAnsi="Calibri" w:cs="Calibri"/>
          <w:u w:val="single"/>
          <w:shd w:val="clear" w:color="auto" w:fill="FFFFFF"/>
        </w:rPr>
        <w:t>August 28, 2025</w:t>
      </w:r>
      <w:r w:rsidRPr="00DD7BD1">
        <w:rPr>
          <w:rFonts w:ascii="Calibri" w:hAnsi="Calibri" w:cs="Calibri"/>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After August 28? That decision is up to employers. </w:t>
      </w:r>
    </w:p>
    <w:p w14:paraId="552E71E4" w14:textId="6BA310A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DD7BD1">
        <w:rPr>
          <w:rFonts w:ascii="Calibri" w:hAnsi="Calibri" w:cs="Calibri"/>
          <w:u w:val="single"/>
          <w:shd w:val="clear" w:color="auto" w:fill="FFFFFF"/>
        </w:rPr>
        <w:t>not</w:t>
      </w:r>
      <w:r w:rsidRPr="00DD7BD1">
        <w:rPr>
          <w:rFonts w:ascii="Calibri" w:hAnsi="Calibri" w:cs="Calibri"/>
          <w:shd w:val="clear" w:color="auto" w:fill="FFFFFF"/>
        </w:rPr>
        <w:t xml:space="preserve"> be required to allow employees to accrue additional paid sick leave after that date. Further, there appears to be </w:t>
      </w:r>
      <w:r w:rsidRPr="00DD7BD1">
        <w:rPr>
          <w:rFonts w:ascii="Calibri" w:hAnsi="Calibri" w:cs="Calibri"/>
          <w:u w:val="single"/>
          <w:shd w:val="clear" w:color="auto" w:fill="FFFFFF"/>
        </w:rPr>
        <w:t>nothing to prevent employers from revoking accrued but unused paid sick leave after August 28</w:t>
      </w:r>
      <w:r w:rsidRPr="00DD7BD1">
        <w:rPr>
          <w:rFonts w:ascii="Calibri" w:hAnsi="Calibri" w:cs="Calibri"/>
          <w:shd w:val="clear" w:color="auto" w:fill="FFFFFF"/>
        </w:rPr>
        <w:t>.</w:t>
      </w:r>
    </w:p>
    <w:p w14:paraId="14A19ED1" w14:textId="3682DB93" w:rsidR="00BB4530" w:rsidRPr="00DD7BD1" w:rsidRDefault="00BB4530" w:rsidP="00BB453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&amp; Reminder: </w:t>
      </w:r>
      <w:r w:rsidRPr="00DD7BD1">
        <w:rPr>
          <w:rFonts w:ascii="Calibri" w:hAnsi="Calibri" w:cs="Calibri"/>
          <w:b/>
          <w:bCs/>
          <w:sz w:val="28"/>
          <w:szCs w:val="28"/>
          <w:shd w:val="clear" w:color="auto" w:fill="FFFFFF"/>
          <w:lang w:val="en"/>
        </w:rPr>
        <w:t>Upcoming State Earned (Paid) Sick Leave –</w:t>
      </w:r>
      <w:r w:rsidRPr="00DD7BD1">
        <w:rPr>
          <w:rFonts w:ascii="Calibri" w:hAnsi="Calibri" w:cs="Calibri"/>
          <w:b/>
          <w:bCs/>
          <w:color w:val="C00000"/>
          <w:sz w:val="28"/>
          <w:szCs w:val="28"/>
          <w:shd w:val="clear" w:color="auto" w:fill="FFFFFF"/>
          <w:lang w:val="en"/>
        </w:rPr>
        <w:t xml:space="preserve"> April 15 &amp; May 1, 2025</w:t>
      </w:r>
    </w:p>
    <w:p w14:paraId="17566230"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UPDATE:</w:t>
      </w:r>
      <w:r w:rsidRPr="00DD7BD1">
        <w:rPr>
          <w:rFonts w:ascii="Calibri" w:hAnsi="Calibri" w:cs="Calibri"/>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Pr="00DD7BD1" w:rsidRDefault="00BB4530" w:rsidP="00BB4530">
      <w:pPr>
        <w:spacing w:after="0" w:line="240" w:lineRule="auto"/>
        <w:rPr>
          <w:rFonts w:ascii="Calibri" w:hAnsi="Calibri" w:cs="Calibri"/>
        </w:rPr>
      </w:pPr>
    </w:p>
    <w:p w14:paraId="1EFE0B32" w14:textId="77777777" w:rsidR="00BB4530" w:rsidRPr="00DD7BD1" w:rsidRDefault="00BB4530" w:rsidP="00BB4530">
      <w:pPr>
        <w:spacing w:after="0" w:line="240" w:lineRule="auto"/>
        <w:rPr>
          <w:rFonts w:ascii="Calibri" w:hAnsi="Calibri" w:cs="Calibri"/>
        </w:rPr>
      </w:pPr>
      <w:r w:rsidRPr="00DD7BD1">
        <w:rPr>
          <w:rFonts w:ascii="Calibri" w:hAnsi="Calibri" w:cs="Calibri"/>
        </w:rPr>
        <w:t xml:space="preserve">The state of Missouri has issued </w:t>
      </w:r>
      <w:hyperlink r:id="rId805"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806" w:tgtFrame="_blank" w:history="1">
        <w:r w:rsidRPr="00DD7BD1">
          <w:rPr>
            <w:rStyle w:val="Hyperlink"/>
            <w:rFonts w:ascii="Calibri" w:hAnsi="Calibri" w:cs="Calibri"/>
          </w:rPr>
          <w:t>Proposition A</w:t>
        </w:r>
      </w:hyperlink>
      <w:r w:rsidRPr="00DD7BD1">
        <w:rPr>
          <w:rFonts w:ascii="Calibri" w:hAnsi="Calibri" w:cs="Calibri"/>
        </w:rPr>
        <w:t xml:space="preserve"> which was approved November 5, 2024. As a reminder, the effective date of this new private employer requirement is May 1.  </w:t>
      </w:r>
    </w:p>
    <w:p w14:paraId="130043AD"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0C30F468"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w:t>
      </w:r>
      <w:r w:rsidRPr="00DD7BD1">
        <w:rPr>
          <w:rFonts w:ascii="Calibri" w:hAnsi="Calibri" w:cs="Calibri"/>
          <w:color w:val="C00000"/>
        </w:rPr>
        <w:t>April 15, 2025</w:t>
      </w:r>
      <w:r w:rsidRPr="00DD7BD1">
        <w:rPr>
          <w:rFonts w:ascii="Calibri" w:hAnsi="Calibri" w:cs="Calibri"/>
        </w:rPr>
        <w:t xml:space="preserve">.  ETC will monitor and advise once the poster is released.  </w:t>
      </w:r>
    </w:p>
    <w:p w14:paraId="4D1CE1DE"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ETC will release a State Handbook Addendum inclusive of the new required workplace policy in advance on May 1. </w:t>
      </w:r>
    </w:p>
    <w:p w14:paraId="6811E24E" w14:textId="77777777" w:rsidR="00BB4530" w:rsidRPr="00DD7BD1" w:rsidRDefault="00BB4530" w:rsidP="00BB4530">
      <w:pPr>
        <w:pStyle w:val="ListParagraph"/>
        <w:spacing w:after="0" w:line="240" w:lineRule="auto"/>
        <w:rPr>
          <w:rFonts w:ascii="Calibri" w:hAnsi="Calibri" w:cs="Calibri"/>
        </w:rPr>
      </w:pPr>
    </w:p>
    <w:p w14:paraId="1123B051" w14:textId="77777777" w:rsidR="00BB4530" w:rsidRPr="00DD7BD1" w:rsidRDefault="00BB4530" w:rsidP="00BB4530">
      <w:pPr>
        <w:spacing w:after="0" w:line="240" w:lineRule="auto"/>
        <w:rPr>
          <w:rFonts w:ascii="Calibri" w:hAnsi="Calibri" w:cs="Calibri"/>
          <w:b/>
          <w:bCs/>
        </w:rPr>
      </w:pPr>
      <w:r w:rsidRPr="00DD7BD1">
        <w:rPr>
          <w:rFonts w:ascii="Calibri" w:hAnsi="Calibri" w:cs="Calibri"/>
          <w:b/>
          <w:bCs/>
        </w:rPr>
        <w:t>Key Provisions:</w:t>
      </w:r>
    </w:p>
    <w:p w14:paraId="212FCF12"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Application</w:t>
      </w:r>
      <w:r w:rsidRPr="00DD7BD1">
        <w:rPr>
          <w:rFonts w:ascii="Calibri" w:hAnsi="Calibri" w:cs="Calibri"/>
        </w:rPr>
        <w:br/>
        <w:t>The EPST law applies to employers of all sizes and most Missouri employees. However, the law contains some unique employee exemptions, including for employees of retail or services businesses with less than $500,000 of annual gross sales.</w:t>
      </w:r>
    </w:p>
    <w:p w14:paraId="4227AF7E" w14:textId="77777777" w:rsidR="00BB4530" w:rsidRPr="00DD7BD1" w:rsidRDefault="00BB4530" w:rsidP="00BB4530">
      <w:pPr>
        <w:spacing w:after="0" w:line="240" w:lineRule="auto"/>
        <w:rPr>
          <w:rFonts w:ascii="Calibri" w:hAnsi="Calibri" w:cs="Calibri"/>
          <w:b/>
          <w:bCs/>
        </w:rPr>
      </w:pPr>
    </w:p>
    <w:p w14:paraId="07845955"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Accrual, Carryover, and Frontloading</w:t>
      </w:r>
      <w:r w:rsidRPr="00DD7BD1">
        <w:rPr>
          <w:rFonts w:ascii="Calibri" w:hAnsi="Calibri" w:cs="Calibri"/>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DD7BD1" w:rsidRDefault="00BB4530" w:rsidP="00BB4530">
      <w:pPr>
        <w:spacing w:after="0" w:line="240" w:lineRule="auto"/>
        <w:rPr>
          <w:rFonts w:ascii="Calibri" w:hAnsi="Calibri" w:cs="Calibri"/>
        </w:rPr>
      </w:pPr>
      <w:r w:rsidRPr="00DD7BD1">
        <w:rPr>
          <w:rFonts w:ascii="Calibri" w:hAnsi="Calibri" w:cs="Calibri"/>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DD7BD1">
        <w:rPr>
          <w:rFonts w:ascii="Calibri" w:hAnsi="Calibri" w:cs="Calibri"/>
          <w:i/>
          <w:iCs/>
        </w:rPr>
        <w:t>and </w:t>
      </w:r>
      <w:r w:rsidRPr="00DD7BD1">
        <w:rPr>
          <w:rFonts w:ascii="Calibri" w:hAnsi="Calibri" w:cs="Calibri"/>
        </w:rPr>
        <w:t>provide a lump sum of their full amount of EPST for immediate use at the beginning of the new benefit year.</w:t>
      </w:r>
    </w:p>
    <w:p w14:paraId="3C385582" w14:textId="77777777" w:rsidR="00BB4530" w:rsidRPr="00DD7BD1" w:rsidRDefault="00BB4530" w:rsidP="00BB4530">
      <w:pPr>
        <w:spacing w:after="0" w:line="240" w:lineRule="auto"/>
        <w:rPr>
          <w:rFonts w:ascii="Calibri" w:hAnsi="Calibri" w:cs="Calibri"/>
          <w:b/>
          <w:bCs/>
        </w:rPr>
      </w:pPr>
    </w:p>
    <w:p w14:paraId="583539A9"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Use</w:t>
      </w:r>
      <w:r w:rsidRPr="00DD7BD1">
        <w:rPr>
          <w:rFonts w:ascii="Calibri" w:hAnsi="Calibri" w:cs="Calibri"/>
        </w:rPr>
        <w:br/>
        <w:t>Employers with 14 or fewer employees can cap employees’ use at 40 hours of EPST per year, while those with 15 or more employees can cap employees’ use at 56 hours per year.</w:t>
      </w:r>
    </w:p>
    <w:p w14:paraId="0CF1F5A5" w14:textId="77777777" w:rsidR="00BB4530" w:rsidRPr="00DD7BD1" w:rsidRDefault="00BB4530" w:rsidP="00BB4530">
      <w:pPr>
        <w:spacing w:after="0" w:line="240" w:lineRule="auto"/>
        <w:rPr>
          <w:rFonts w:ascii="Calibri" w:hAnsi="Calibri" w:cs="Calibri"/>
        </w:rPr>
      </w:pPr>
      <w:r w:rsidRPr="00DD7BD1">
        <w:rPr>
          <w:rFonts w:ascii="Calibri" w:hAnsi="Calibri" w:cs="Calibri"/>
        </w:rPr>
        <w:t>Employees can use EPST as soon as it’s accrued for the following reasons:</w:t>
      </w:r>
    </w:p>
    <w:p w14:paraId="396967F9"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Their own or their family member’s mental or physical illness, injury, or health condition, including preventive medical care</w:t>
      </w:r>
    </w:p>
    <w:p w14:paraId="1BC69BAB"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 closure of their workplace or their child’s school or place of care because of a public health emergency</w:t>
      </w:r>
    </w:p>
    <w:p w14:paraId="2D4EAB4A"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To care for themselves or a family member because of a determination of exposure to a communicable disease</w:t>
      </w:r>
    </w:p>
    <w:p w14:paraId="3E0E0A41"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Certain covered reasons related to domestic abuse, sexual assault, or stalking of the employee or their family member</w:t>
      </w:r>
    </w:p>
    <w:p w14:paraId="3BAC2752" w14:textId="77777777" w:rsidR="00BB4530" w:rsidRPr="00DD7BD1" w:rsidRDefault="00BB4530" w:rsidP="00BB4530">
      <w:pPr>
        <w:spacing w:after="0" w:line="240" w:lineRule="auto"/>
        <w:rPr>
          <w:rFonts w:ascii="Calibri" w:hAnsi="Calibri" w:cs="Calibri"/>
        </w:rPr>
      </w:pPr>
      <w:r w:rsidRPr="00DD7BD1">
        <w:rPr>
          <w:rFonts w:ascii="Calibri" w:hAnsi="Calibri" w:cs="Calibri"/>
        </w:rPr>
        <w:t>EPST needs to be provided in the smallest increment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DD7BD1" w:rsidRDefault="00BB4530" w:rsidP="00BB4530">
      <w:pPr>
        <w:spacing w:after="0" w:line="240" w:lineRule="auto"/>
        <w:rPr>
          <w:rFonts w:ascii="Calibri" w:hAnsi="Calibri" w:cs="Calibri"/>
        </w:rPr>
      </w:pPr>
      <w:r w:rsidRPr="00DD7BD1">
        <w:rPr>
          <w:rFonts w:ascii="Calibri" w:hAnsi="Calibri" w:cs="Calibri"/>
        </w:rPr>
        <w:t>As is standard with sick leave laws, employers can’t require that employees find their own coverage or deny them use of EPST if a replacement worker can’t be found.</w:t>
      </w:r>
    </w:p>
    <w:p w14:paraId="3974336A" w14:textId="77777777" w:rsidR="00BB4530" w:rsidRPr="00DD7BD1" w:rsidRDefault="00BB4530" w:rsidP="00BB4530">
      <w:pPr>
        <w:spacing w:after="0" w:line="240" w:lineRule="auto"/>
        <w:rPr>
          <w:rFonts w:ascii="Calibri" w:hAnsi="Calibri" w:cs="Calibri"/>
          <w:b/>
          <w:bCs/>
        </w:rPr>
      </w:pPr>
    </w:p>
    <w:p w14:paraId="39E529CC"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Documentation</w:t>
      </w:r>
      <w:r w:rsidRPr="00DD7BD1">
        <w:rPr>
          <w:rFonts w:ascii="Calibri" w:hAnsi="Calibri" w:cs="Calibri"/>
        </w:rPr>
        <w:br/>
        <w:t>When employees use EPST for three or more consecutive workdays, employers can request reasonable documentation that the leave was used for a covered purpose.</w:t>
      </w:r>
    </w:p>
    <w:p w14:paraId="27814B1B" w14:textId="77777777" w:rsidR="00BB4530" w:rsidRPr="00DD7BD1" w:rsidRDefault="00BB4530" w:rsidP="00BB4530">
      <w:pPr>
        <w:spacing w:after="0" w:line="240" w:lineRule="auto"/>
        <w:rPr>
          <w:rFonts w:ascii="Calibri" w:hAnsi="Calibri" w:cs="Calibri"/>
          <w:b/>
          <w:bCs/>
        </w:rPr>
      </w:pPr>
    </w:p>
    <w:p w14:paraId="262B160A"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Notice</w:t>
      </w:r>
      <w:r w:rsidRPr="00DD7BD1">
        <w:rPr>
          <w:rFonts w:ascii="Calibri" w:hAnsi="Calibri" w:cs="Calibri"/>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Beginning May 1, 2025, employees are entitled to accrue EPST at the rate of one hour for every 30 hours of work and may use EPST subject to the limits and terms of the law</w:t>
      </w:r>
    </w:p>
    <w:p w14:paraId="3DFA3888"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Employers can’t take retaliatory action against employees who request or use EPST</w:t>
      </w:r>
    </w:p>
    <w:p w14:paraId="43578B4E"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Employees’ rights to bring a civil action in certain circumstances</w:t>
      </w:r>
    </w:p>
    <w:p w14:paraId="1087F745"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Contact information for the Missouri Department of Labor and Industrial Relations (DOL)</w:t>
      </w:r>
    </w:p>
    <w:p w14:paraId="4B25D3EE" w14:textId="77777777" w:rsidR="00BB4530" w:rsidRPr="00DD7BD1" w:rsidRDefault="00BB4530" w:rsidP="00BB4530">
      <w:pPr>
        <w:spacing w:after="0" w:line="240" w:lineRule="auto"/>
        <w:rPr>
          <w:rFonts w:ascii="Calibri" w:hAnsi="Calibri" w:cs="Calibri"/>
        </w:rPr>
      </w:pPr>
      <w:r w:rsidRPr="00DD7BD1">
        <w:rPr>
          <w:rFonts w:ascii="Calibri" w:hAnsi="Calibri" w:cs="Calibri"/>
        </w:rPr>
        <w:t>Additionally, employers must display a poster that contains this information in a conspicuous and accessible place for employees </w:t>
      </w:r>
      <w:r w:rsidRPr="00DD7BD1">
        <w:rPr>
          <w:rFonts w:ascii="Calibri" w:hAnsi="Calibri" w:cs="Calibri"/>
          <w:i/>
          <w:iCs/>
        </w:rPr>
        <w:t>if </w:t>
      </w:r>
      <w:r w:rsidRPr="00DD7BD1">
        <w:rPr>
          <w:rFonts w:ascii="Calibri" w:hAnsi="Calibri" w:cs="Calibri"/>
        </w:rPr>
        <w:t>the state has created one. We’re hoping the state will release a model notice and poster in the near future.</w:t>
      </w:r>
    </w:p>
    <w:p w14:paraId="05401E57" w14:textId="77777777" w:rsidR="00BB4530" w:rsidRPr="00DD7BD1" w:rsidRDefault="00BB4530" w:rsidP="00BB4530">
      <w:pPr>
        <w:spacing w:after="0" w:line="240" w:lineRule="auto"/>
        <w:rPr>
          <w:rFonts w:ascii="Calibri" w:hAnsi="Calibri" w:cs="Calibri"/>
          <w:b/>
          <w:bCs/>
        </w:rPr>
      </w:pPr>
    </w:p>
    <w:p w14:paraId="07D8B106"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Payout</w:t>
      </w:r>
      <w:r w:rsidRPr="00DD7BD1">
        <w:rPr>
          <w:rFonts w:ascii="Calibri" w:hAnsi="Calibri" w:cs="Calibri"/>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DD7BD1" w:rsidRDefault="00BB4530" w:rsidP="00BB4530">
      <w:pPr>
        <w:spacing w:after="0" w:line="240" w:lineRule="auto"/>
        <w:rPr>
          <w:rFonts w:ascii="Calibri" w:hAnsi="Calibri" w:cs="Calibri"/>
        </w:rPr>
      </w:pPr>
    </w:p>
    <w:p w14:paraId="24270907"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Missouri DOL has released </w:t>
      </w:r>
      <w:hyperlink r:id="rId807" w:tgtFrame="_blank" w:history="1">
        <w:r w:rsidRPr="00DD7BD1">
          <w:rPr>
            <w:rStyle w:val="Hyperlink"/>
            <w:rFonts w:ascii="Calibri" w:hAnsi="Calibri" w:cs="Calibri"/>
          </w:rPr>
          <w:t>FAQs</w:t>
        </w:r>
      </w:hyperlink>
      <w:r w:rsidRPr="00DD7BD1">
        <w:rPr>
          <w:rFonts w:ascii="Calibri" w:hAnsi="Calibri" w:cs="Calibri"/>
        </w:rPr>
        <w:t> on its website.</w:t>
      </w:r>
    </w:p>
    <w:p w14:paraId="36F94A3C" w14:textId="77777777" w:rsidR="00BB4530" w:rsidRPr="00DD7BD1" w:rsidRDefault="00BB4530" w:rsidP="00BB4530">
      <w:pPr>
        <w:spacing w:after="0" w:line="240" w:lineRule="auto"/>
        <w:rPr>
          <w:rFonts w:ascii="Calibri" w:hAnsi="Calibri" w:cs="Calibri"/>
          <w:b/>
          <w:bCs/>
          <w:sz w:val="16"/>
          <w:szCs w:val="16"/>
          <w:shd w:val="clear" w:color="auto" w:fill="FFFFFF"/>
          <w:lang w:val="en"/>
        </w:rPr>
      </w:pPr>
    </w:p>
    <w:p w14:paraId="0C6B605F" w14:textId="2A486938"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Reminder: State Earned (Paid) Sick Leave –</w:t>
      </w:r>
      <w:r w:rsidRPr="00DD7BD1">
        <w:rPr>
          <w:rFonts w:ascii="Calibri" w:hAnsi="Calibri" w:cs="Calibri"/>
          <w:b/>
          <w:bCs/>
          <w:color w:val="C00000"/>
          <w:sz w:val="28"/>
          <w:szCs w:val="28"/>
          <w:shd w:val="clear" w:color="auto" w:fill="FFFFFF"/>
          <w:lang w:val="en"/>
        </w:rPr>
        <w:t xml:space="preserve"> May 1, 2025</w:t>
      </w:r>
    </w:p>
    <w:p w14:paraId="0E5CD90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state of Missouri has issued </w:t>
      </w:r>
      <w:hyperlink r:id="rId808"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809" w:tgtFrame="_blank" w:history="1">
        <w:r w:rsidRPr="00DD7BD1">
          <w:rPr>
            <w:rStyle w:val="Hyperlink"/>
            <w:rFonts w:ascii="Calibri" w:hAnsi="Calibri" w:cs="Calibri"/>
          </w:rPr>
          <w:t>Proposition A</w:t>
        </w:r>
      </w:hyperlink>
      <w:r w:rsidRPr="00DD7BD1">
        <w:rPr>
          <w:rFonts w:ascii="Calibri" w:hAnsi="Calibri" w:cs="Calibri"/>
        </w:rPr>
        <w:t> which was approved November 5, 2024.</w:t>
      </w:r>
    </w:p>
    <w:p w14:paraId="1AFFBEF0"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As a reminder, the effective date of this new private employer requirement is May 1.  </w:t>
      </w:r>
    </w:p>
    <w:p w14:paraId="604CB049"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7913DC13"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April 15, 2025.  ETC will monitor and advise once the poster is released.  </w:t>
      </w:r>
    </w:p>
    <w:p w14:paraId="09EEB2E7"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Additionally, ETC will release a State Handbook Addendum inclusive of the new required workplace policy in advance on May 1. </w:t>
      </w:r>
    </w:p>
    <w:bookmarkEnd w:id="119"/>
    <w:p w14:paraId="32EEC0E8" w14:textId="77777777" w:rsidR="00BD445F" w:rsidRPr="00DD7BD1" w:rsidRDefault="00BD445F" w:rsidP="003B29FD">
      <w:pPr>
        <w:spacing w:after="0" w:line="240" w:lineRule="auto"/>
        <w:jc w:val="center"/>
        <w:rPr>
          <w:rFonts w:ascii="Calibri" w:hAnsi="Calibri" w:cs="Calibri"/>
          <w:b/>
          <w:bCs/>
          <w:sz w:val="20"/>
          <w:szCs w:val="20"/>
          <w:shd w:val="clear" w:color="auto" w:fill="FFFFFF"/>
          <w:lang w:val="en"/>
        </w:rPr>
      </w:pPr>
    </w:p>
    <w:p w14:paraId="46E4A843" w14:textId="1062A208"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Paid Sick Leave Initiative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Spring 2025</w:t>
      </w:r>
    </w:p>
    <w:p w14:paraId="4D17DF24" w14:textId="77777777" w:rsidR="003B29FD" w:rsidRPr="00DD7BD1" w:rsidRDefault="003B29FD" w:rsidP="003B29FD">
      <w:pPr>
        <w:rPr>
          <w:rFonts w:ascii="Calibri" w:hAnsi="Calibri" w:cs="Calibri"/>
        </w:rPr>
      </w:pPr>
      <w:r w:rsidRPr="00DD7BD1">
        <w:rPr>
          <w:rFonts w:ascii="Calibri" w:hAnsi="Calibri" w:cs="Calibri"/>
        </w:rPr>
        <w:t xml:space="preserve">On Nov. 5, 2024, voters in Missouri passed </w:t>
      </w:r>
      <w:hyperlink r:id="rId810" w:history="1">
        <w:r w:rsidRPr="00DD7BD1">
          <w:rPr>
            <w:rStyle w:val="Hyperlink"/>
            <w:rFonts w:ascii="Calibri" w:hAnsi="Calibri" w:cs="Calibri"/>
          </w:rPr>
          <w:t>Proposition A</w:t>
        </w:r>
      </w:hyperlink>
      <w:r w:rsidRPr="00DD7BD1">
        <w:rPr>
          <w:rFonts w:ascii="Calibri" w:hAnsi="Calibri" w:cs="Calibri"/>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DD7BD1" w:rsidRDefault="003B29FD" w:rsidP="003B29FD">
      <w:pPr>
        <w:pStyle w:val="CallOutBox"/>
        <w:jc w:val="left"/>
        <w:rPr>
          <w:rFonts w:ascii="Calibri" w:hAnsi="Calibri" w:cs="Calibri"/>
          <w:b w:val="0"/>
          <w:bCs/>
          <w:i w:val="0"/>
          <w:iCs/>
          <w:color w:val="auto"/>
          <w:sz w:val="22"/>
          <w:szCs w:val="22"/>
        </w:rPr>
      </w:pPr>
      <w:bookmarkStart w:id="120" w:name="_Hlk181799663"/>
      <w:bookmarkStart w:id="121" w:name="_Hlk181799664"/>
      <w:r w:rsidRPr="00DD7BD1">
        <w:rPr>
          <w:rFonts w:ascii="Calibri" w:hAnsi="Calibri" w:cs="Calibri"/>
          <w:b w:val="0"/>
          <w:bCs/>
          <w:i w:val="0"/>
          <w:iCs/>
          <w:color w:val="auto"/>
          <w:sz w:val="22"/>
          <w:szCs w:val="22"/>
        </w:rPr>
        <w:t xml:space="preserve">The annual leave amount for larger employers is 56 hours; for smaller employers, the amount is only 40 hours. </w:t>
      </w:r>
      <w:bookmarkEnd w:id="120"/>
      <w:bookmarkEnd w:id="121"/>
    </w:p>
    <w:p w14:paraId="2F70FA04" w14:textId="77777777" w:rsidR="003B29FD" w:rsidRPr="00DD7BD1" w:rsidRDefault="003B29FD" w:rsidP="003B29FD">
      <w:pPr>
        <w:pStyle w:val="SectionBoxBold"/>
        <w:rPr>
          <w:rFonts w:cs="Calibri"/>
          <w:sz w:val="22"/>
          <w:szCs w:val="22"/>
        </w:rPr>
      </w:pPr>
      <w:r w:rsidRPr="00DD7BD1">
        <w:rPr>
          <w:rFonts w:cs="Calibri"/>
          <w:color w:val="C00000"/>
          <w:sz w:val="22"/>
          <w:szCs w:val="22"/>
        </w:rPr>
        <w:t xml:space="preserve">April 15, 2025 </w:t>
      </w:r>
      <w:r w:rsidRPr="00DD7BD1">
        <w:rPr>
          <w:rFonts w:cs="Calibri"/>
          <w:sz w:val="22"/>
          <w:szCs w:val="22"/>
        </w:rPr>
        <w:t xml:space="preserve">- </w:t>
      </w:r>
      <w:r w:rsidRPr="00DD7BD1">
        <w:rPr>
          <w:rFonts w:cs="Calibri"/>
          <w:b w:val="0"/>
          <w:bCs/>
          <w:sz w:val="22"/>
          <w:szCs w:val="22"/>
        </w:rPr>
        <w:t>Employers must provide notice of the law to employees.</w:t>
      </w:r>
    </w:p>
    <w:p w14:paraId="1C344538" w14:textId="77777777" w:rsidR="003B29FD" w:rsidRPr="00DD7BD1" w:rsidRDefault="003B29FD" w:rsidP="003B29FD">
      <w:pPr>
        <w:pStyle w:val="SectionBoxBold"/>
        <w:rPr>
          <w:rFonts w:cs="Calibri"/>
          <w:b w:val="0"/>
          <w:bCs/>
          <w:sz w:val="22"/>
          <w:szCs w:val="22"/>
        </w:rPr>
      </w:pPr>
      <w:r w:rsidRPr="00DD7BD1">
        <w:rPr>
          <w:rFonts w:cs="Calibri"/>
          <w:color w:val="C00000"/>
          <w:sz w:val="22"/>
          <w:szCs w:val="22"/>
        </w:rPr>
        <w:t xml:space="preserve">May 1, 2025 </w:t>
      </w:r>
      <w:r w:rsidRPr="00DD7BD1">
        <w:rPr>
          <w:rFonts w:cs="Calibri"/>
          <w:sz w:val="22"/>
          <w:szCs w:val="22"/>
        </w:rPr>
        <w:t xml:space="preserve">- </w:t>
      </w:r>
      <w:r w:rsidRPr="00DD7BD1">
        <w:rPr>
          <w:rFonts w:cs="Calibri"/>
          <w:b w:val="0"/>
          <w:bCs/>
          <w:sz w:val="22"/>
          <w:szCs w:val="22"/>
        </w:rPr>
        <w:t>Workers may accrue and use earned paid sick time.</w:t>
      </w:r>
    </w:p>
    <w:p w14:paraId="1C50400D" w14:textId="77777777" w:rsidR="003B29FD" w:rsidRPr="00DD7BD1" w:rsidRDefault="003B29FD" w:rsidP="003B29FD">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4EB38590" w14:textId="77777777" w:rsidR="003B29FD" w:rsidRPr="00DD7BD1" w:rsidRDefault="003B29FD" w:rsidP="00472E17">
      <w:pPr>
        <w:spacing w:after="0" w:line="240" w:lineRule="auto"/>
        <w:jc w:val="both"/>
        <w:rPr>
          <w:rFonts w:ascii="Calibri" w:hAnsi="Calibri" w:cs="Calibri"/>
          <w:b/>
          <w:bCs/>
          <w:color w:val="2E74B5" w:themeColor="accent5" w:themeShade="BF"/>
          <w:sz w:val="2"/>
          <w:szCs w:val="2"/>
          <w:shd w:val="clear" w:color="auto" w:fill="FFFFFF"/>
          <w:lang w:val="en"/>
        </w:rPr>
      </w:pPr>
    </w:p>
    <w:p w14:paraId="4A8202B1" w14:textId="36325B5F" w:rsidR="00F45F26" w:rsidRPr="00DD7BD1" w:rsidRDefault="00F45F26" w:rsidP="00E704B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Montana</w:t>
      </w:r>
    </w:p>
    <w:p w14:paraId="4BF3FEB0" w14:textId="77777777" w:rsidR="00E704B9" w:rsidRPr="00DD7BD1" w:rsidRDefault="00E704B9" w:rsidP="00E704B9">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19A0E167" w14:textId="0C676E91" w:rsidR="00E704B9" w:rsidRPr="00DD7BD1" w:rsidRDefault="00E704B9" w:rsidP="00E704B9">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Montana’s minimum wage will increase to $10.85 per hour. Employers with annual gross sales of $110,000 or less can pay the federal minimum wage.  </w:t>
      </w:r>
    </w:p>
    <w:p w14:paraId="3161F12A" w14:textId="77777777" w:rsidR="00E704B9" w:rsidRPr="00DD7BD1" w:rsidRDefault="00E704B9" w:rsidP="00E704B9">
      <w:pPr>
        <w:spacing w:after="0" w:line="240" w:lineRule="auto"/>
        <w:jc w:val="both"/>
        <w:rPr>
          <w:rFonts w:ascii="Calibri" w:hAnsi="Calibri" w:cs="Calibri"/>
          <w:shd w:val="clear" w:color="auto" w:fill="FFFFFF"/>
          <w:lang w:val="en"/>
        </w:rPr>
      </w:pPr>
    </w:p>
    <w:p w14:paraId="6575A741" w14:textId="4B79A15C" w:rsidR="003A22A9" w:rsidRPr="00DD7BD1" w:rsidRDefault="00E704B9" w:rsidP="00E704B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003A22A9" w:rsidRPr="00DD7BD1">
        <w:rPr>
          <w:rFonts w:ascii="Calibri" w:hAnsi="Calibri" w:cs="Calibri"/>
          <w:b/>
          <w:spacing w:val="-9"/>
          <w:sz w:val="28"/>
        </w:rPr>
        <w:t xml:space="preserve"> </w:t>
      </w:r>
      <w:r w:rsidR="003A22A9" w:rsidRPr="00DD7BD1">
        <w:rPr>
          <w:rFonts w:ascii="Calibri" w:hAnsi="Calibri" w:cs="Calibri"/>
          <w:b/>
          <w:spacing w:val="-6"/>
          <w:sz w:val="28"/>
        </w:rPr>
        <w:t>Adds</w:t>
      </w:r>
      <w:r w:rsidR="003A22A9" w:rsidRPr="00DD7BD1">
        <w:rPr>
          <w:rFonts w:ascii="Calibri" w:hAnsi="Calibri" w:cs="Calibri"/>
          <w:b/>
          <w:spacing w:val="-9"/>
          <w:sz w:val="28"/>
        </w:rPr>
        <w:t xml:space="preserve"> </w:t>
      </w:r>
      <w:r w:rsidR="003A22A9" w:rsidRPr="00DD7BD1">
        <w:rPr>
          <w:rFonts w:ascii="Calibri" w:hAnsi="Calibri" w:cs="Calibri"/>
          <w:b/>
          <w:spacing w:val="-6"/>
          <w:sz w:val="28"/>
        </w:rPr>
        <w:t>Protections</w:t>
      </w:r>
      <w:r w:rsidR="003A22A9" w:rsidRPr="00DD7BD1">
        <w:rPr>
          <w:rFonts w:ascii="Calibri" w:hAnsi="Calibri" w:cs="Calibri"/>
          <w:b/>
          <w:spacing w:val="-12"/>
          <w:sz w:val="28"/>
        </w:rPr>
        <w:t xml:space="preserve"> </w:t>
      </w:r>
      <w:r w:rsidR="003A22A9" w:rsidRPr="00DD7BD1">
        <w:rPr>
          <w:rFonts w:ascii="Calibri" w:hAnsi="Calibri" w:cs="Calibri"/>
          <w:b/>
          <w:spacing w:val="-6"/>
          <w:sz w:val="28"/>
        </w:rPr>
        <w:t>for</w:t>
      </w:r>
      <w:r w:rsidR="003A22A9" w:rsidRPr="00DD7BD1">
        <w:rPr>
          <w:rFonts w:ascii="Calibri" w:hAnsi="Calibri" w:cs="Calibri"/>
          <w:b/>
          <w:spacing w:val="-9"/>
          <w:sz w:val="28"/>
        </w:rPr>
        <w:t xml:space="preserve"> </w:t>
      </w:r>
      <w:r w:rsidR="003A22A9" w:rsidRPr="00DD7BD1">
        <w:rPr>
          <w:rFonts w:ascii="Calibri" w:hAnsi="Calibri" w:cs="Calibri"/>
          <w:b/>
          <w:spacing w:val="-6"/>
          <w:sz w:val="28"/>
        </w:rPr>
        <w:t>Volunteer</w:t>
      </w:r>
      <w:r w:rsidR="003A22A9" w:rsidRPr="00DD7BD1">
        <w:rPr>
          <w:rFonts w:ascii="Calibri" w:hAnsi="Calibri" w:cs="Calibri"/>
          <w:b/>
          <w:spacing w:val="-9"/>
          <w:sz w:val="28"/>
        </w:rPr>
        <w:t xml:space="preserve"> </w:t>
      </w:r>
      <w:r w:rsidR="003A22A9" w:rsidRPr="00DD7BD1">
        <w:rPr>
          <w:rFonts w:ascii="Calibri" w:hAnsi="Calibri" w:cs="Calibri"/>
          <w:b/>
          <w:spacing w:val="-6"/>
          <w:sz w:val="28"/>
        </w:rPr>
        <w:t>Firefighters</w:t>
      </w:r>
      <w:r w:rsidR="003A22A9" w:rsidRPr="00DD7BD1">
        <w:rPr>
          <w:rFonts w:ascii="Calibri" w:hAnsi="Calibri" w:cs="Calibri"/>
          <w:b/>
          <w:spacing w:val="-9"/>
          <w:sz w:val="28"/>
        </w:rPr>
        <w:t xml:space="preserve"> </w:t>
      </w:r>
      <w:r w:rsidR="003A22A9" w:rsidRPr="00DD7BD1">
        <w:rPr>
          <w:rFonts w:ascii="Calibri" w:hAnsi="Calibri" w:cs="Calibri"/>
          <w:b/>
          <w:spacing w:val="-6"/>
          <w:sz w:val="28"/>
        </w:rPr>
        <w:t>and</w:t>
      </w:r>
      <w:r w:rsidR="003A22A9" w:rsidRPr="00DD7BD1">
        <w:rPr>
          <w:rFonts w:ascii="Calibri" w:hAnsi="Calibri" w:cs="Calibri"/>
          <w:b/>
          <w:spacing w:val="-12"/>
          <w:sz w:val="28"/>
        </w:rPr>
        <w:t xml:space="preserve"> </w:t>
      </w:r>
      <w:r w:rsidR="003A22A9" w:rsidRPr="00DD7BD1">
        <w:rPr>
          <w:rFonts w:ascii="Calibri" w:hAnsi="Calibri" w:cs="Calibri"/>
          <w:b/>
          <w:spacing w:val="-6"/>
          <w:sz w:val="28"/>
        </w:rPr>
        <w:t>EMTs</w:t>
      </w:r>
      <w:r w:rsidR="003A22A9" w:rsidRPr="00DD7BD1">
        <w:rPr>
          <w:rFonts w:ascii="Calibri" w:hAnsi="Calibri" w:cs="Calibri"/>
          <w:b/>
          <w:spacing w:val="-11"/>
          <w:sz w:val="28"/>
        </w:rPr>
        <w:t xml:space="preserve"> </w:t>
      </w:r>
      <w:r w:rsidR="003A22A9" w:rsidRPr="00DD7BD1">
        <w:rPr>
          <w:rFonts w:ascii="Calibri" w:hAnsi="Calibri" w:cs="Calibri"/>
          <w:b/>
          <w:spacing w:val="-6"/>
          <w:sz w:val="28"/>
        </w:rPr>
        <w:t>–</w:t>
      </w:r>
      <w:r w:rsidR="003A22A9" w:rsidRPr="00DD7BD1">
        <w:rPr>
          <w:rFonts w:ascii="Calibri" w:hAnsi="Calibri" w:cs="Calibri"/>
          <w:b/>
          <w:spacing w:val="-11"/>
          <w:sz w:val="28"/>
        </w:rPr>
        <w:t xml:space="preserve"> </w:t>
      </w:r>
      <w:r w:rsidR="003A22A9" w:rsidRPr="00DD7BD1">
        <w:rPr>
          <w:rFonts w:ascii="Calibri" w:hAnsi="Calibri" w:cs="Calibri"/>
          <w:b/>
          <w:color w:val="C00000"/>
          <w:spacing w:val="-6"/>
          <w:sz w:val="28"/>
        </w:rPr>
        <w:t>Eff</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Oct</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 xml:space="preserve">1, </w:t>
      </w:r>
      <w:r w:rsidR="003A22A9" w:rsidRPr="00DD7BD1">
        <w:rPr>
          <w:rFonts w:ascii="Calibri" w:hAnsi="Calibri" w:cs="Calibri"/>
          <w:b/>
          <w:color w:val="C00000"/>
          <w:spacing w:val="-4"/>
          <w:sz w:val="28"/>
        </w:rPr>
        <w:t>2025</w:t>
      </w:r>
    </w:p>
    <w:p w14:paraId="6D9E5DB9" w14:textId="77777777" w:rsidR="003A22A9" w:rsidRPr="00DD7BD1" w:rsidRDefault="003A22A9" w:rsidP="003A22A9">
      <w:pPr>
        <w:pStyle w:val="BodyText"/>
        <w:spacing w:after="0" w:line="240" w:lineRule="auto"/>
        <w:ind w:right="-187"/>
        <w:jc w:val="left"/>
        <w:rPr>
          <w:rFonts w:cs="Calibri"/>
          <w:color w:val="auto"/>
          <w:szCs w:val="22"/>
        </w:rPr>
      </w:pPr>
      <w:hyperlink r:id="rId811">
        <w:r w:rsidRPr="00DD7BD1">
          <w:rPr>
            <w:rFonts w:cs="Calibri"/>
            <w:color w:val="0000FF"/>
            <w:w w:val="110"/>
            <w:szCs w:val="22"/>
            <w:u w:val="single" w:color="0000FF"/>
          </w:rPr>
          <w:t>MT</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128</w:t>
        </w:r>
      </w:hyperlink>
      <w:r w:rsidRPr="00DD7BD1">
        <w:rPr>
          <w:rFonts w:cs="Calibri"/>
          <w:color w:val="0000FF"/>
          <w:spacing w:val="-14"/>
          <w:w w:val="110"/>
          <w:szCs w:val="22"/>
        </w:rPr>
        <w:t xml:space="preserve"> </w:t>
      </w:r>
      <w:r w:rsidRPr="00DD7BD1">
        <w:rPr>
          <w:rFonts w:cs="Calibri"/>
          <w:color w:val="auto"/>
          <w:w w:val="110"/>
          <w:szCs w:val="22"/>
        </w:rPr>
        <w:t>was</w:t>
      </w:r>
      <w:r w:rsidRPr="00DD7BD1">
        <w:rPr>
          <w:rFonts w:cs="Calibri"/>
          <w:color w:val="auto"/>
          <w:spacing w:val="-7"/>
          <w:w w:val="110"/>
          <w:szCs w:val="22"/>
        </w:rPr>
        <w:t xml:space="preserve"> </w:t>
      </w:r>
      <w:r w:rsidRPr="00DD7BD1">
        <w:rPr>
          <w:rFonts w:cs="Calibri"/>
          <w:color w:val="auto"/>
          <w:w w:val="110"/>
          <w:szCs w:val="22"/>
        </w:rPr>
        <w:t>signed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governor</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8"/>
          <w:w w:val="110"/>
          <w:szCs w:val="22"/>
        </w:rPr>
        <w:t xml:space="preserve"> </w:t>
      </w:r>
      <w:r w:rsidRPr="00DD7BD1">
        <w:rPr>
          <w:rFonts w:cs="Calibri"/>
          <w:color w:val="auto"/>
          <w:w w:val="110"/>
          <w:szCs w:val="22"/>
        </w:rPr>
        <w:t>April</w:t>
      </w:r>
      <w:r w:rsidRPr="00DD7BD1">
        <w:rPr>
          <w:rFonts w:cs="Calibri"/>
          <w:color w:val="auto"/>
          <w:spacing w:val="-8"/>
          <w:w w:val="110"/>
          <w:szCs w:val="22"/>
        </w:rPr>
        <w:t xml:space="preserve"> </w:t>
      </w:r>
      <w:r w:rsidRPr="00DD7BD1">
        <w:rPr>
          <w:rFonts w:cs="Calibri"/>
          <w:color w:val="auto"/>
          <w:w w:val="110"/>
          <w:szCs w:val="22"/>
        </w:rPr>
        <w:t>16,</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Beginning</w:t>
      </w:r>
      <w:r w:rsidRPr="00DD7BD1">
        <w:rPr>
          <w:rFonts w:cs="Calibri"/>
          <w:color w:val="auto"/>
          <w:spacing w:val="-8"/>
          <w:w w:val="110"/>
          <w:szCs w:val="22"/>
        </w:rPr>
        <w:t xml:space="preserve"> </w:t>
      </w:r>
      <w:r w:rsidRPr="00DD7BD1">
        <w:rPr>
          <w:rFonts w:cs="Calibri"/>
          <w:color w:val="auto"/>
          <w:w w:val="110"/>
          <w:szCs w:val="22"/>
        </w:rPr>
        <w:t>October</w:t>
      </w:r>
      <w:r w:rsidRPr="00DD7BD1">
        <w:rPr>
          <w:rFonts w:cs="Calibri"/>
          <w:color w:val="auto"/>
          <w:spacing w:val="-7"/>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2025,</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sizes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8"/>
          <w:w w:val="110"/>
          <w:szCs w:val="22"/>
        </w:rPr>
        <w:t xml:space="preserve"> </w:t>
      </w:r>
      <w:r w:rsidRPr="00DD7BD1">
        <w:rPr>
          <w:rFonts w:cs="Calibri"/>
          <w:color w:val="auto"/>
          <w:spacing w:val="-5"/>
          <w:w w:val="110"/>
          <w:szCs w:val="22"/>
        </w:rPr>
        <w:t>be</w:t>
      </w:r>
      <w:r w:rsidRPr="00DD7BD1">
        <w:rPr>
          <w:rFonts w:cs="Calibri"/>
          <w:color w:val="auto"/>
          <w:szCs w:val="22"/>
        </w:rPr>
        <w:t xml:space="preserve"> </w:t>
      </w:r>
      <w:r w:rsidRPr="00DD7BD1">
        <w:rPr>
          <w:rFonts w:cs="Calibri"/>
          <w:color w:val="auto"/>
          <w:spacing w:val="-2"/>
          <w:w w:val="110"/>
          <w:szCs w:val="22"/>
        </w:rPr>
        <w:t>prohibited</w:t>
      </w:r>
      <w:r w:rsidRPr="00DD7BD1">
        <w:rPr>
          <w:rFonts w:cs="Calibri"/>
          <w:color w:val="auto"/>
          <w:spacing w:val="-6"/>
          <w:w w:val="110"/>
          <w:szCs w:val="22"/>
        </w:rPr>
        <w:t xml:space="preserve"> </w:t>
      </w:r>
      <w:r w:rsidRPr="00DD7BD1">
        <w:rPr>
          <w:rFonts w:cs="Calibri"/>
          <w:color w:val="auto"/>
          <w:spacing w:val="-2"/>
          <w:w w:val="110"/>
          <w:szCs w:val="22"/>
        </w:rPr>
        <w:t>from</w:t>
      </w:r>
      <w:r w:rsidRPr="00DD7BD1">
        <w:rPr>
          <w:rFonts w:cs="Calibri"/>
          <w:color w:val="auto"/>
          <w:spacing w:val="-1"/>
          <w:w w:val="110"/>
          <w:szCs w:val="22"/>
        </w:rPr>
        <w:t xml:space="preserve"> </w:t>
      </w:r>
      <w:r w:rsidRPr="00DD7BD1">
        <w:rPr>
          <w:rFonts w:cs="Calibri"/>
          <w:color w:val="auto"/>
          <w:spacing w:val="-2"/>
          <w:w w:val="110"/>
          <w:szCs w:val="22"/>
        </w:rPr>
        <w:t>terminating</w:t>
      </w:r>
      <w:r w:rsidRPr="00DD7BD1">
        <w:rPr>
          <w:rFonts w:cs="Calibri"/>
          <w:color w:val="auto"/>
          <w:spacing w:val="-4"/>
          <w:w w:val="110"/>
          <w:szCs w:val="22"/>
        </w:rPr>
        <w:t xml:space="preserve"> </w:t>
      </w:r>
      <w:r w:rsidRPr="00DD7BD1">
        <w:rPr>
          <w:rFonts w:cs="Calibri"/>
          <w:color w:val="auto"/>
          <w:spacing w:val="-2"/>
          <w:w w:val="110"/>
          <w:szCs w:val="22"/>
        </w:rPr>
        <w:t>employees</w:t>
      </w:r>
      <w:r w:rsidRPr="00DD7BD1">
        <w:rPr>
          <w:rFonts w:cs="Calibri"/>
          <w:color w:val="auto"/>
          <w:spacing w:val="-3"/>
          <w:w w:val="110"/>
          <w:szCs w:val="22"/>
        </w:rPr>
        <w:t xml:space="preserve"> </w:t>
      </w:r>
      <w:r w:rsidRPr="00DD7BD1">
        <w:rPr>
          <w:rFonts w:cs="Calibri"/>
          <w:color w:val="auto"/>
          <w:spacing w:val="-2"/>
          <w:w w:val="110"/>
          <w:szCs w:val="22"/>
        </w:rPr>
        <w:t>because they’re volunteer</w:t>
      </w:r>
      <w:r w:rsidRPr="00DD7BD1">
        <w:rPr>
          <w:rFonts w:cs="Calibri"/>
          <w:color w:val="auto"/>
          <w:spacing w:val="-6"/>
          <w:w w:val="110"/>
          <w:szCs w:val="22"/>
        </w:rPr>
        <w:t xml:space="preserve"> </w:t>
      </w:r>
      <w:r w:rsidRPr="00DD7BD1">
        <w:rPr>
          <w:rFonts w:cs="Calibri"/>
          <w:color w:val="auto"/>
          <w:spacing w:val="-2"/>
          <w:w w:val="110"/>
          <w:szCs w:val="22"/>
        </w:rPr>
        <w:t>emergency</w:t>
      </w:r>
      <w:r w:rsidRPr="00DD7BD1">
        <w:rPr>
          <w:rFonts w:cs="Calibri"/>
          <w:color w:val="auto"/>
          <w:spacing w:val="-4"/>
          <w:w w:val="110"/>
          <w:szCs w:val="22"/>
        </w:rPr>
        <w:t xml:space="preserve"> </w:t>
      </w:r>
      <w:r w:rsidRPr="00DD7BD1">
        <w:rPr>
          <w:rFonts w:cs="Calibri"/>
          <w:color w:val="auto"/>
          <w:spacing w:val="-2"/>
          <w:w w:val="110"/>
          <w:szCs w:val="22"/>
        </w:rPr>
        <w:t>services</w:t>
      </w:r>
      <w:r w:rsidRPr="00DD7BD1">
        <w:rPr>
          <w:rFonts w:cs="Calibri"/>
          <w:color w:val="auto"/>
          <w:spacing w:val="-1"/>
          <w:w w:val="110"/>
          <w:szCs w:val="22"/>
        </w:rPr>
        <w:t xml:space="preserve"> </w:t>
      </w:r>
      <w:r w:rsidRPr="00DD7BD1">
        <w:rPr>
          <w:rFonts w:cs="Calibri"/>
          <w:color w:val="auto"/>
          <w:spacing w:val="-2"/>
          <w:w w:val="110"/>
          <w:szCs w:val="22"/>
        </w:rPr>
        <w:t>providers.</w:t>
      </w:r>
    </w:p>
    <w:p w14:paraId="6F7E7EBC" w14:textId="77777777" w:rsidR="003A22A9" w:rsidRPr="00DD7BD1" w:rsidRDefault="003A22A9" w:rsidP="003A22A9">
      <w:pPr>
        <w:pStyle w:val="BodyText"/>
        <w:spacing w:after="0" w:line="240" w:lineRule="auto"/>
        <w:ind w:right="-187"/>
        <w:jc w:val="left"/>
        <w:rPr>
          <w:rFonts w:cs="Calibri"/>
          <w:color w:val="auto"/>
          <w:szCs w:val="22"/>
        </w:rPr>
      </w:pPr>
    </w:p>
    <w:p w14:paraId="62D0EE4D"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t>Employers</w:t>
      </w:r>
      <w:r w:rsidRPr="00DD7BD1">
        <w:rPr>
          <w:rFonts w:cs="Calibri"/>
          <w:color w:val="auto"/>
          <w:spacing w:val="-18"/>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prohibited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5"/>
          <w:w w:val="110"/>
          <w:szCs w:val="22"/>
        </w:rPr>
        <w:t xml:space="preserve"> </w:t>
      </w:r>
      <w:r w:rsidRPr="00DD7BD1">
        <w:rPr>
          <w:rFonts w:cs="Calibri"/>
          <w:color w:val="auto"/>
          <w:w w:val="110"/>
          <w:szCs w:val="22"/>
        </w:rPr>
        <w:t>terminating</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when</w:t>
      </w:r>
      <w:r w:rsidRPr="00DD7BD1">
        <w:rPr>
          <w:rFonts w:cs="Calibri"/>
          <w:color w:val="auto"/>
          <w:spacing w:val="-15"/>
          <w:w w:val="110"/>
          <w:szCs w:val="22"/>
        </w:rPr>
        <w:t xml:space="preserve"> </w:t>
      </w:r>
      <w:r w:rsidRPr="00DD7BD1">
        <w:rPr>
          <w:rFonts w:cs="Calibri"/>
          <w:color w:val="auto"/>
          <w:w w:val="110"/>
          <w:szCs w:val="22"/>
        </w:rPr>
        <w:t>they’re</w:t>
      </w:r>
      <w:r w:rsidRPr="00DD7BD1">
        <w:rPr>
          <w:rFonts w:cs="Calibri"/>
          <w:color w:val="auto"/>
          <w:spacing w:val="-14"/>
          <w:w w:val="110"/>
          <w:szCs w:val="22"/>
        </w:rPr>
        <w:t xml:space="preserve"> </w:t>
      </w:r>
      <w:r w:rsidRPr="00DD7BD1">
        <w:rPr>
          <w:rFonts w:cs="Calibri"/>
          <w:color w:val="auto"/>
          <w:w w:val="110"/>
          <w:szCs w:val="22"/>
        </w:rPr>
        <w:t>late</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work</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absent</w:t>
      </w:r>
      <w:r w:rsidRPr="00DD7BD1">
        <w:rPr>
          <w:rFonts w:cs="Calibri"/>
          <w:color w:val="auto"/>
          <w:spacing w:val="-16"/>
          <w:w w:val="110"/>
          <w:szCs w:val="22"/>
        </w:rPr>
        <w:t xml:space="preserve"> </w:t>
      </w:r>
      <w:r w:rsidRPr="00DD7BD1">
        <w:rPr>
          <w:rFonts w:cs="Calibri"/>
          <w:color w:val="auto"/>
          <w:w w:val="110"/>
          <w:szCs w:val="22"/>
        </w:rPr>
        <w:t>due</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acting</w:t>
      </w:r>
      <w:r w:rsidRPr="00DD7BD1">
        <w:rPr>
          <w:rFonts w:cs="Calibri"/>
          <w:color w:val="auto"/>
          <w:spacing w:val="-15"/>
          <w:w w:val="110"/>
          <w:szCs w:val="22"/>
        </w:rPr>
        <w:t xml:space="preserve"> </w:t>
      </w:r>
      <w:r w:rsidRPr="00DD7BD1">
        <w:rPr>
          <w:rFonts w:cs="Calibri"/>
          <w:color w:val="auto"/>
          <w:spacing w:val="-5"/>
          <w:w w:val="110"/>
          <w:szCs w:val="22"/>
        </w:rPr>
        <w:t xml:space="preserve">in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capacity.</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i/>
          <w:color w:val="auto"/>
          <w:w w:val="110"/>
          <w:szCs w:val="22"/>
        </w:rPr>
        <w:t>volunteer</w:t>
      </w:r>
      <w:r w:rsidRPr="00DD7BD1">
        <w:rPr>
          <w:rFonts w:cs="Calibri"/>
          <w:i/>
          <w:color w:val="auto"/>
          <w:spacing w:val="-7"/>
          <w:w w:val="110"/>
          <w:szCs w:val="22"/>
        </w:rPr>
        <w:t xml:space="preserve"> </w:t>
      </w:r>
      <w:r w:rsidRPr="00DD7BD1">
        <w:rPr>
          <w:rFonts w:cs="Calibri"/>
          <w:i/>
          <w:color w:val="auto"/>
          <w:w w:val="110"/>
          <w:szCs w:val="22"/>
        </w:rPr>
        <w:t>emergency</w:t>
      </w:r>
      <w:r w:rsidRPr="00DD7BD1">
        <w:rPr>
          <w:rFonts w:cs="Calibri"/>
          <w:i/>
          <w:color w:val="auto"/>
          <w:spacing w:val="-7"/>
          <w:w w:val="110"/>
          <w:szCs w:val="22"/>
        </w:rPr>
        <w:t xml:space="preserve"> </w:t>
      </w:r>
      <w:r w:rsidRPr="00DD7BD1">
        <w:rPr>
          <w:rFonts w:cs="Calibri"/>
          <w:i/>
          <w:color w:val="auto"/>
          <w:w w:val="110"/>
          <w:szCs w:val="22"/>
        </w:rPr>
        <w:t>services</w:t>
      </w:r>
      <w:r w:rsidRPr="00DD7BD1">
        <w:rPr>
          <w:rFonts w:cs="Calibri"/>
          <w:i/>
          <w:color w:val="auto"/>
          <w:spacing w:val="-7"/>
          <w:w w:val="110"/>
          <w:szCs w:val="22"/>
        </w:rPr>
        <w:t xml:space="preserve"> </w:t>
      </w:r>
      <w:r w:rsidRPr="00DD7BD1">
        <w:rPr>
          <w:rFonts w:cs="Calibri"/>
          <w:i/>
          <w:color w:val="auto"/>
          <w:w w:val="110"/>
          <w:szCs w:val="22"/>
        </w:rPr>
        <w:t>provider</w:t>
      </w:r>
      <w:r w:rsidRPr="00DD7BD1">
        <w:rPr>
          <w:rFonts w:cs="Calibri"/>
          <w:i/>
          <w:color w:val="auto"/>
          <w:spacing w:val="6"/>
          <w:w w:val="110"/>
          <w:szCs w:val="22"/>
        </w:rPr>
        <w:t xml:space="preserve"> </w:t>
      </w:r>
      <w:r w:rsidRPr="00DD7BD1">
        <w:rPr>
          <w:rFonts w:cs="Calibri"/>
          <w:color w:val="auto"/>
          <w:w w:val="110"/>
          <w:szCs w:val="22"/>
        </w:rPr>
        <w:t>means</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firefighter</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medical</w:t>
      </w:r>
      <w:r w:rsidRPr="00DD7BD1">
        <w:rPr>
          <w:rFonts w:cs="Calibri"/>
          <w:color w:val="auto"/>
          <w:spacing w:val="-8"/>
          <w:w w:val="110"/>
          <w:szCs w:val="22"/>
        </w:rPr>
        <w:t xml:space="preserve"> </w:t>
      </w:r>
      <w:r w:rsidRPr="00DD7BD1">
        <w:rPr>
          <w:rFonts w:cs="Calibri"/>
          <w:color w:val="auto"/>
          <w:spacing w:val="-2"/>
          <w:w w:val="110"/>
          <w:szCs w:val="22"/>
        </w:rPr>
        <w:t>technician.</w:t>
      </w:r>
    </w:p>
    <w:p w14:paraId="0452F17E" w14:textId="77777777" w:rsidR="003A22A9" w:rsidRPr="00DD7BD1" w:rsidRDefault="003A22A9" w:rsidP="003A22A9">
      <w:pPr>
        <w:pStyle w:val="BodyText"/>
        <w:spacing w:after="0" w:line="240" w:lineRule="auto"/>
        <w:ind w:right="-187"/>
        <w:jc w:val="left"/>
        <w:rPr>
          <w:rFonts w:cs="Calibri"/>
          <w:color w:val="auto"/>
          <w:w w:val="110"/>
          <w:sz w:val="16"/>
          <w:szCs w:val="16"/>
        </w:rPr>
      </w:pPr>
    </w:p>
    <w:p w14:paraId="7D07295D" w14:textId="77777777"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4"/>
          <w:w w:val="110"/>
          <w:szCs w:val="22"/>
        </w:rPr>
        <w:t xml:space="preserve"> </w:t>
      </w:r>
      <w:r w:rsidRPr="00DD7BD1">
        <w:rPr>
          <w:rFonts w:cs="Calibri"/>
          <w:color w:val="auto"/>
          <w:w w:val="110"/>
          <w:szCs w:val="22"/>
        </w:rPr>
        <w:t>decide</w:t>
      </w:r>
      <w:r w:rsidRPr="00DD7BD1">
        <w:rPr>
          <w:rFonts w:cs="Calibri"/>
          <w:color w:val="auto"/>
          <w:spacing w:val="-14"/>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respond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emergency</w:t>
      </w:r>
      <w:r w:rsidRPr="00DD7BD1">
        <w:rPr>
          <w:rFonts w:cs="Calibri"/>
          <w:color w:val="auto"/>
          <w:spacing w:val="-14"/>
          <w:w w:val="110"/>
          <w:szCs w:val="22"/>
        </w:rPr>
        <w:t xml:space="preserve"> </w:t>
      </w:r>
      <w:r w:rsidRPr="00DD7BD1">
        <w:rPr>
          <w:rFonts w:cs="Calibri"/>
          <w:color w:val="auto"/>
          <w:w w:val="110"/>
          <w:szCs w:val="22"/>
        </w:rPr>
        <w:t>if</w:t>
      </w:r>
      <w:r w:rsidRPr="00DD7BD1">
        <w:rPr>
          <w:rFonts w:cs="Calibri"/>
          <w:color w:val="auto"/>
          <w:spacing w:val="-15"/>
          <w:w w:val="110"/>
          <w:szCs w:val="22"/>
        </w:rPr>
        <w:t xml:space="preserve"> </w:t>
      </w:r>
      <w:r w:rsidRPr="00DD7BD1">
        <w:rPr>
          <w:rFonts w:cs="Calibri"/>
          <w:color w:val="auto"/>
          <w:w w:val="110"/>
          <w:szCs w:val="22"/>
        </w:rPr>
        <w:t>they’ve</w:t>
      </w:r>
      <w:r w:rsidRPr="00DD7BD1">
        <w:rPr>
          <w:rFonts w:cs="Calibri"/>
          <w:color w:val="auto"/>
          <w:spacing w:val="-14"/>
          <w:w w:val="110"/>
          <w:szCs w:val="22"/>
        </w:rPr>
        <w:t xml:space="preserve"> </w:t>
      </w:r>
      <w:r w:rsidRPr="00DD7BD1">
        <w:rPr>
          <w:rFonts w:cs="Calibri"/>
          <w:color w:val="auto"/>
          <w:w w:val="110"/>
          <w:szCs w:val="22"/>
        </w:rPr>
        <w:t>already started</w:t>
      </w:r>
      <w:r w:rsidRPr="00DD7BD1">
        <w:rPr>
          <w:rFonts w:cs="Calibri"/>
          <w:color w:val="auto"/>
          <w:spacing w:val="-11"/>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workday.</w:t>
      </w:r>
      <w:r w:rsidRPr="00DD7BD1">
        <w:rPr>
          <w:rFonts w:cs="Calibri"/>
          <w:color w:val="auto"/>
          <w:spacing w:val="-12"/>
          <w:w w:val="110"/>
          <w:szCs w:val="22"/>
        </w:rPr>
        <w:t xml:space="preserve"> </w:t>
      </w:r>
      <w:r w:rsidRPr="00DD7BD1">
        <w:rPr>
          <w:rFonts w:cs="Calibri"/>
          <w:color w:val="auto"/>
          <w:w w:val="110"/>
          <w:szCs w:val="22"/>
        </w:rPr>
        <w:t>Additionally,</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require</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request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receive</w:t>
      </w:r>
      <w:r w:rsidRPr="00DD7BD1">
        <w:rPr>
          <w:rFonts w:cs="Calibri"/>
          <w:color w:val="auto"/>
          <w:spacing w:val="-11"/>
          <w:w w:val="110"/>
          <w:szCs w:val="22"/>
        </w:rPr>
        <w:t xml:space="preserve"> </w:t>
      </w:r>
      <w:r w:rsidRPr="00DD7BD1">
        <w:rPr>
          <w:rFonts w:cs="Calibri"/>
          <w:color w:val="auto"/>
          <w:w w:val="110"/>
          <w:szCs w:val="22"/>
        </w:rPr>
        <w:t>permission</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late or</w:t>
      </w:r>
      <w:r w:rsidRPr="00DD7BD1">
        <w:rPr>
          <w:rFonts w:cs="Calibri"/>
          <w:color w:val="auto"/>
          <w:spacing w:val="-6"/>
          <w:w w:val="110"/>
          <w:szCs w:val="22"/>
        </w:rPr>
        <w:t xml:space="preserve"> </w:t>
      </w:r>
      <w:r w:rsidRPr="00DD7BD1">
        <w:rPr>
          <w:rFonts w:cs="Calibri"/>
          <w:color w:val="auto"/>
          <w:w w:val="110"/>
          <w:szCs w:val="22"/>
        </w:rPr>
        <w:t>absent</w:t>
      </w:r>
      <w:r w:rsidRPr="00DD7BD1">
        <w:rPr>
          <w:rFonts w:cs="Calibri"/>
          <w:color w:val="auto"/>
          <w:spacing w:val="-6"/>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6"/>
          <w:w w:val="110"/>
          <w:szCs w:val="22"/>
        </w:rPr>
        <w:t xml:space="preserve"> </w:t>
      </w:r>
      <w:r w:rsidRPr="00DD7BD1">
        <w:rPr>
          <w:rFonts w:cs="Calibri"/>
          <w:color w:val="auto"/>
          <w:w w:val="110"/>
          <w:szCs w:val="22"/>
        </w:rPr>
        <w:t>absence</w:t>
      </w:r>
      <w:r w:rsidRPr="00DD7BD1">
        <w:rPr>
          <w:rFonts w:cs="Calibri"/>
          <w:color w:val="auto"/>
          <w:spacing w:val="-5"/>
          <w:w w:val="110"/>
          <w:szCs w:val="22"/>
        </w:rPr>
        <w:t xml:space="preserve"> </w:t>
      </w:r>
      <w:r w:rsidRPr="00DD7BD1">
        <w:rPr>
          <w:rFonts w:cs="Calibri"/>
          <w:color w:val="auto"/>
          <w:w w:val="110"/>
          <w:szCs w:val="22"/>
        </w:rPr>
        <w:t>would</w:t>
      </w:r>
      <w:r w:rsidRPr="00DD7BD1">
        <w:rPr>
          <w:rFonts w:cs="Calibri"/>
          <w:color w:val="auto"/>
          <w:spacing w:val="-6"/>
          <w:w w:val="110"/>
          <w:szCs w:val="22"/>
        </w:rPr>
        <w:t xml:space="preserve"> </w:t>
      </w:r>
      <w:r w:rsidRPr="00DD7BD1">
        <w:rPr>
          <w:rFonts w:cs="Calibri"/>
          <w:color w:val="auto"/>
          <w:w w:val="110"/>
          <w:szCs w:val="22"/>
        </w:rPr>
        <w:t>pose</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risk</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6"/>
          <w:w w:val="110"/>
          <w:szCs w:val="22"/>
        </w:rPr>
        <w:t xml:space="preserve"> </w:t>
      </w:r>
      <w:r w:rsidRPr="00DD7BD1">
        <w:rPr>
          <w:rFonts w:cs="Calibri"/>
          <w:color w:val="auto"/>
          <w:w w:val="110"/>
          <w:szCs w:val="22"/>
        </w:rPr>
        <w:t>safety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prevent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performing</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 xml:space="preserve">essential function. Employers don’t need to extend these protections to employees in their probationary period but certainly </w:t>
      </w:r>
      <w:r w:rsidRPr="00DD7BD1">
        <w:rPr>
          <w:rFonts w:cs="Calibri"/>
          <w:i/>
          <w:color w:val="auto"/>
          <w:w w:val="110"/>
          <w:szCs w:val="22"/>
        </w:rPr>
        <w:t xml:space="preserve">can </w:t>
      </w:r>
      <w:r w:rsidRPr="00DD7BD1">
        <w:rPr>
          <w:rFonts w:cs="Calibri"/>
          <w:color w:val="auto"/>
          <w:w w:val="110"/>
          <w:szCs w:val="22"/>
        </w:rPr>
        <w:t>in the interest of public safety.</w:t>
      </w:r>
    </w:p>
    <w:p w14:paraId="16CAD6A4" w14:textId="77777777" w:rsidR="003A22A9" w:rsidRPr="00DD7BD1" w:rsidRDefault="003A22A9" w:rsidP="003A22A9">
      <w:pPr>
        <w:pStyle w:val="BodyText"/>
        <w:spacing w:after="0" w:line="240" w:lineRule="auto"/>
        <w:ind w:right="-187"/>
        <w:jc w:val="left"/>
        <w:rPr>
          <w:rFonts w:cs="Calibri"/>
          <w:color w:val="auto"/>
          <w:sz w:val="16"/>
          <w:szCs w:val="16"/>
        </w:rPr>
      </w:pPr>
    </w:p>
    <w:p w14:paraId="7E98FCCF"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t>Employers can require notice that an employee is a volunteer emergency service provider and can also request</w:t>
      </w:r>
      <w:r w:rsidRPr="00DD7BD1">
        <w:rPr>
          <w:rFonts w:cs="Calibri"/>
          <w:color w:val="auto"/>
          <w:spacing w:val="-1"/>
          <w:w w:val="110"/>
          <w:szCs w:val="22"/>
        </w:rPr>
        <w:t xml:space="preserve"> </w:t>
      </w:r>
      <w:r w:rsidRPr="00DD7BD1">
        <w:rPr>
          <w:rFonts w:cs="Calibri"/>
          <w:color w:val="auto"/>
          <w:w w:val="110"/>
          <w:szCs w:val="22"/>
        </w:rPr>
        <w:t>a note</w:t>
      </w:r>
      <w:r w:rsidRPr="00DD7BD1">
        <w:rPr>
          <w:rFonts w:cs="Calibri"/>
          <w:color w:val="auto"/>
          <w:spacing w:val="-3"/>
          <w:w w:val="110"/>
          <w:szCs w:val="22"/>
        </w:rPr>
        <w:t xml:space="preserve"> </w:t>
      </w:r>
      <w:r w:rsidRPr="00DD7BD1">
        <w:rPr>
          <w:rFonts w:cs="Calibri"/>
          <w:color w:val="auto"/>
          <w:w w:val="110"/>
          <w:szCs w:val="22"/>
        </w:rPr>
        <w:t>from</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emergency</w:t>
      </w:r>
      <w:r w:rsidRPr="00DD7BD1">
        <w:rPr>
          <w:rFonts w:cs="Calibri"/>
          <w:color w:val="auto"/>
          <w:spacing w:val="-2"/>
          <w:w w:val="110"/>
          <w:szCs w:val="22"/>
        </w:rPr>
        <w:t xml:space="preserve"> </w:t>
      </w:r>
      <w:r w:rsidRPr="00DD7BD1">
        <w:rPr>
          <w:rFonts w:cs="Calibri"/>
          <w:color w:val="auto"/>
          <w:w w:val="110"/>
          <w:szCs w:val="22"/>
        </w:rPr>
        <w:t>response</w:t>
      </w:r>
      <w:r w:rsidRPr="00DD7BD1">
        <w:rPr>
          <w:rFonts w:cs="Calibri"/>
          <w:color w:val="auto"/>
          <w:spacing w:val="-5"/>
          <w:w w:val="110"/>
          <w:szCs w:val="22"/>
        </w:rPr>
        <w:t xml:space="preserve"> </w:t>
      </w:r>
      <w:r w:rsidRPr="00DD7BD1">
        <w:rPr>
          <w:rFonts w:cs="Calibri"/>
          <w:color w:val="auto"/>
          <w:w w:val="110"/>
          <w:szCs w:val="22"/>
        </w:rPr>
        <w:t>supervisor</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they</w:t>
      </w:r>
      <w:r w:rsidRPr="00DD7BD1">
        <w:rPr>
          <w:rFonts w:cs="Calibri"/>
          <w:color w:val="auto"/>
          <w:spacing w:val="-2"/>
          <w:w w:val="110"/>
          <w:szCs w:val="22"/>
        </w:rPr>
        <w:t xml:space="preserve"> </w:t>
      </w:r>
      <w:r w:rsidRPr="00DD7BD1">
        <w:rPr>
          <w:rFonts w:cs="Calibri"/>
          <w:color w:val="auto"/>
          <w:w w:val="110"/>
          <w:szCs w:val="22"/>
        </w:rPr>
        <w:t>missed</w:t>
      </w:r>
      <w:r w:rsidRPr="00DD7BD1">
        <w:rPr>
          <w:rFonts w:cs="Calibri"/>
          <w:color w:val="auto"/>
          <w:spacing w:val="-3"/>
          <w:w w:val="110"/>
          <w:szCs w:val="22"/>
        </w:rPr>
        <w:t xml:space="preserve"> </w:t>
      </w:r>
      <w:r w:rsidRPr="00DD7BD1">
        <w:rPr>
          <w:rFonts w:cs="Calibri"/>
          <w:color w:val="auto"/>
          <w:w w:val="110"/>
          <w:szCs w:val="22"/>
        </w:rPr>
        <w:t>work</w:t>
      </w:r>
      <w:r w:rsidRPr="00DD7BD1">
        <w:rPr>
          <w:rFonts w:cs="Calibri"/>
          <w:color w:val="auto"/>
          <w:spacing w:val="-3"/>
          <w:w w:val="110"/>
          <w:szCs w:val="22"/>
        </w:rPr>
        <w:t xml:space="preserve"> </w:t>
      </w:r>
      <w:r w:rsidRPr="00DD7BD1">
        <w:rPr>
          <w:rFonts w:cs="Calibri"/>
          <w:color w:val="auto"/>
          <w:w w:val="110"/>
          <w:szCs w:val="22"/>
        </w:rPr>
        <w:t>during</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given</w:t>
      </w:r>
      <w:r w:rsidRPr="00DD7BD1">
        <w:rPr>
          <w:rFonts w:cs="Calibri"/>
          <w:color w:val="auto"/>
          <w:spacing w:val="-3"/>
          <w:w w:val="110"/>
          <w:szCs w:val="22"/>
        </w:rPr>
        <w:t xml:space="preserve"> </w:t>
      </w:r>
      <w:r w:rsidRPr="00DD7BD1">
        <w:rPr>
          <w:rFonts w:cs="Calibri"/>
          <w:color w:val="auto"/>
          <w:w w:val="110"/>
          <w:szCs w:val="22"/>
        </w:rPr>
        <w:t>day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time</w:t>
      </w:r>
      <w:r w:rsidRPr="00DD7BD1">
        <w:rPr>
          <w:rFonts w:cs="Calibri"/>
          <w:color w:val="auto"/>
          <w:spacing w:val="-3"/>
          <w:w w:val="110"/>
          <w:szCs w:val="22"/>
        </w:rPr>
        <w:t xml:space="preserve"> </w:t>
      </w:r>
      <w:r w:rsidRPr="00DD7BD1">
        <w:rPr>
          <w:rFonts w:cs="Calibri"/>
          <w:color w:val="auto"/>
          <w:w w:val="110"/>
          <w:szCs w:val="22"/>
        </w:rPr>
        <w:t>due to</w:t>
      </w:r>
      <w:r w:rsidRPr="00DD7BD1">
        <w:rPr>
          <w:rFonts w:cs="Calibri"/>
          <w:color w:val="auto"/>
          <w:spacing w:val="-2"/>
          <w:w w:val="110"/>
          <w:szCs w:val="22"/>
        </w:rPr>
        <w:t xml:space="preserve"> </w:t>
      </w:r>
      <w:r w:rsidRPr="00DD7BD1">
        <w:rPr>
          <w:rFonts w:cs="Calibri"/>
          <w:color w:val="auto"/>
          <w:w w:val="110"/>
          <w:szCs w:val="22"/>
        </w:rPr>
        <w:t>service.</w:t>
      </w:r>
    </w:p>
    <w:p w14:paraId="4E2789FC" w14:textId="77777777" w:rsidR="003A22A9" w:rsidRPr="00DD7BD1" w:rsidRDefault="003A22A9" w:rsidP="003A22A9">
      <w:pPr>
        <w:pStyle w:val="BodyText"/>
        <w:spacing w:after="0" w:line="240" w:lineRule="auto"/>
        <w:ind w:right="-187"/>
        <w:jc w:val="left"/>
        <w:rPr>
          <w:rFonts w:cs="Calibri"/>
          <w:color w:val="auto"/>
          <w:sz w:val="16"/>
          <w:szCs w:val="16"/>
        </w:rPr>
      </w:pPr>
    </w:p>
    <w:p w14:paraId="517403A5" w14:textId="359897EA"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ETC is releasing an updated State Handbook Addendum to address this new state change alongside the Aug/Sept HR</w:t>
      </w:r>
      <w:r w:rsidRPr="00DD7BD1">
        <w:rPr>
          <w:rFonts w:cs="Calibri"/>
          <w:color w:val="auto"/>
          <w:spacing w:val="-2"/>
          <w:w w:val="110"/>
          <w:szCs w:val="22"/>
        </w:rPr>
        <w:t xml:space="preserve"> </w:t>
      </w:r>
      <w:r w:rsidRPr="00DD7BD1">
        <w:rPr>
          <w:rFonts w:cs="Calibri"/>
          <w:color w:val="auto"/>
          <w:w w:val="110"/>
          <w:szCs w:val="22"/>
        </w:rPr>
        <w:t>WIRE.</w:t>
      </w:r>
    </w:p>
    <w:p w14:paraId="7F07F713" w14:textId="77777777" w:rsidR="003A22A9" w:rsidRPr="00DD7BD1" w:rsidRDefault="003A22A9" w:rsidP="003A22A9">
      <w:pPr>
        <w:pStyle w:val="BodyText"/>
        <w:spacing w:after="0" w:line="240" w:lineRule="auto"/>
        <w:ind w:right="-187"/>
        <w:jc w:val="left"/>
        <w:rPr>
          <w:rFonts w:cs="Calibri"/>
          <w:color w:val="auto"/>
          <w:szCs w:val="22"/>
        </w:rPr>
      </w:pPr>
    </w:p>
    <w:p w14:paraId="40479311" w14:textId="3CC0F496"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Protections for Elected Officials – </w:t>
      </w:r>
      <w:r w:rsidRPr="00DD7BD1">
        <w:rPr>
          <w:rFonts w:ascii="Calibri" w:hAnsi="Calibri" w:cs="Calibri"/>
          <w:b/>
          <w:bCs/>
          <w:color w:val="C00000"/>
          <w:sz w:val="28"/>
          <w:szCs w:val="28"/>
          <w:shd w:val="clear" w:color="auto" w:fill="FFFFFF"/>
          <w:lang w:val="en"/>
        </w:rPr>
        <w:t>Retro Effective Date Jan 1, 2025</w:t>
      </w:r>
    </w:p>
    <w:p w14:paraId="379F4BD0" w14:textId="4D4331D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This law was made retroactively effective to January 1, 2025.</w:t>
      </w:r>
    </w:p>
    <w:p w14:paraId="16C8B812" w14:textId="2B688C56" w:rsidR="00F45F26" w:rsidRPr="00DD7BD1" w:rsidRDefault="00F45F26" w:rsidP="00F057A7">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Employers having an elected official leave policy should update their policy. ETC’s State Handbook Addendum does not address elected official leave</w:t>
      </w:r>
    </w:p>
    <w:p w14:paraId="472E0847" w14:textId="5D20B30E"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Nebraska</w:t>
      </w:r>
    </w:p>
    <w:p w14:paraId="12CFE3EF" w14:textId="77777777" w:rsidR="00743C08" w:rsidRPr="00DD7BD1" w:rsidRDefault="00743C08" w:rsidP="00743C08">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4C6815EB" w14:textId="77777777" w:rsidR="00743C08" w:rsidRPr="00DD7BD1" w:rsidRDefault="00743C08" w:rsidP="00743C08">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Nebraska’s minimum wage will increase to $15 per hour. The minimum base wage for tipped employees remains the same at $2.13 per hour. Nebraska’s minimum wage law covers employers with four or more employees, not counting seasonal employees who work for 20 weeks or less in a calendar year.</w:t>
      </w:r>
    </w:p>
    <w:p w14:paraId="0CC8EA44" w14:textId="77777777" w:rsidR="00743C08" w:rsidRPr="00DD7BD1" w:rsidRDefault="00743C08" w:rsidP="00743C08">
      <w:pPr>
        <w:spacing w:after="0" w:line="240" w:lineRule="auto"/>
        <w:jc w:val="center"/>
        <w:rPr>
          <w:rFonts w:ascii="Calibri" w:hAnsi="Calibri" w:cs="Calibri"/>
          <w:b/>
          <w:bCs/>
          <w:shd w:val="clear" w:color="auto" w:fill="FFFFFF"/>
          <w:lang w:val="en"/>
        </w:rPr>
      </w:pPr>
    </w:p>
    <w:p w14:paraId="755910E8" w14:textId="00064D1C" w:rsidR="00F45F26" w:rsidRPr="00DD7BD1" w:rsidRDefault="00F45F26" w:rsidP="00743C0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Regulations – </w:t>
      </w:r>
      <w:r w:rsidRPr="00DD7BD1">
        <w:rPr>
          <w:rFonts w:ascii="Calibri" w:hAnsi="Calibri" w:cs="Calibri"/>
          <w:b/>
          <w:bCs/>
          <w:color w:val="C00000"/>
          <w:sz w:val="28"/>
          <w:szCs w:val="28"/>
          <w:shd w:val="clear" w:color="auto" w:fill="FFFFFF"/>
          <w:lang w:val="en"/>
        </w:rPr>
        <w:t xml:space="preserve">Eff Sept 15 (Notices) &amp; Oct 1 </w:t>
      </w:r>
    </w:p>
    <w:p w14:paraId="64D0DC11" w14:textId="589FC80D" w:rsidR="00F45F26" w:rsidRPr="00DD7BD1" w:rsidRDefault="00F45F26" w:rsidP="00743C0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Nebraska has enacted </w:t>
      </w:r>
      <w:bookmarkStart w:id="122" w:name="_Hlk202782919"/>
      <w:r w:rsidRPr="00DD7BD1">
        <w:rPr>
          <w:rFonts w:ascii="Calibri" w:hAnsi="Calibri" w:cs="Calibri"/>
        </w:rPr>
        <w:fldChar w:fldCharType="begin"/>
      </w:r>
      <w:r w:rsidRPr="00DD7BD1">
        <w:rPr>
          <w:rFonts w:ascii="Calibri" w:hAnsi="Calibri" w:cs="Calibri"/>
        </w:rPr>
        <w:instrText>HYPERLINK "https://nebraskalegislature.gov/FloorDocs/109/PDF/Slip/LB415.pdf"</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Legislative Bill (LB) 415</w:t>
      </w:r>
      <w:r w:rsidRPr="00DD7BD1">
        <w:rPr>
          <w:rFonts w:ascii="Calibri" w:hAnsi="Calibri" w:cs="Calibri"/>
        </w:rPr>
        <w:fldChar w:fldCharType="end"/>
      </w:r>
      <w:r w:rsidRPr="00DD7BD1">
        <w:rPr>
          <w:rFonts w:ascii="Calibri" w:hAnsi="Calibri" w:cs="Calibri"/>
          <w:color w:val="2E74B5" w:themeColor="accent5" w:themeShade="BF"/>
          <w:shd w:val="clear" w:color="auto" w:fill="FFFFFF"/>
        </w:rPr>
        <w:t xml:space="preserve">, </w:t>
      </w:r>
      <w:bookmarkEnd w:id="122"/>
      <w:r w:rsidRPr="00DD7BD1">
        <w:rPr>
          <w:rFonts w:ascii="Calibri" w:hAnsi="Calibri" w:cs="Calibri"/>
          <w:shd w:val="clear" w:color="auto" w:fill="FFFFFF"/>
        </w:rPr>
        <w:t xml:space="preserve">amending its paid sick leave law, the </w:t>
      </w:r>
      <w:hyperlink r:id="rId812"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p>
    <w:p w14:paraId="3AE10AB5" w14:textId="04CA8559"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June 4, 2025, amendments were enacted. </w:t>
      </w:r>
    </w:p>
    <w:p w14:paraId="66649226"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The amendments:</w:t>
      </w:r>
    </w:p>
    <w:p w14:paraId="4971D0FE"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carve out an </w:t>
      </w:r>
      <w:r w:rsidRPr="00DD7BD1">
        <w:rPr>
          <w:rFonts w:ascii="Calibri" w:hAnsi="Calibri" w:cs="Calibri"/>
          <w:u w:val="single"/>
          <w:shd w:val="clear" w:color="auto" w:fill="FFFFFF"/>
        </w:rPr>
        <w:t>exception from the law for employers with 10 employees or fewer</w:t>
      </w:r>
      <w:r w:rsidRPr="00DD7BD1">
        <w:rPr>
          <w:rFonts w:ascii="Calibri" w:hAnsi="Calibri" w:cs="Calibri"/>
          <w:shd w:val="clear" w:color="auto" w:fill="FFFFFF"/>
        </w:rPr>
        <w:t xml:space="preserve">, </w:t>
      </w:r>
    </w:p>
    <w:p w14:paraId="2E6B8C06"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exempt certain workers from coverage,</w:t>
      </w:r>
    </w:p>
    <w:p w14:paraId="6EE77D4C"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 remove workers’ private right of action for employer violations and </w:t>
      </w:r>
    </w:p>
    <w:p w14:paraId="4BD326A1" w14:textId="72BFAB46"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make other employer-friendly changes, discussed below. </w:t>
      </w:r>
    </w:p>
    <w:p w14:paraId="1A29505E" w14:textId="77777777" w:rsidR="00F45F26" w:rsidRPr="00DD7BD1" w:rsidRDefault="00F45F26" w:rsidP="00743C08">
      <w:pPr>
        <w:spacing w:after="0" w:line="240" w:lineRule="auto"/>
        <w:rPr>
          <w:rFonts w:ascii="Calibri" w:hAnsi="Calibri" w:cs="Calibri"/>
          <w:shd w:val="clear" w:color="auto" w:fill="FFFFFF"/>
        </w:rPr>
      </w:pPr>
    </w:p>
    <w:p w14:paraId="7E7DBC8F"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Covered Employers and Employees</w:t>
      </w:r>
    </w:p>
    <w:p w14:paraId="38B7C47E"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change the paid sick leave law so that it applies </w:t>
      </w:r>
      <w:r w:rsidRPr="00DD7BD1">
        <w:rPr>
          <w:rFonts w:ascii="Calibri" w:hAnsi="Calibri" w:cs="Calibri"/>
          <w:u w:val="single"/>
          <w:shd w:val="clear" w:color="auto" w:fill="FFFFFF"/>
        </w:rPr>
        <w:t>only to employers with 11 or more employees</w:t>
      </w:r>
      <w:r w:rsidRPr="00DD7BD1">
        <w:rPr>
          <w:rFonts w:ascii="Calibri" w:hAnsi="Calibri" w:cs="Calibri"/>
          <w:shd w:val="clear" w:color="auto" w:fill="FFFFFF"/>
        </w:rPr>
        <w:t>. Employers with fewer workers are, therefore, exempt from the requirement.</w:t>
      </w:r>
    </w:p>
    <w:p w14:paraId="1A957548" w14:textId="4465EE3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Accrual and Carryover of Leave</w:t>
      </w:r>
    </w:p>
    <w:p w14:paraId="476AD7B8" w14:textId="503CE8B2"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amendments, employees will not begin accruing paid sick leave until they have worked for their employer for 80 hours. </w:t>
      </w:r>
    </w:p>
    <w:p w14:paraId="71395645"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In advance of the effective date, ETC will release the applicable State Handbook addendum.</w:t>
      </w:r>
    </w:p>
    <w:p w14:paraId="3AA616A3" w14:textId="6CA8EB7A" w:rsidR="0095771D" w:rsidRPr="00DD7BD1" w:rsidRDefault="0095771D" w:rsidP="0095771D">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New Earned Paid Sick Time Requirement – </w:t>
      </w:r>
      <w:r w:rsidRPr="00DD7BD1">
        <w:rPr>
          <w:rFonts w:ascii="Calibri" w:hAnsi="Calibri" w:cs="Calibri"/>
          <w:b/>
          <w:bCs/>
          <w:color w:val="C00000"/>
          <w:sz w:val="28"/>
          <w:szCs w:val="28"/>
          <w:shd w:val="clear" w:color="auto" w:fill="FFFFFF"/>
          <w:lang w:val="en"/>
        </w:rPr>
        <w:t>Eff Sept 15 &amp; Oct 1, 2025</w:t>
      </w:r>
    </w:p>
    <w:p w14:paraId="10BF39D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Nebraska voters passed the </w:t>
      </w:r>
      <w:hyperlink r:id="rId813"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via ballot initiative, joining the growing number of states that have already enacted paid sick leave laws.</w:t>
      </w:r>
    </w:p>
    <w:p w14:paraId="131B3F0F" w14:textId="77777777" w:rsidR="0095771D" w:rsidRPr="00DD7BD1" w:rsidRDefault="0095771D" w:rsidP="0095771D">
      <w:pPr>
        <w:spacing w:after="0" w:line="240" w:lineRule="auto"/>
        <w:rPr>
          <w:rFonts w:ascii="Calibri" w:hAnsi="Calibri" w:cs="Calibri"/>
          <w:shd w:val="clear" w:color="auto" w:fill="FFFFFF"/>
        </w:rPr>
      </w:pPr>
    </w:p>
    <w:p w14:paraId="174ED448"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requires employers to provide 40-56 hours of earned paid sick time (EPST) per year, depending on their size. </w:t>
      </w:r>
    </w:p>
    <w:p w14:paraId="4632799D"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must provide their employees with written notice of the law </w:t>
      </w:r>
      <w:r w:rsidRPr="00DD7BD1">
        <w:rPr>
          <w:rFonts w:ascii="Calibri" w:hAnsi="Calibri" w:cs="Calibri"/>
          <w:color w:val="C00000"/>
          <w:shd w:val="clear" w:color="auto" w:fill="FFFFFF"/>
        </w:rPr>
        <w:t>by Sept. 15, 2025</w:t>
      </w:r>
      <w:r w:rsidRPr="00DD7BD1">
        <w:rPr>
          <w:rFonts w:ascii="Calibri" w:hAnsi="Calibri" w:cs="Calibri"/>
          <w:shd w:val="clear" w:color="auto" w:fill="FFFFFF"/>
        </w:rPr>
        <w:t xml:space="preserve">, and employees begin accruing and using EPST </w:t>
      </w:r>
      <w:r w:rsidRPr="00DD7BD1">
        <w:rPr>
          <w:rFonts w:ascii="Calibri" w:hAnsi="Calibri" w:cs="Calibri"/>
          <w:color w:val="C00000"/>
          <w:shd w:val="clear" w:color="auto" w:fill="FFFFFF"/>
        </w:rPr>
        <w:t>Oct. 1, 2025</w:t>
      </w:r>
      <w:r w:rsidRPr="00DD7BD1">
        <w:rPr>
          <w:rFonts w:ascii="Calibri" w:hAnsi="Calibri" w:cs="Calibri"/>
          <w:shd w:val="clear" w:color="auto" w:fill="FFFFFF"/>
        </w:rPr>
        <w:t xml:space="preserve">. </w:t>
      </w:r>
    </w:p>
    <w:p w14:paraId="1970635D" w14:textId="77777777" w:rsidR="0095771D" w:rsidRPr="00DD7BD1" w:rsidRDefault="0095771D" w:rsidP="0095771D">
      <w:pPr>
        <w:spacing w:after="0" w:line="240" w:lineRule="auto"/>
        <w:rPr>
          <w:rFonts w:ascii="Calibri" w:hAnsi="Calibri" w:cs="Calibri"/>
          <w:shd w:val="clear" w:color="auto" w:fill="FFFFFF"/>
        </w:rPr>
      </w:pPr>
    </w:p>
    <w:p w14:paraId="07A0ACC6"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w:t>
      </w:r>
    </w:p>
    <w:p w14:paraId="3A10CE12"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D7BD1" w:rsidRDefault="0095771D" w:rsidP="0095771D">
      <w:pPr>
        <w:spacing w:after="0" w:line="240" w:lineRule="auto"/>
        <w:rPr>
          <w:rFonts w:ascii="Calibri" w:hAnsi="Calibri" w:cs="Calibri"/>
          <w:shd w:val="clear" w:color="auto" w:fill="FFFFFF"/>
        </w:rPr>
      </w:pPr>
    </w:p>
    <w:p w14:paraId="6CAEF8FD"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0F93008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who work in Nebraska for at least </w:t>
      </w:r>
      <w:r w:rsidRPr="00DD7BD1">
        <w:rPr>
          <w:rFonts w:ascii="Calibri" w:hAnsi="Calibri" w:cs="Calibri"/>
          <w:b/>
          <w:bCs/>
          <w:shd w:val="clear" w:color="auto" w:fill="FFFFFF"/>
        </w:rPr>
        <w:t>80 hours</w:t>
      </w:r>
      <w:r w:rsidRPr="00DD7BD1">
        <w:rPr>
          <w:rFonts w:ascii="Calibri" w:hAnsi="Calibri" w:cs="Calibri"/>
          <w:shd w:val="clear" w:color="auto" w:fill="FFFFFF"/>
        </w:rPr>
        <w:t xml:space="preserve"> in a calendar year are eligible for EPST, except railroad employees subject to the federal Railroad Unemployment Insurance Act.</w:t>
      </w:r>
    </w:p>
    <w:p w14:paraId="15888713" w14:textId="77777777" w:rsidR="0095771D" w:rsidRPr="00DD7BD1" w:rsidRDefault="0095771D" w:rsidP="0095771D">
      <w:pPr>
        <w:spacing w:after="0" w:line="240" w:lineRule="auto"/>
        <w:rPr>
          <w:rFonts w:ascii="Calibri" w:hAnsi="Calibri" w:cs="Calibri"/>
          <w:shd w:val="clear" w:color="auto" w:fill="FFFFFF"/>
        </w:rPr>
      </w:pPr>
    </w:p>
    <w:p w14:paraId="31B2AEAF" w14:textId="77777777" w:rsidR="0095771D" w:rsidRPr="00DD7BD1" w:rsidRDefault="0095771D" w:rsidP="0095771D">
      <w:pPr>
        <w:spacing w:after="0" w:line="240" w:lineRule="auto"/>
        <w:jc w:val="center"/>
        <w:rPr>
          <w:rFonts w:ascii="Calibri" w:hAnsi="Calibri" w:cs="Calibri"/>
          <w:shd w:val="clear" w:color="auto" w:fill="FFFFFF"/>
        </w:rPr>
      </w:pPr>
      <w:r w:rsidRPr="00DD7BD1">
        <w:rPr>
          <w:rFonts w:ascii="Calibri" w:hAnsi="Calibri" w:cs="Calibri"/>
          <w:noProof/>
          <w:shd w:val="clear" w:color="auto" w:fill="FFFFFF"/>
        </w:rPr>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814"/>
                    <a:stretch>
                      <a:fillRect/>
                    </a:stretch>
                  </pic:blipFill>
                  <pic:spPr>
                    <a:xfrm>
                      <a:off x="0" y="0"/>
                      <a:ext cx="4791744" cy="2162477"/>
                    </a:xfrm>
                    <a:prstGeom prst="rect">
                      <a:avLst/>
                    </a:prstGeom>
                  </pic:spPr>
                </pic:pic>
              </a:graphicData>
            </a:graphic>
          </wp:inline>
        </w:drawing>
      </w:r>
    </w:p>
    <w:p w14:paraId="2EE42DB1" w14:textId="77777777" w:rsidR="0095771D" w:rsidRPr="00DD7BD1" w:rsidRDefault="0095771D" w:rsidP="0095771D">
      <w:pPr>
        <w:spacing w:after="0" w:line="240" w:lineRule="auto"/>
        <w:rPr>
          <w:rFonts w:ascii="Calibri" w:hAnsi="Calibri" w:cs="Calibri"/>
          <w:shd w:val="clear" w:color="auto" w:fill="FFFFFF"/>
        </w:rPr>
      </w:pPr>
    </w:p>
    <w:p w14:paraId="02B9A90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provisions of the Act include that:</w:t>
      </w:r>
    </w:p>
    <w:p w14:paraId="2796678F"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 law contains front-loading and carryover provisions;</w:t>
      </w:r>
    </w:p>
    <w:p w14:paraId="500F8FA6"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waiting period—leave may be used as it is accrued;</w:t>
      </w:r>
    </w:p>
    <w:p w14:paraId="0006B4B7"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notice of leave if the requirement is included in a written policy;</w:t>
      </w:r>
    </w:p>
    <w:p w14:paraId="324996E2"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reasonable documentation for more than three days of EPST;</w:t>
      </w:r>
    </w:p>
    <w:p w14:paraId="4C2E3770"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with paid leave policies that meet the requirements of the law do not have to provide additional paid sick leave;</w:t>
      </w:r>
    </w:p>
    <w:p w14:paraId="2411ADA3"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Notice and recordkeeping provisions apply;</w:t>
      </w:r>
    </w:p>
    <w:p w14:paraId="553F19E9"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payout requirement for accrued, unused EPST; and</w:t>
      </w:r>
    </w:p>
    <w:p w14:paraId="70D1D55C"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Retaliation is prohibited, and employer violations of the law are subject to administrative penalties and civil suits.</w:t>
      </w:r>
    </w:p>
    <w:p w14:paraId="3CF322D5" w14:textId="77777777" w:rsidR="0095771D" w:rsidRPr="00DD7BD1" w:rsidRDefault="0095771D" w:rsidP="0095771D">
      <w:pPr>
        <w:spacing w:after="0" w:line="240" w:lineRule="auto"/>
        <w:rPr>
          <w:rFonts w:ascii="Calibri" w:hAnsi="Calibri" w:cs="Calibri"/>
          <w:shd w:val="clear" w:color="auto" w:fill="FFFFFF"/>
        </w:rPr>
      </w:pPr>
    </w:p>
    <w:p w14:paraId="5BCAC320" w14:textId="0843BD35"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Closer to the effective date ETC will provide the released Notice and State Handbook Addendum with the applicable Paid Sick Leve Policy.</w:t>
      </w:r>
    </w:p>
    <w:p w14:paraId="25CC807C" w14:textId="02CF0A4C" w:rsidR="003B29FD" w:rsidRPr="00DD7BD1" w:rsidRDefault="003B29FD" w:rsidP="003B29FD">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State Enacts Paid Sick Leave – </w:t>
      </w:r>
      <w:r w:rsidRPr="00DD7BD1">
        <w:rPr>
          <w:rFonts w:ascii="Calibri" w:hAnsi="Calibri" w:cs="Calibri"/>
          <w:b/>
          <w:bCs/>
          <w:color w:val="C00000"/>
          <w:sz w:val="28"/>
          <w:szCs w:val="28"/>
        </w:rPr>
        <w:t xml:space="preserve">Fall </w:t>
      </w:r>
      <w:r w:rsidRPr="00DD7BD1">
        <w:rPr>
          <w:rFonts w:ascii="Calibri" w:hAnsi="Calibri" w:cs="Calibri"/>
          <w:b/>
          <w:bCs/>
          <w:color w:val="C00000"/>
          <w:sz w:val="28"/>
          <w:szCs w:val="28"/>
          <w:shd w:val="clear" w:color="auto" w:fill="FFFFFF"/>
          <w:lang w:val="en"/>
        </w:rPr>
        <w:t>2025</w:t>
      </w:r>
    </w:p>
    <w:p w14:paraId="3169EC1D"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On Nov. 5, 2024, Nebraska voters passed </w:t>
      </w:r>
      <w:hyperlink r:id="rId815" w:history="1">
        <w:r w:rsidRPr="00DD7BD1">
          <w:rPr>
            <w:rStyle w:val="Hyperlink"/>
            <w:rFonts w:ascii="Calibri" w:hAnsi="Calibri" w:cs="Calibri"/>
            <w:shd w:val="clear" w:color="auto" w:fill="FFFFFF"/>
          </w:rPr>
          <w:t>Initiative Measure 436</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DD7BD1">
        <w:rPr>
          <w:rFonts w:ascii="Calibri" w:hAnsi="Calibri" w:cs="Calibri"/>
          <w:color w:val="C00000"/>
          <w:shd w:val="clear" w:color="auto" w:fill="FFFFFF"/>
        </w:rPr>
        <w:t>Oct. 1, 2025</w:t>
      </w:r>
      <w:r w:rsidRPr="00DD7BD1">
        <w:rPr>
          <w:rFonts w:ascii="Calibri" w:hAnsi="Calibri" w:cs="Calibri"/>
          <w:color w:val="2E74B5" w:themeColor="accent5" w:themeShade="BF"/>
          <w:shd w:val="clear" w:color="auto" w:fill="FFFFFF"/>
        </w:rPr>
        <w:t xml:space="preserve">. </w:t>
      </w:r>
    </w:p>
    <w:p w14:paraId="4793F0EC" w14:textId="77777777" w:rsidR="003B29FD" w:rsidRPr="00DD7BD1" w:rsidRDefault="003B29FD" w:rsidP="003B29FD">
      <w:pPr>
        <w:spacing w:after="0" w:line="240" w:lineRule="auto"/>
        <w:rPr>
          <w:rFonts w:ascii="Calibri" w:hAnsi="Calibri" w:cs="Calibri"/>
          <w:color w:val="2E74B5" w:themeColor="accent5" w:themeShade="BF"/>
          <w:sz w:val="16"/>
          <w:szCs w:val="16"/>
          <w:shd w:val="clear" w:color="auto" w:fill="FFFFFF"/>
        </w:rPr>
      </w:pPr>
    </w:p>
    <w:p w14:paraId="118E6627" w14:textId="77777777" w:rsidR="003B29FD" w:rsidRPr="00DD7BD1" w:rsidRDefault="003B29FD" w:rsidP="003B29FD">
      <w:pPr>
        <w:spacing w:after="0" w:line="240" w:lineRule="auto"/>
        <w:rPr>
          <w:rFonts w:ascii="Calibri" w:hAnsi="Calibri" w:cs="Calibri"/>
          <w:b/>
          <w:shd w:val="clear" w:color="auto" w:fill="FFFFFF"/>
        </w:rPr>
      </w:pPr>
      <w:r w:rsidRPr="00DD7BD1">
        <w:rPr>
          <w:rFonts w:ascii="Calibri" w:hAnsi="Calibri" w:cs="Calibri"/>
          <w:b/>
          <w:color w:val="C00000"/>
          <w:shd w:val="clear" w:color="auto" w:fill="FFFFFF"/>
        </w:rPr>
        <w:t xml:space="preserve">Sept. 15, 2025 </w:t>
      </w:r>
      <w:r w:rsidRPr="00DD7BD1">
        <w:rPr>
          <w:rFonts w:ascii="Calibri" w:hAnsi="Calibri" w:cs="Calibri"/>
          <w:b/>
          <w:shd w:val="clear" w:color="auto" w:fill="FFFFFF"/>
        </w:rPr>
        <w:t xml:space="preserve">- </w:t>
      </w:r>
      <w:r w:rsidRPr="00DD7BD1">
        <w:rPr>
          <w:rFonts w:ascii="Calibri" w:hAnsi="Calibri" w:cs="Calibri"/>
          <w:shd w:val="clear" w:color="auto" w:fill="FFFFFF"/>
        </w:rPr>
        <w:t>Notice requirements take effect under the new paid sick time law.</w:t>
      </w:r>
    </w:p>
    <w:p w14:paraId="1EF1A689" w14:textId="77777777" w:rsidR="003B29FD" w:rsidRPr="00DD7BD1" w:rsidRDefault="003B29FD" w:rsidP="003B29FD">
      <w:pPr>
        <w:spacing w:after="0" w:line="240" w:lineRule="auto"/>
        <w:rPr>
          <w:rFonts w:ascii="Calibri" w:hAnsi="Calibri" w:cs="Calibri"/>
          <w:b/>
          <w:color w:val="2E74B5" w:themeColor="accent5" w:themeShade="BF"/>
          <w:shd w:val="clear" w:color="auto" w:fill="FFFFFF"/>
        </w:rPr>
      </w:pPr>
      <w:r w:rsidRPr="00DD7BD1">
        <w:rPr>
          <w:rFonts w:ascii="Calibri" w:hAnsi="Calibri" w:cs="Calibri"/>
          <w:b/>
          <w:color w:val="C00000"/>
          <w:shd w:val="clear" w:color="auto" w:fill="FFFFFF"/>
        </w:rPr>
        <w:t xml:space="preserve">Oct.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Employees may begin taking paid sick time.</w:t>
      </w:r>
    </w:p>
    <w:p w14:paraId="378E8A5F"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rPr>
        <w:t xml:space="preserve">Details included in the attached resource and will also be communicated in advance of the effective date.  </w:t>
      </w:r>
    </w:p>
    <w:p w14:paraId="50B92A21" w14:textId="77777777" w:rsidR="003B29FD" w:rsidRPr="00DD7BD1" w:rsidRDefault="003B29FD" w:rsidP="00472E17">
      <w:pPr>
        <w:spacing w:after="0" w:line="240" w:lineRule="auto"/>
        <w:jc w:val="both"/>
        <w:rPr>
          <w:rFonts w:ascii="Calibri" w:hAnsi="Calibri" w:cs="Calibri"/>
          <w:b/>
          <w:bCs/>
          <w:color w:val="2E74B5" w:themeColor="accent5" w:themeShade="BF"/>
          <w:shd w:val="clear" w:color="auto" w:fill="FFFFFF"/>
          <w:lang w:val="en"/>
        </w:rPr>
      </w:pPr>
    </w:p>
    <w:p w14:paraId="0423470D" w14:textId="13A1F483" w:rsidR="004B7569" w:rsidRPr="00DD7BD1" w:rsidRDefault="004B7569"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Nevada</w:t>
      </w:r>
    </w:p>
    <w:p w14:paraId="498EFE68" w14:textId="5B359273" w:rsidR="003A22A9" w:rsidRPr="00DD7BD1" w:rsidRDefault="003A22A9" w:rsidP="003A22A9">
      <w:pPr>
        <w:spacing w:after="0" w:line="240" w:lineRule="auto"/>
        <w:ind w:right="-90"/>
        <w:jc w:val="center"/>
        <w:rPr>
          <w:rFonts w:ascii="Calibri" w:hAnsi="Calibri" w:cs="Calibri"/>
          <w:b/>
          <w:sz w:val="28"/>
        </w:rPr>
      </w:pPr>
      <w:r w:rsidRPr="00DD7BD1">
        <w:rPr>
          <w:rFonts w:ascii="Calibri" w:hAnsi="Calibri" w:cs="Calibri"/>
          <w:b/>
          <w:spacing w:val="-8"/>
          <w:sz w:val="28"/>
        </w:rPr>
        <w:t>State Requires</w:t>
      </w:r>
      <w:r w:rsidRPr="00DD7BD1">
        <w:rPr>
          <w:rFonts w:ascii="Calibri" w:hAnsi="Calibri" w:cs="Calibri"/>
          <w:b/>
          <w:spacing w:val="-9"/>
          <w:sz w:val="28"/>
        </w:rPr>
        <w:t xml:space="preserve"> </w:t>
      </w:r>
      <w:r w:rsidRPr="00DD7BD1">
        <w:rPr>
          <w:rFonts w:ascii="Calibri" w:hAnsi="Calibri" w:cs="Calibri"/>
          <w:b/>
          <w:spacing w:val="-8"/>
          <w:sz w:val="28"/>
        </w:rPr>
        <w:t>Civil</w:t>
      </w:r>
      <w:r w:rsidRPr="00DD7BD1">
        <w:rPr>
          <w:rFonts w:ascii="Calibri" w:hAnsi="Calibri" w:cs="Calibri"/>
          <w:b/>
          <w:spacing w:val="-11"/>
          <w:sz w:val="28"/>
        </w:rPr>
        <w:t xml:space="preserve"> </w:t>
      </w:r>
      <w:r w:rsidRPr="00DD7BD1">
        <w:rPr>
          <w:rFonts w:ascii="Calibri" w:hAnsi="Calibri" w:cs="Calibri"/>
          <w:b/>
          <w:spacing w:val="-8"/>
          <w:sz w:val="28"/>
        </w:rPr>
        <w:t>Air</w:t>
      </w:r>
      <w:r w:rsidRPr="00DD7BD1">
        <w:rPr>
          <w:rFonts w:ascii="Calibri" w:hAnsi="Calibri" w:cs="Calibri"/>
          <w:b/>
          <w:spacing w:val="-9"/>
          <w:sz w:val="28"/>
        </w:rPr>
        <w:t xml:space="preserve"> </w:t>
      </w:r>
      <w:r w:rsidRPr="00DD7BD1">
        <w:rPr>
          <w:rFonts w:ascii="Calibri" w:hAnsi="Calibri" w:cs="Calibri"/>
          <w:b/>
          <w:spacing w:val="-8"/>
          <w:sz w:val="28"/>
        </w:rPr>
        <w:t xml:space="preserve">Patrol Leave – </w:t>
      </w:r>
      <w:r w:rsidRPr="00DD7BD1">
        <w:rPr>
          <w:rFonts w:ascii="Calibri" w:hAnsi="Calibri" w:cs="Calibri"/>
          <w:b/>
          <w:color w:val="C00000"/>
          <w:spacing w:val="-8"/>
          <w:sz w:val="28"/>
        </w:rPr>
        <w:t>Eff</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Oct 1,</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2025</w:t>
      </w:r>
    </w:p>
    <w:p w14:paraId="0DC2BC5E" w14:textId="77777777" w:rsidR="003A22A9" w:rsidRPr="00DD7BD1" w:rsidRDefault="003A22A9" w:rsidP="003A22A9">
      <w:pPr>
        <w:pStyle w:val="BodyText"/>
        <w:spacing w:after="0" w:line="240" w:lineRule="auto"/>
        <w:ind w:right="-90"/>
        <w:jc w:val="left"/>
        <w:rPr>
          <w:rFonts w:cs="Calibri"/>
          <w:spacing w:val="-2"/>
          <w:w w:val="110"/>
          <w:szCs w:val="22"/>
        </w:rPr>
      </w:pPr>
      <w:r w:rsidRPr="00DD7BD1">
        <w:rPr>
          <w:rFonts w:cs="Calibri"/>
          <w:color w:val="auto"/>
          <w:w w:val="110"/>
          <w:szCs w:val="22"/>
        </w:rPr>
        <w:t>Beginning</w:t>
      </w:r>
      <w:r w:rsidRPr="00DD7BD1">
        <w:rPr>
          <w:rFonts w:cs="Calibri"/>
          <w:color w:val="auto"/>
          <w:spacing w:val="-6"/>
          <w:w w:val="110"/>
          <w:szCs w:val="22"/>
        </w:rPr>
        <w:t xml:space="preserve"> </w:t>
      </w:r>
      <w:r w:rsidRPr="00DD7BD1">
        <w:rPr>
          <w:rFonts w:cs="Calibri"/>
          <w:color w:val="auto"/>
          <w:w w:val="110"/>
          <w:szCs w:val="22"/>
        </w:rPr>
        <w:t>October</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10"/>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7"/>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unpaid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 xml:space="preserve">are </w:t>
      </w:r>
      <w:r w:rsidRPr="00DD7BD1">
        <w:rPr>
          <w:rFonts w:cs="Calibri"/>
          <w:color w:val="auto"/>
          <w:spacing w:val="-2"/>
          <w:w w:val="110"/>
          <w:szCs w:val="22"/>
        </w:rPr>
        <w:t>volunteer</w:t>
      </w:r>
      <w:r w:rsidRPr="00DD7BD1">
        <w:rPr>
          <w:rFonts w:cs="Calibri"/>
          <w:color w:val="auto"/>
          <w:spacing w:val="-10"/>
          <w:w w:val="110"/>
          <w:szCs w:val="22"/>
        </w:rPr>
        <w:t xml:space="preserve"> </w:t>
      </w:r>
      <w:r w:rsidRPr="00DD7BD1">
        <w:rPr>
          <w:rFonts w:cs="Calibri"/>
          <w:color w:val="auto"/>
          <w:spacing w:val="-2"/>
          <w:w w:val="110"/>
          <w:szCs w:val="22"/>
        </w:rPr>
        <w:t>members</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Nevada</w:t>
      </w:r>
      <w:r w:rsidRPr="00DD7BD1">
        <w:rPr>
          <w:rFonts w:cs="Calibri"/>
          <w:color w:val="auto"/>
          <w:spacing w:val="-13"/>
          <w:w w:val="110"/>
          <w:szCs w:val="22"/>
        </w:rPr>
        <w:t xml:space="preserve"> </w:t>
      </w:r>
      <w:r w:rsidRPr="00DD7BD1">
        <w:rPr>
          <w:rFonts w:cs="Calibri"/>
          <w:color w:val="auto"/>
          <w:spacing w:val="-2"/>
          <w:w w:val="110"/>
          <w:szCs w:val="22"/>
        </w:rPr>
        <w:t>Wing</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3"/>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Civil</w:t>
      </w:r>
      <w:r w:rsidRPr="00DD7BD1">
        <w:rPr>
          <w:rFonts w:cs="Calibri"/>
          <w:color w:val="auto"/>
          <w:spacing w:val="-11"/>
          <w:w w:val="110"/>
          <w:szCs w:val="22"/>
        </w:rPr>
        <w:t xml:space="preserve"> </w:t>
      </w:r>
      <w:r w:rsidRPr="00DD7BD1">
        <w:rPr>
          <w:rFonts w:cs="Calibri"/>
          <w:color w:val="auto"/>
          <w:spacing w:val="-2"/>
          <w:w w:val="110"/>
          <w:szCs w:val="22"/>
        </w:rPr>
        <w:t>Air</w:t>
      </w:r>
      <w:r w:rsidRPr="00DD7BD1">
        <w:rPr>
          <w:rFonts w:cs="Calibri"/>
          <w:color w:val="auto"/>
          <w:spacing w:val="-11"/>
          <w:w w:val="110"/>
          <w:szCs w:val="22"/>
        </w:rPr>
        <w:t xml:space="preserve"> </w:t>
      </w:r>
      <w:r w:rsidRPr="00DD7BD1">
        <w:rPr>
          <w:rFonts w:cs="Calibri"/>
          <w:color w:val="auto"/>
          <w:spacing w:val="-2"/>
          <w:w w:val="110"/>
          <w:szCs w:val="22"/>
        </w:rPr>
        <w:t>Patrol</w:t>
      </w:r>
      <w:r w:rsidRPr="00DD7BD1">
        <w:rPr>
          <w:rFonts w:cs="Calibri"/>
          <w:color w:val="auto"/>
          <w:spacing w:val="-11"/>
          <w:w w:val="110"/>
          <w:szCs w:val="22"/>
        </w:rPr>
        <w:t xml:space="preserve"> </w:t>
      </w:r>
      <w:r w:rsidRPr="00DD7BD1">
        <w:rPr>
          <w:rFonts w:cs="Calibri"/>
          <w:color w:val="auto"/>
          <w:spacing w:val="-2"/>
          <w:w w:val="110"/>
          <w:szCs w:val="22"/>
        </w:rPr>
        <w:t>for</w:t>
      </w:r>
      <w:r w:rsidRPr="00DD7BD1">
        <w:rPr>
          <w:rFonts w:cs="Calibri"/>
          <w:color w:val="auto"/>
          <w:spacing w:val="-10"/>
          <w:w w:val="110"/>
          <w:szCs w:val="22"/>
        </w:rPr>
        <w:t xml:space="preserve"> </w:t>
      </w:r>
      <w:r w:rsidRPr="00DD7BD1">
        <w:rPr>
          <w:rFonts w:cs="Calibri"/>
          <w:color w:val="auto"/>
          <w:spacing w:val="-2"/>
          <w:w w:val="110"/>
          <w:szCs w:val="22"/>
        </w:rPr>
        <w:t>emergency</w:t>
      </w:r>
      <w:r w:rsidRPr="00DD7BD1">
        <w:rPr>
          <w:rFonts w:cs="Calibri"/>
          <w:color w:val="auto"/>
          <w:spacing w:val="-9"/>
          <w:w w:val="110"/>
          <w:szCs w:val="22"/>
        </w:rPr>
        <w:t xml:space="preserve"> </w:t>
      </w:r>
      <w:r w:rsidRPr="00DD7BD1">
        <w:rPr>
          <w:rFonts w:cs="Calibri"/>
          <w:color w:val="auto"/>
          <w:spacing w:val="-2"/>
          <w:w w:val="110"/>
          <w:szCs w:val="22"/>
        </w:rPr>
        <w:t>training</w:t>
      </w:r>
      <w:r w:rsidRPr="00DD7BD1">
        <w:rPr>
          <w:rFonts w:cs="Calibri"/>
          <w:color w:val="auto"/>
          <w:spacing w:val="-9"/>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response</w:t>
      </w:r>
      <w:r w:rsidRPr="00DD7BD1">
        <w:rPr>
          <w:rFonts w:cs="Calibri"/>
          <w:color w:val="auto"/>
          <w:spacing w:val="-3"/>
          <w:w w:val="110"/>
          <w:szCs w:val="22"/>
        </w:rPr>
        <w:t xml:space="preserve"> </w:t>
      </w:r>
      <w:r w:rsidRPr="00DD7BD1">
        <w:rPr>
          <w:rFonts w:cs="Calibri"/>
          <w:color w:val="auto"/>
          <w:spacing w:val="-2"/>
          <w:w w:val="110"/>
          <w:szCs w:val="22"/>
        </w:rPr>
        <w:t>under</w:t>
      </w:r>
      <w:r w:rsidRPr="00DD7BD1">
        <w:rPr>
          <w:rFonts w:cs="Calibri"/>
          <w:color w:val="auto"/>
          <w:spacing w:val="-9"/>
          <w:w w:val="110"/>
          <w:szCs w:val="22"/>
        </w:rPr>
        <w:t xml:space="preserve"> </w:t>
      </w:r>
      <w:hyperlink r:id="rId816">
        <w:r w:rsidRPr="00DD7BD1">
          <w:rPr>
            <w:rFonts w:cs="Calibri"/>
            <w:color w:val="0000FF"/>
            <w:spacing w:val="-2"/>
            <w:w w:val="110"/>
            <w:szCs w:val="22"/>
            <w:u w:val="single" w:color="0000FF"/>
          </w:rPr>
          <w:t>AB</w:t>
        </w:r>
        <w:r w:rsidRPr="00DD7BD1">
          <w:rPr>
            <w:rFonts w:cs="Calibri"/>
            <w:color w:val="0000FF"/>
            <w:spacing w:val="-14"/>
            <w:w w:val="110"/>
            <w:szCs w:val="22"/>
            <w:u w:val="single" w:color="0000FF"/>
          </w:rPr>
          <w:t xml:space="preserve"> </w:t>
        </w:r>
        <w:r w:rsidRPr="00DD7BD1">
          <w:rPr>
            <w:rFonts w:cs="Calibri"/>
            <w:color w:val="0000FF"/>
            <w:spacing w:val="-2"/>
            <w:w w:val="110"/>
            <w:szCs w:val="22"/>
            <w:u w:val="single" w:color="0000FF"/>
          </w:rPr>
          <w:t>422</w:t>
        </w:r>
      </w:hyperlink>
      <w:r w:rsidRPr="00DD7BD1">
        <w:rPr>
          <w:rFonts w:cs="Calibri"/>
          <w:spacing w:val="-2"/>
          <w:w w:val="110"/>
          <w:szCs w:val="22"/>
        </w:rPr>
        <w:t>.</w:t>
      </w:r>
    </w:p>
    <w:p w14:paraId="02C11ACC" w14:textId="77777777" w:rsidR="003A22A9" w:rsidRPr="00DD7BD1" w:rsidRDefault="003A22A9" w:rsidP="003A22A9">
      <w:pPr>
        <w:pStyle w:val="BodyText"/>
        <w:spacing w:after="0" w:line="240" w:lineRule="auto"/>
        <w:ind w:right="-90"/>
        <w:jc w:val="left"/>
        <w:rPr>
          <w:rFonts w:cs="Calibri"/>
          <w:sz w:val="16"/>
          <w:szCs w:val="16"/>
        </w:rPr>
      </w:pPr>
    </w:p>
    <w:p w14:paraId="452DC3E0" w14:textId="77777777" w:rsidR="003A22A9" w:rsidRPr="00DD7BD1" w:rsidRDefault="003A22A9" w:rsidP="003A22A9">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0"/>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allowed</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take</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following</w:t>
      </w:r>
      <w:r w:rsidRPr="00DD7BD1">
        <w:rPr>
          <w:rFonts w:cs="Calibri"/>
          <w:color w:val="auto"/>
          <w:spacing w:val="-10"/>
          <w:w w:val="110"/>
          <w:szCs w:val="22"/>
        </w:rPr>
        <w:t xml:space="preserve"> </w:t>
      </w:r>
      <w:r w:rsidRPr="00DD7BD1">
        <w:rPr>
          <w:rFonts w:cs="Calibri"/>
          <w:color w:val="auto"/>
          <w:w w:val="110"/>
          <w:szCs w:val="22"/>
        </w:rPr>
        <w:t>amounts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per</w:t>
      </w:r>
      <w:r w:rsidRPr="00DD7BD1">
        <w:rPr>
          <w:rFonts w:cs="Calibri"/>
          <w:color w:val="auto"/>
          <w:spacing w:val="-9"/>
          <w:w w:val="110"/>
          <w:szCs w:val="22"/>
        </w:rPr>
        <w:t xml:space="preserve"> </w:t>
      </w:r>
      <w:r w:rsidRPr="00DD7BD1">
        <w:rPr>
          <w:rFonts w:cs="Calibri"/>
          <w:color w:val="auto"/>
          <w:w w:val="110"/>
          <w:szCs w:val="22"/>
        </w:rPr>
        <w:t>federal</w:t>
      </w:r>
      <w:r w:rsidRPr="00DD7BD1">
        <w:rPr>
          <w:rFonts w:cs="Calibri"/>
          <w:color w:val="auto"/>
          <w:spacing w:val="-10"/>
          <w:w w:val="110"/>
          <w:szCs w:val="22"/>
        </w:rPr>
        <w:t xml:space="preserve"> </w:t>
      </w:r>
      <w:r w:rsidRPr="00DD7BD1">
        <w:rPr>
          <w:rFonts w:cs="Calibri"/>
          <w:color w:val="auto"/>
          <w:w w:val="110"/>
          <w:szCs w:val="22"/>
        </w:rPr>
        <w:t>fiscal</w:t>
      </w:r>
      <w:r w:rsidRPr="00DD7BD1">
        <w:rPr>
          <w:rFonts w:cs="Calibri"/>
          <w:color w:val="auto"/>
          <w:spacing w:val="-10"/>
          <w:w w:val="110"/>
          <w:szCs w:val="22"/>
        </w:rPr>
        <w:t xml:space="preserve"> </w:t>
      </w:r>
      <w:r w:rsidRPr="00DD7BD1">
        <w:rPr>
          <w:rFonts w:cs="Calibri"/>
          <w:color w:val="auto"/>
          <w:w w:val="110"/>
          <w:szCs w:val="22"/>
        </w:rPr>
        <w:t>year</w:t>
      </w:r>
      <w:r w:rsidRPr="00DD7BD1">
        <w:rPr>
          <w:rFonts w:cs="Calibri"/>
          <w:color w:val="auto"/>
          <w:spacing w:val="-9"/>
          <w:w w:val="110"/>
          <w:szCs w:val="22"/>
        </w:rPr>
        <w:t xml:space="preserve"> </w:t>
      </w:r>
      <w:r w:rsidRPr="00DD7BD1">
        <w:rPr>
          <w:rFonts w:cs="Calibri"/>
          <w:color w:val="auto"/>
          <w:w w:val="110"/>
          <w:szCs w:val="22"/>
        </w:rPr>
        <w:t>(October</w:t>
      </w:r>
      <w:r w:rsidRPr="00DD7BD1">
        <w:rPr>
          <w:rFonts w:cs="Calibri"/>
          <w:color w:val="auto"/>
          <w:spacing w:val="-9"/>
          <w:w w:val="110"/>
          <w:szCs w:val="22"/>
        </w:rPr>
        <w:t xml:space="preserve"> </w:t>
      </w:r>
      <w:r w:rsidRPr="00DD7BD1">
        <w:rPr>
          <w:rFonts w:cs="Calibri"/>
          <w:color w:val="auto"/>
          <w:w w:val="110"/>
          <w:szCs w:val="22"/>
        </w:rPr>
        <w:t>1 through September 30):</w:t>
      </w:r>
    </w:p>
    <w:p w14:paraId="07C031F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Up</w:t>
      </w:r>
      <w:r w:rsidRPr="00DD7BD1">
        <w:rPr>
          <w:rFonts w:ascii="Calibri" w:hAnsi="Calibri" w:cs="Calibri"/>
          <w:spacing w:val="23"/>
        </w:rPr>
        <w:t xml:space="preserve"> </w:t>
      </w:r>
      <w:r w:rsidRPr="00DD7BD1">
        <w:rPr>
          <w:rFonts w:ascii="Calibri" w:hAnsi="Calibri" w:cs="Calibri"/>
        </w:rPr>
        <w:t>to</w:t>
      </w:r>
      <w:r w:rsidRPr="00DD7BD1">
        <w:rPr>
          <w:rFonts w:ascii="Calibri" w:hAnsi="Calibri" w:cs="Calibri"/>
          <w:spacing w:val="20"/>
        </w:rPr>
        <w:t xml:space="preserve"> </w:t>
      </w:r>
      <w:r w:rsidRPr="00DD7BD1">
        <w:rPr>
          <w:rFonts w:ascii="Calibri" w:hAnsi="Calibri" w:cs="Calibri"/>
        </w:rPr>
        <w:t>10</w:t>
      </w:r>
      <w:r w:rsidRPr="00DD7BD1">
        <w:rPr>
          <w:rFonts w:ascii="Calibri" w:hAnsi="Calibri" w:cs="Calibri"/>
          <w:spacing w:val="19"/>
        </w:rPr>
        <w:t xml:space="preserve"> </w:t>
      </w:r>
      <w:r w:rsidRPr="00DD7BD1">
        <w:rPr>
          <w:rFonts w:ascii="Calibri" w:hAnsi="Calibri" w:cs="Calibri"/>
        </w:rPr>
        <w:t>workdays</w:t>
      </w:r>
      <w:r w:rsidRPr="00DD7BD1">
        <w:rPr>
          <w:rFonts w:ascii="Calibri" w:hAnsi="Calibri" w:cs="Calibri"/>
          <w:spacing w:val="24"/>
        </w:rPr>
        <w:t xml:space="preserve"> </w:t>
      </w:r>
      <w:r w:rsidRPr="00DD7BD1">
        <w:rPr>
          <w:rFonts w:ascii="Calibri" w:hAnsi="Calibri" w:cs="Calibri"/>
        </w:rPr>
        <w:t>to</w:t>
      </w:r>
      <w:r w:rsidRPr="00DD7BD1">
        <w:rPr>
          <w:rFonts w:ascii="Calibri" w:hAnsi="Calibri" w:cs="Calibri"/>
          <w:spacing w:val="23"/>
        </w:rPr>
        <w:t xml:space="preserve"> </w:t>
      </w:r>
      <w:r w:rsidRPr="00DD7BD1">
        <w:rPr>
          <w:rFonts w:ascii="Calibri" w:hAnsi="Calibri" w:cs="Calibri"/>
        </w:rPr>
        <w:t>train</w:t>
      </w:r>
      <w:r w:rsidRPr="00DD7BD1">
        <w:rPr>
          <w:rFonts w:ascii="Calibri" w:hAnsi="Calibri" w:cs="Calibri"/>
          <w:spacing w:val="24"/>
        </w:rPr>
        <w:t xml:space="preserve"> </w:t>
      </w:r>
      <w:r w:rsidRPr="00DD7BD1">
        <w:rPr>
          <w:rFonts w:ascii="Calibri" w:hAnsi="Calibri" w:cs="Calibri"/>
        </w:rPr>
        <w:t>for</w:t>
      </w:r>
      <w:r w:rsidRPr="00DD7BD1">
        <w:rPr>
          <w:rFonts w:ascii="Calibri" w:hAnsi="Calibri" w:cs="Calibri"/>
          <w:spacing w:val="17"/>
        </w:rPr>
        <w:t xml:space="preserve"> </w:t>
      </w:r>
      <w:r w:rsidRPr="00DD7BD1">
        <w:rPr>
          <w:rFonts w:ascii="Calibri" w:hAnsi="Calibri" w:cs="Calibri"/>
        </w:rPr>
        <w:t>emergency</w:t>
      </w:r>
      <w:r w:rsidRPr="00DD7BD1">
        <w:rPr>
          <w:rFonts w:ascii="Calibri" w:hAnsi="Calibri" w:cs="Calibri"/>
          <w:spacing w:val="20"/>
        </w:rPr>
        <w:t xml:space="preserve"> </w:t>
      </w:r>
      <w:r w:rsidRPr="00DD7BD1">
        <w:rPr>
          <w:rFonts w:ascii="Calibri" w:hAnsi="Calibri" w:cs="Calibri"/>
          <w:spacing w:val="-2"/>
        </w:rPr>
        <w:t>missions</w:t>
      </w:r>
    </w:p>
    <w:p w14:paraId="6076DB14" w14:textId="59630C10" w:rsidR="003A22A9" w:rsidRPr="00DD7BD1"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Up</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30</w:t>
      </w:r>
      <w:r w:rsidRPr="00DD7BD1">
        <w:rPr>
          <w:rFonts w:ascii="Calibri" w:hAnsi="Calibri" w:cs="Calibri"/>
          <w:spacing w:val="-10"/>
          <w:w w:val="110"/>
        </w:rPr>
        <w:t xml:space="preserve"> </w:t>
      </w:r>
      <w:r w:rsidRPr="00DD7BD1">
        <w:rPr>
          <w:rFonts w:ascii="Calibri" w:hAnsi="Calibri" w:cs="Calibri"/>
          <w:w w:val="110"/>
        </w:rPr>
        <w:t>workdays</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respond</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an</w:t>
      </w:r>
      <w:r w:rsidRPr="00DD7BD1">
        <w:rPr>
          <w:rFonts w:ascii="Calibri" w:hAnsi="Calibri" w:cs="Calibri"/>
          <w:spacing w:val="-7"/>
          <w:w w:val="110"/>
        </w:rPr>
        <w:t xml:space="preserve"> </w:t>
      </w:r>
      <w:r w:rsidRPr="00DD7BD1">
        <w:rPr>
          <w:rFonts w:ascii="Calibri" w:hAnsi="Calibri" w:cs="Calibri"/>
          <w:w w:val="110"/>
        </w:rPr>
        <w:t>emergency</w:t>
      </w:r>
      <w:r w:rsidRPr="00DD7BD1">
        <w:rPr>
          <w:rFonts w:ascii="Calibri" w:hAnsi="Calibri" w:cs="Calibri"/>
          <w:spacing w:val="-9"/>
          <w:w w:val="110"/>
        </w:rPr>
        <w:t xml:space="preserve"> </w:t>
      </w:r>
      <w:r w:rsidRPr="00DD7BD1">
        <w:rPr>
          <w:rFonts w:ascii="Calibri" w:hAnsi="Calibri" w:cs="Calibri"/>
          <w:w w:val="110"/>
        </w:rPr>
        <w:t>mission</w:t>
      </w:r>
      <w:r w:rsidRPr="00DD7BD1">
        <w:rPr>
          <w:rFonts w:ascii="Calibri" w:hAnsi="Calibri" w:cs="Calibri"/>
          <w:spacing w:val="-9"/>
          <w:w w:val="110"/>
        </w:rPr>
        <w:t xml:space="preserve"> </w:t>
      </w:r>
      <w:r w:rsidRPr="00DD7BD1">
        <w:rPr>
          <w:rFonts w:ascii="Calibri" w:hAnsi="Calibri" w:cs="Calibri"/>
          <w:w w:val="110"/>
        </w:rPr>
        <w:t>(including</w:t>
      </w:r>
      <w:r w:rsidRPr="00DD7BD1">
        <w:rPr>
          <w:rFonts w:ascii="Calibri" w:hAnsi="Calibri" w:cs="Calibri"/>
          <w:spacing w:val="-9"/>
          <w:w w:val="110"/>
        </w:rPr>
        <w:t xml:space="preserve"> </w:t>
      </w:r>
      <w:r w:rsidRPr="00DD7BD1">
        <w:rPr>
          <w:rFonts w:ascii="Calibri" w:hAnsi="Calibri" w:cs="Calibri"/>
          <w:w w:val="110"/>
        </w:rPr>
        <w:t>search</w:t>
      </w:r>
      <w:r w:rsidRPr="00DD7BD1">
        <w:rPr>
          <w:rFonts w:ascii="Calibri" w:hAnsi="Calibri" w:cs="Calibri"/>
          <w:spacing w:val="-9"/>
          <w:w w:val="110"/>
        </w:rPr>
        <w:t xml:space="preserve"> </w:t>
      </w:r>
      <w:r w:rsidRPr="00DD7BD1">
        <w:rPr>
          <w:rFonts w:ascii="Calibri" w:hAnsi="Calibri" w:cs="Calibri"/>
          <w:w w:val="110"/>
        </w:rPr>
        <w:t>and</w:t>
      </w:r>
      <w:r w:rsidRPr="00DD7BD1">
        <w:rPr>
          <w:rFonts w:ascii="Calibri" w:hAnsi="Calibri" w:cs="Calibri"/>
          <w:spacing w:val="-7"/>
          <w:w w:val="110"/>
        </w:rPr>
        <w:t xml:space="preserve"> </w:t>
      </w:r>
      <w:r w:rsidRPr="00DD7BD1">
        <w:rPr>
          <w:rFonts w:ascii="Calibri" w:hAnsi="Calibri" w:cs="Calibri"/>
          <w:w w:val="110"/>
        </w:rPr>
        <w:t>rescue</w:t>
      </w:r>
      <w:r w:rsidRPr="00DD7BD1">
        <w:rPr>
          <w:rFonts w:ascii="Calibri" w:hAnsi="Calibri" w:cs="Calibri"/>
          <w:spacing w:val="-7"/>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disaster response</w:t>
      </w:r>
      <w:r w:rsidRPr="00DD7BD1">
        <w:rPr>
          <w:rFonts w:ascii="Calibri" w:hAnsi="Calibri" w:cs="Calibri"/>
          <w:spacing w:val="-4"/>
          <w:w w:val="110"/>
        </w:rPr>
        <w:t xml:space="preserve"> </w:t>
      </w:r>
      <w:r w:rsidRPr="00DD7BD1">
        <w:rPr>
          <w:rFonts w:ascii="Calibri" w:hAnsi="Calibri" w:cs="Calibri"/>
          <w:w w:val="110"/>
        </w:rPr>
        <w:t>missions)</w:t>
      </w:r>
    </w:p>
    <w:p w14:paraId="4ABF7F2F" w14:textId="77777777" w:rsidR="003A22A9" w:rsidRPr="00DD7BD1" w:rsidRDefault="003A22A9" w:rsidP="003A22A9">
      <w:pPr>
        <w:spacing w:after="0"/>
        <w:ind w:right="-90"/>
        <w:rPr>
          <w:rFonts w:ascii="Calibri" w:hAnsi="Calibri" w:cs="Calibri"/>
          <w:b/>
          <w:bCs/>
          <w:shd w:val="clear" w:color="auto" w:fill="FFFFFF"/>
          <w:lang w:val="en"/>
        </w:rPr>
      </w:pPr>
      <w:r w:rsidRPr="00DD7BD1">
        <w:rPr>
          <w:rFonts w:ascii="Calibri" w:hAnsi="Calibri" w:cs="Calibri"/>
          <w:spacing w:val="-2"/>
          <w:w w:val="110"/>
        </w:rPr>
        <w:t>Employers</w:t>
      </w:r>
      <w:r w:rsidRPr="00DD7BD1">
        <w:rPr>
          <w:rFonts w:ascii="Calibri" w:hAnsi="Calibri" w:cs="Calibri"/>
          <w:spacing w:val="-7"/>
          <w:w w:val="110"/>
        </w:rPr>
        <w:t xml:space="preserve"> </w:t>
      </w:r>
      <w:r w:rsidRPr="00DD7BD1">
        <w:rPr>
          <w:rFonts w:ascii="Calibri" w:hAnsi="Calibri" w:cs="Calibri"/>
          <w:spacing w:val="-2"/>
          <w:w w:val="110"/>
        </w:rPr>
        <w:t>can’t</w:t>
      </w:r>
      <w:r w:rsidRPr="00DD7BD1">
        <w:rPr>
          <w:rFonts w:ascii="Calibri" w:hAnsi="Calibri" w:cs="Calibri"/>
          <w:spacing w:val="-7"/>
          <w:w w:val="110"/>
        </w:rPr>
        <w:t xml:space="preserve"> </w:t>
      </w:r>
      <w:r w:rsidRPr="00DD7BD1">
        <w:rPr>
          <w:rFonts w:ascii="Calibri" w:hAnsi="Calibri" w:cs="Calibri"/>
          <w:spacing w:val="-2"/>
          <w:w w:val="110"/>
        </w:rPr>
        <w:t>require</w:t>
      </w:r>
      <w:r w:rsidRPr="00DD7BD1">
        <w:rPr>
          <w:rFonts w:ascii="Calibri" w:hAnsi="Calibri" w:cs="Calibri"/>
          <w:spacing w:val="-10"/>
          <w:w w:val="110"/>
        </w:rPr>
        <w:t xml:space="preserve"> </w:t>
      </w:r>
      <w:r w:rsidRPr="00DD7BD1">
        <w:rPr>
          <w:rFonts w:ascii="Calibri" w:hAnsi="Calibri" w:cs="Calibri"/>
          <w:spacing w:val="-2"/>
          <w:w w:val="110"/>
        </w:rPr>
        <w:t>that</w:t>
      </w:r>
      <w:r w:rsidRPr="00DD7BD1">
        <w:rPr>
          <w:rFonts w:ascii="Calibri" w:hAnsi="Calibri" w:cs="Calibri"/>
          <w:spacing w:val="-7"/>
          <w:w w:val="110"/>
        </w:rPr>
        <w:t xml:space="preserve"> </w:t>
      </w:r>
      <w:r w:rsidRPr="00DD7BD1">
        <w:rPr>
          <w:rFonts w:ascii="Calibri" w:hAnsi="Calibri" w:cs="Calibri"/>
          <w:spacing w:val="-2"/>
          <w:w w:val="110"/>
        </w:rPr>
        <w:t>employees</w:t>
      </w:r>
      <w:r w:rsidRPr="00DD7BD1">
        <w:rPr>
          <w:rFonts w:ascii="Calibri" w:hAnsi="Calibri" w:cs="Calibri"/>
          <w:spacing w:val="-9"/>
          <w:w w:val="110"/>
        </w:rPr>
        <w:t xml:space="preserve"> </w:t>
      </w:r>
      <w:r w:rsidRPr="00DD7BD1">
        <w:rPr>
          <w:rFonts w:ascii="Calibri" w:hAnsi="Calibri" w:cs="Calibri"/>
          <w:spacing w:val="-2"/>
          <w:w w:val="110"/>
        </w:rPr>
        <w:t>exhaust</w:t>
      </w:r>
      <w:r w:rsidRPr="00DD7BD1">
        <w:rPr>
          <w:rFonts w:ascii="Calibri" w:hAnsi="Calibri" w:cs="Calibri"/>
          <w:spacing w:val="-10"/>
          <w:w w:val="110"/>
        </w:rPr>
        <w:t xml:space="preserve"> </w:t>
      </w:r>
      <w:r w:rsidRPr="00DD7BD1">
        <w:rPr>
          <w:rFonts w:ascii="Calibri" w:hAnsi="Calibri" w:cs="Calibri"/>
          <w:spacing w:val="-2"/>
          <w:w w:val="110"/>
        </w:rPr>
        <w:t>other</w:t>
      </w:r>
      <w:r w:rsidRPr="00DD7BD1">
        <w:rPr>
          <w:rFonts w:ascii="Calibri" w:hAnsi="Calibri" w:cs="Calibri"/>
          <w:spacing w:val="-7"/>
          <w:w w:val="110"/>
        </w:rPr>
        <w:t xml:space="preserve"> </w:t>
      </w:r>
      <w:r w:rsidRPr="00DD7BD1">
        <w:rPr>
          <w:rFonts w:ascii="Calibri" w:hAnsi="Calibri" w:cs="Calibri"/>
          <w:spacing w:val="-2"/>
          <w:w w:val="110"/>
        </w:rPr>
        <w:t>leave</w:t>
      </w:r>
      <w:r w:rsidRPr="00DD7BD1">
        <w:rPr>
          <w:rFonts w:ascii="Calibri" w:hAnsi="Calibri" w:cs="Calibri"/>
          <w:spacing w:val="-10"/>
          <w:w w:val="110"/>
        </w:rPr>
        <w:t xml:space="preserve"> </w:t>
      </w:r>
      <w:r w:rsidRPr="00DD7BD1">
        <w:rPr>
          <w:rFonts w:ascii="Calibri" w:hAnsi="Calibri" w:cs="Calibri"/>
          <w:spacing w:val="-2"/>
          <w:w w:val="110"/>
        </w:rPr>
        <w:t>they</w:t>
      </w:r>
      <w:r w:rsidRPr="00DD7BD1">
        <w:rPr>
          <w:rFonts w:ascii="Calibri" w:hAnsi="Calibri" w:cs="Calibri"/>
          <w:spacing w:val="-6"/>
          <w:w w:val="110"/>
        </w:rPr>
        <w:t xml:space="preserve"> </w:t>
      </w:r>
      <w:r w:rsidRPr="00DD7BD1">
        <w:rPr>
          <w:rFonts w:ascii="Calibri" w:hAnsi="Calibri" w:cs="Calibri"/>
          <w:spacing w:val="-2"/>
          <w:w w:val="110"/>
        </w:rPr>
        <w:t>are</w:t>
      </w:r>
      <w:r w:rsidRPr="00DD7BD1">
        <w:rPr>
          <w:rFonts w:ascii="Calibri" w:hAnsi="Calibri" w:cs="Calibri"/>
          <w:spacing w:val="-7"/>
          <w:w w:val="110"/>
        </w:rPr>
        <w:t xml:space="preserve"> </w:t>
      </w:r>
      <w:r w:rsidRPr="00DD7BD1">
        <w:rPr>
          <w:rFonts w:ascii="Calibri" w:hAnsi="Calibri" w:cs="Calibri"/>
          <w:spacing w:val="-2"/>
          <w:w w:val="110"/>
        </w:rPr>
        <w:t>entitled</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9"/>
          <w:w w:val="110"/>
        </w:rPr>
        <w:t xml:space="preserve"> </w:t>
      </w:r>
      <w:r w:rsidRPr="00DD7BD1">
        <w:rPr>
          <w:rFonts w:ascii="Calibri" w:hAnsi="Calibri" w:cs="Calibri"/>
          <w:spacing w:val="-2"/>
          <w:w w:val="110"/>
        </w:rPr>
        <w:t>before</w:t>
      </w:r>
      <w:r w:rsidRPr="00DD7BD1">
        <w:rPr>
          <w:rFonts w:ascii="Calibri" w:hAnsi="Calibri" w:cs="Calibri"/>
          <w:spacing w:val="-6"/>
          <w:w w:val="110"/>
        </w:rPr>
        <w:t xml:space="preserve"> </w:t>
      </w:r>
      <w:r w:rsidRPr="00DD7BD1">
        <w:rPr>
          <w:rFonts w:ascii="Calibri" w:hAnsi="Calibri" w:cs="Calibri"/>
          <w:spacing w:val="-2"/>
          <w:w w:val="110"/>
        </w:rPr>
        <w:t>using</w:t>
      </w:r>
      <w:r w:rsidRPr="00DD7BD1">
        <w:rPr>
          <w:rFonts w:ascii="Calibri" w:hAnsi="Calibri" w:cs="Calibri"/>
          <w:spacing w:val="-6"/>
          <w:w w:val="110"/>
        </w:rPr>
        <w:t xml:space="preserve"> </w:t>
      </w:r>
      <w:r w:rsidRPr="00DD7BD1">
        <w:rPr>
          <w:rFonts w:ascii="Calibri" w:hAnsi="Calibri" w:cs="Calibri"/>
          <w:spacing w:val="-2"/>
          <w:w w:val="110"/>
        </w:rPr>
        <w:t>leave</w:t>
      </w:r>
      <w:r w:rsidRPr="00DD7BD1">
        <w:rPr>
          <w:rFonts w:ascii="Calibri" w:hAnsi="Calibri" w:cs="Calibri"/>
          <w:spacing w:val="-9"/>
          <w:w w:val="110"/>
        </w:rPr>
        <w:t xml:space="preserve"> </w:t>
      </w:r>
      <w:r w:rsidRPr="00DD7BD1">
        <w:rPr>
          <w:rFonts w:ascii="Calibri" w:hAnsi="Calibri" w:cs="Calibri"/>
          <w:spacing w:val="-2"/>
          <w:w w:val="110"/>
        </w:rPr>
        <w:t>under</w:t>
      </w:r>
      <w:r w:rsidRPr="00DD7BD1">
        <w:rPr>
          <w:rFonts w:ascii="Calibri" w:hAnsi="Calibri" w:cs="Calibri"/>
          <w:spacing w:val="-7"/>
          <w:w w:val="110"/>
        </w:rPr>
        <w:t xml:space="preserve"> </w:t>
      </w:r>
      <w:r w:rsidRPr="00DD7BD1">
        <w:rPr>
          <w:rFonts w:ascii="Calibri" w:hAnsi="Calibri" w:cs="Calibri"/>
          <w:spacing w:val="-2"/>
          <w:w w:val="110"/>
        </w:rPr>
        <w:t>this</w:t>
      </w:r>
      <w:r w:rsidRPr="00DD7BD1">
        <w:rPr>
          <w:rFonts w:ascii="Calibri" w:hAnsi="Calibri" w:cs="Calibri"/>
          <w:spacing w:val="-7"/>
          <w:w w:val="110"/>
        </w:rPr>
        <w:t xml:space="preserve"> </w:t>
      </w:r>
      <w:r w:rsidRPr="00DD7BD1">
        <w:rPr>
          <w:rFonts w:ascii="Calibri" w:hAnsi="Calibri" w:cs="Calibri"/>
          <w:spacing w:val="-4"/>
          <w:w w:val="110"/>
        </w:rPr>
        <w:t>law.</w:t>
      </w:r>
    </w:p>
    <w:p w14:paraId="2F7EFDA6" w14:textId="77777777" w:rsidR="003A22A9" w:rsidRPr="00DD7BD1" w:rsidRDefault="003A22A9" w:rsidP="003A22A9">
      <w:pPr>
        <w:pStyle w:val="Heading1"/>
        <w:spacing w:before="0" w:beforeAutospacing="0" w:after="0" w:afterAutospacing="0"/>
        <w:ind w:right="360"/>
        <w:rPr>
          <w:rFonts w:ascii="Calibri" w:hAnsi="Calibri" w:cs="Calibri"/>
          <w:color w:val="C00000"/>
          <w:spacing w:val="-8"/>
          <w:sz w:val="22"/>
          <w:szCs w:val="22"/>
        </w:rPr>
      </w:pPr>
    </w:p>
    <w:p w14:paraId="35D59F66" w14:textId="3F4ECF41" w:rsidR="003A22A9" w:rsidRPr="00DD7BD1" w:rsidRDefault="003A22A9" w:rsidP="003A22A9">
      <w:pPr>
        <w:pStyle w:val="Heading1"/>
        <w:spacing w:before="0" w:beforeAutospacing="0" w:after="0" w:afterAutospacing="0"/>
        <w:ind w:right="-18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 Restricts Working Hours for 16 to 18 Year Olds – </w:t>
      </w:r>
      <w:r w:rsidRPr="00DD7BD1">
        <w:rPr>
          <w:rFonts w:ascii="Calibri" w:hAnsi="Calibri" w:cs="Calibri"/>
          <w:bCs w:val="0"/>
          <w:color w:val="C00000"/>
          <w:spacing w:val="-8"/>
          <w:kern w:val="0"/>
          <w:sz w:val="28"/>
          <w:szCs w:val="24"/>
        </w:rPr>
        <w:t>Eff Oct 1, 2025</w:t>
      </w:r>
    </w:p>
    <w:p w14:paraId="5F50DA94" w14:textId="77777777" w:rsidR="003A22A9" w:rsidRPr="00DD7BD1" w:rsidRDefault="003A22A9" w:rsidP="003A22A9">
      <w:pPr>
        <w:pStyle w:val="BodyText"/>
        <w:rPr>
          <w:rFonts w:cs="Calibri"/>
          <w:color w:val="auto"/>
          <w:szCs w:val="22"/>
        </w:rPr>
      </w:pP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rPr>
        <w:t>October</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2025,</w:t>
      </w:r>
      <w:r w:rsidRPr="00DD7BD1">
        <w:rPr>
          <w:rFonts w:cs="Calibri"/>
          <w:color w:val="auto"/>
          <w:spacing w:val="-2"/>
          <w:w w:val="110"/>
          <w:szCs w:val="22"/>
        </w:rPr>
        <w:t xml:space="preserve"> </w:t>
      </w:r>
      <w:r w:rsidRPr="00DD7BD1">
        <w:rPr>
          <w:rFonts w:cs="Calibri"/>
          <w:color w:val="auto"/>
          <w:w w:val="110"/>
          <w:szCs w:val="22"/>
          <w:u w:val="single"/>
        </w:rPr>
        <w:t>employees aged</w:t>
      </w:r>
      <w:r w:rsidRPr="00DD7BD1">
        <w:rPr>
          <w:rFonts w:cs="Calibri"/>
          <w:color w:val="auto"/>
          <w:spacing w:val="-4"/>
          <w:w w:val="110"/>
          <w:szCs w:val="22"/>
          <w:u w:val="single"/>
        </w:rPr>
        <w:t xml:space="preserve"> </w:t>
      </w:r>
      <w:r w:rsidRPr="00DD7BD1">
        <w:rPr>
          <w:rFonts w:cs="Calibri"/>
          <w:color w:val="auto"/>
          <w:w w:val="110"/>
          <w:szCs w:val="22"/>
          <w:u w:val="single"/>
        </w:rPr>
        <w:t>16–18</w:t>
      </w:r>
      <w:r w:rsidRPr="00DD7BD1">
        <w:rPr>
          <w:rFonts w:cs="Calibri"/>
          <w:color w:val="auto"/>
          <w:spacing w:val="-1"/>
          <w:w w:val="110"/>
          <w:szCs w:val="22"/>
          <w:u w:val="single"/>
        </w:rPr>
        <w:t xml:space="preserve"> </w:t>
      </w:r>
      <w:r w:rsidRPr="00DD7BD1">
        <w:rPr>
          <w:rFonts w:cs="Calibri"/>
          <w:color w:val="auto"/>
          <w:w w:val="110"/>
          <w:szCs w:val="22"/>
          <w:u w:val="single"/>
        </w:rPr>
        <w:t>who</w:t>
      </w:r>
      <w:r w:rsidRPr="00DD7BD1">
        <w:rPr>
          <w:rFonts w:cs="Calibri"/>
          <w:color w:val="auto"/>
          <w:spacing w:val="-3"/>
          <w:w w:val="110"/>
          <w:szCs w:val="22"/>
          <w:u w:val="single"/>
        </w:rPr>
        <w:t xml:space="preserve"> </w:t>
      </w:r>
      <w:r w:rsidRPr="00DD7BD1">
        <w:rPr>
          <w:rFonts w:cs="Calibri"/>
          <w:color w:val="auto"/>
          <w:w w:val="110"/>
          <w:szCs w:val="22"/>
          <w:u w:val="single"/>
        </w:rPr>
        <w:t>are</w:t>
      </w:r>
      <w:r w:rsidRPr="00DD7BD1">
        <w:rPr>
          <w:rFonts w:cs="Calibri"/>
          <w:color w:val="auto"/>
          <w:spacing w:val="-4"/>
          <w:w w:val="110"/>
          <w:szCs w:val="22"/>
          <w:u w:val="single"/>
        </w:rPr>
        <w:t xml:space="preserve"> </w:t>
      </w:r>
      <w:r w:rsidRPr="00DD7BD1">
        <w:rPr>
          <w:rFonts w:cs="Calibri"/>
          <w:color w:val="auto"/>
          <w:w w:val="110"/>
          <w:szCs w:val="22"/>
          <w:u w:val="single"/>
        </w:rPr>
        <w:t>enrolled</w:t>
      </w:r>
      <w:r w:rsidRPr="00DD7BD1">
        <w:rPr>
          <w:rFonts w:cs="Calibri"/>
          <w:color w:val="auto"/>
          <w:spacing w:val="-2"/>
          <w:w w:val="110"/>
          <w:szCs w:val="22"/>
          <w:u w:val="single"/>
        </w:rPr>
        <w:t xml:space="preserve"> </w:t>
      </w:r>
      <w:r w:rsidRPr="00DD7BD1">
        <w:rPr>
          <w:rFonts w:cs="Calibri"/>
          <w:color w:val="auto"/>
          <w:w w:val="110"/>
          <w:szCs w:val="22"/>
          <w:u w:val="single"/>
        </w:rPr>
        <w:t>in</w:t>
      </w:r>
      <w:r w:rsidRPr="00DD7BD1">
        <w:rPr>
          <w:rFonts w:cs="Calibri"/>
          <w:color w:val="auto"/>
          <w:spacing w:val="-1"/>
          <w:w w:val="110"/>
          <w:szCs w:val="22"/>
          <w:u w:val="single"/>
        </w:rPr>
        <w:t xml:space="preserve"> </w:t>
      </w:r>
      <w:r w:rsidRPr="00DD7BD1">
        <w:rPr>
          <w:rFonts w:cs="Calibri"/>
          <w:color w:val="auto"/>
          <w:w w:val="110"/>
          <w:szCs w:val="22"/>
          <w:u w:val="single"/>
        </w:rPr>
        <w:t>a</w:t>
      </w:r>
      <w:r w:rsidRPr="00DD7BD1">
        <w:rPr>
          <w:rFonts w:cs="Calibri"/>
          <w:color w:val="auto"/>
          <w:spacing w:val="-5"/>
          <w:w w:val="110"/>
          <w:szCs w:val="22"/>
          <w:u w:val="single"/>
        </w:rPr>
        <w:t xml:space="preserve"> </w:t>
      </w:r>
      <w:r w:rsidRPr="00DD7BD1">
        <w:rPr>
          <w:rFonts w:cs="Calibri"/>
          <w:color w:val="auto"/>
          <w:w w:val="110"/>
          <w:szCs w:val="22"/>
          <w:u w:val="single"/>
        </w:rPr>
        <w:t>public</w:t>
      </w:r>
      <w:r w:rsidRPr="00DD7BD1">
        <w:rPr>
          <w:rFonts w:cs="Calibri"/>
          <w:color w:val="auto"/>
          <w:spacing w:val="-2"/>
          <w:w w:val="110"/>
          <w:szCs w:val="22"/>
          <w:u w:val="single"/>
        </w:rPr>
        <w:t xml:space="preserve"> </w:t>
      </w:r>
      <w:r w:rsidRPr="00DD7BD1">
        <w:rPr>
          <w:rFonts w:cs="Calibri"/>
          <w:color w:val="auto"/>
          <w:w w:val="110"/>
          <w:szCs w:val="22"/>
          <w:u w:val="single"/>
        </w:rPr>
        <w:t>or</w:t>
      </w:r>
      <w:r w:rsidRPr="00DD7BD1">
        <w:rPr>
          <w:rFonts w:cs="Calibri"/>
          <w:color w:val="auto"/>
          <w:spacing w:val="-5"/>
          <w:w w:val="110"/>
          <w:szCs w:val="22"/>
          <w:u w:val="single"/>
        </w:rPr>
        <w:t xml:space="preserve"> </w:t>
      </w:r>
      <w:r w:rsidRPr="00DD7BD1">
        <w:rPr>
          <w:rFonts w:cs="Calibri"/>
          <w:color w:val="auto"/>
          <w:w w:val="110"/>
          <w:szCs w:val="22"/>
          <w:u w:val="single"/>
        </w:rPr>
        <w:t>private</w:t>
      </w:r>
      <w:r w:rsidRPr="00DD7BD1">
        <w:rPr>
          <w:rFonts w:cs="Calibri"/>
          <w:color w:val="auto"/>
          <w:spacing w:val="-4"/>
          <w:w w:val="110"/>
          <w:szCs w:val="22"/>
          <w:u w:val="single"/>
        </w:rPr>
        <w:t xml:space="preserve"> </w:t>
      </w:r>
      <w:r w:rsidRPr="00DD7BD1">
        <w:rPr>
          <w:rFonts w:cs="Calibri"/>
          <w:color w:val="auto"/>
          <w:w w:val="110"/>
          <w:szCs w:val="22"/>
          <w:u w:val="single"/>
        </w:rPr>
        <w:t>high</w:t>
      </w:r>
      <w:r w:rsidRPr="00DD7BD1">
        <w:rPr>
          <w:rFonts w:cs="Calibri"/>
          <w:color w:val="auto"/>
          <w:spacing w:val="-4"/>
          <w:w w:val="110"/>
          <w:szCs w:val="22"/>
          <w:u w:val="single"/>
        </w:rPr>
        <w:t xml:space="preserve"> </w:t>
      </w:r>
      <w:r w:rsidRPr="00DD7BD1">
        <w:rPr>
          <w:rFonts w:cs="Calibri"/>
          <w:color w:val="auto"/>
          <w:w w:val="110"/>
          <w:szCs w:val="22"/>
          <w:u w:val="single"/>
        </w:rPr>
        <w:t>school</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1"/>
          <w:w w:val="110"/>
          <w:szCs w:val="22"/>
        </w:rPr>
        <w:t xml:space="preserve"> </w:t>
      </w:r>
      <w:r w:rsidRPr="00DD7BD1">
        <w:rPr>
          <w:rFonts w:cs="Calibri"/>
          <w:color w:val="auto"/>
          <w:spacing w:val="-2"/>
          <w:w w:val="110"/>
          <w:szCs w:val="22"/>
        </w:rPr>
        <w:t>aren’t</w:t>
      </w:r>
    </w:p>
    <w:p w14:paraId="3BDE4764" w14:textId="77777777" w:rsidR="003A22A9" w:rsidRPr="00DD7BD1" w:rsidRDefault="003A22A9" w:rsidP="003A22A9">
      <w:pPr>
        <w:pStyle w:val="BodyText"/>
        <w:spacing w:before="10"/>
        <w:rPr>
          <w:rFonts w:cs="Calibri"/>
          <w:szCs w:val="22"/>
        </w:rPr>
      </w:pPr>
      <w:r w:rsidRPr="00DD7BD1">
        <w:rPr>
          <w:rFonts w:cs="Calibri"/>
          <w:color w:val="auto"/>
          <w:w w:val="110"/>
          <w:szCs w:val="22"/>
        </w:rPr>
        <w:t>emancipated</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generally</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8"/>
          <w:w w:val="110"/>
          <w:szCs w:val="22"/>
        </w:rPr>
        <w:t xml:space="preserve"> </w:t>
      </w:r>
      <w:r w:rsidRPr="00DD7BD1">
        <w:rPr>
          <w:rFonts w:cs="Calibri"/>
          <w:color w:val="auto"/>
          <w:w w:val="110"/>
          <w:szCs w:val="22"/>
        </w:rPr>
        <w:t>prohibited</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working</w:t>
      </w:r>
      <w:r w:rsidRPr="00DD7BD1">
        <w:rPr>
          <w:rFonts w:cs="Calibri"/>
          <w:color w:val="auto"/>
          <w:spacing w:val="-16"/>
          <w:w w:val="110"/>
          <w:szCs w:val="22"/>
        </w:rPr>
        <w:t xml:space="preserve"> </w:t>
      </w:r>
      <w:r w:rsidRPr="00DD7BD1">
        <w:rPr>
          <w:rFonts w:cs="Calibri"/>
          <w:color w:val="auto"/>
          <w:w w:val="110"/>
          <w:szCs w:val="22"/>
        </w:rPr>
        <w:t>between</w:t>
      </w:r>
      <w:r w:rsidRPr="00DD7BD1">
        <w:rPr>
          <w:rFonts w:cs="Calibri"/>
          <w:color w:val="auto"/>
          <w:spacing w:val="-17"/>
          <w:w w:val="110"/>
          <w:szCs w:val="22"/>
        </w:rPr>
        <w:t xml:space="preserve"> </w:t>
      </w:r>
      <w:r w:rsidRPr="00DD7BD1">
        <w:rPr>
          <w:rFonts w:cs="Calibri"/>
          <w:color w:val="auto"/>
          <w:w w:val="110"/>
          <w:szCs w:val="22"/>
        </w:rPr>
        <w:t>11</w:t>
      </w:r>
      <w:r w:rsidRPr="00DD7BD1">
        <w:rPr>
          <w:rFonts w:cs="Calibri"/>
          <w:color w:val="auto"/>
          <w:spacing w:val="-15"/>
          <w:w w:val="110"/>
          <w:szCs w:val="22"/>
        </w:rPr>
        <w:t xml:space="preserve"> </w:t>
      </w:r>
      <w:r w:rsidRPr="00DD7BD1">
        <w:rPr>
          <w:rFonts w:cs="Calibri"/>
          <w:color w:val="auto"/>
          <w:w w:val="110"/>
          <w:szCs w:val="22"/>
        </w:rPr>
        <w:t>p.m.</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6</w:t>
      </w:r>
      <w:r w:rsidRPr="00DD7BD1">
        <w:rPr>
          <w:rFonts w:cs="Calibri"/>
          <w:color w:val="auto"/>
          <w:spacing w:val="-14"/>
          <w:w w:val="110"/>
          <w:szCs w:val="22"/>
        </w:rPr>
        <w:t xml:space="preserve"> </w:t>
      </w:r>
      <w:r w:rsidRPr="00DD7BD1">
        <w:rPr>
          <w:rFonts w:cs="Calibri"/>
          <w:color w:val="auto"/>
          <w:w w:val="110"/>
          <w:szCs w:val="22"/>
        </w:rPr>
        <w:t>a.m.</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school</w:t>
      </w:r>
      <w:r w:rsidRPr="00DD7BD1">
        <w:rPr>
          <w:rFonts w:cs="Calibri"/>
          <w:color w:val="auto"/>
          <w:spacing w:val="-18"/>
          <w:w w:val="110"/>
          <w:szCs w:val="22"/>
        </w:rPr>
        <w:t xml:space="preserve"> </w:t>
      </w:r>
      <w:r w:rsidRPr="00DD7BD1">
        <w:rPr>
          <w:rFonts w:cs="Calibri"/>
          <w:color w:val="auto"/>
          <w:w w:val="110"/>
          <w:szCs w:val="22"/>
        </w:rPr>
        <w:t>nights</w:t>
      </w:r>
      <w:r w:rsidRPr="00DD7BD1">
        <w:rPr>
          <w:rFonts w:cs="Calibri"/>
          <w:color w:val="auto"/>
          <w:spacing w:val="-8"/>
          <w:w w:val="110"/>
          <w:szCs w:val="22"/>
        </w:rPr>
        <w:t xml:space="preserve"> </w:t>
      </w:r>
      <w:r w:rsidRPr="00DD7BD1">
        <w:rPr>
          <w:rFonts w:cs="Calibri"/>
          <w:color w:val="auto"/>
          <w:w w:val="110"/>
          <w:szCs w:val="22"/>
        </w:rPr>
        <w:t>under</w:t>
      </w:r>
      <w:r w:rsidRPr="00DD7BD1">
        <w:rPr>
          <w:rFonts w:cs="Calibri"/>
          <w:color w:val="auto"/>
          <w:spacing w:val="-15"/>
          <w:w w:val="110"/>
          <w:szCs w:val="22"/>
        </w:rPr>
        <w:t xml:space="preserve"> </w:t>
      </w:r>
      <w:hyperlink r:id="rId817">
        <w:r w:rsidRPr="00DD7BD1">
          <w:rPr>
            <w:rFonts w:cs="Calibri"/>
            <w:color w:val="0000FF"/>
            <w:w w:val="110"/>
            <w:szCs w:val="22"/>
            <w:u w:val="single" w:color="0000FF"/>
          </w:rPr>
          <w:t>AB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215</w:t>
        </w:r>
      </w:hyperlink>
      <w:r w:rsidRPr="00DD7BD1">
        <w:rPr>
          <w:rFonts w:cs="Calibri"/>
          <w:color w:val="0000FF"/>
          <w:spacing w:val="-14"/>
          <w:w w:val="110"/>
          <w:szCs w:val="22"/>
        </w:rPr>
        <w:t xml:space="preserve"> </w:t>
      </w:r>
      <w:r w:rsidRPr="00DD7BD1">
        <w:rPr>
          <w:rFonts w:cs="Calibri"/>
          <w:color w:val="2D74B5"/>
          <w:spacing w:val="-10"/>
          <w:w w:val="110"/>
          <w:szCs w:val="22"/>
        </w:rPr>
        <w:t>.</w:t>
      </w:r>
    </w:p>
    <w:p w14:paraId="58297589" w14:textId="7916DFE4" w:rsidR="003A22A9" w:rsidRPr="00DD7BD1" w:rsidRDefault="003A22A9" w:rsidP="003A22A9">
      <w:pPr>
        <w:pStyle w:val="BodyText"/>
        <w:spacing w:after="0" w:line="240" w:lineRule="auto"/>
        <w:rPr>
          <w:rFonts w:cs="Calibri"/>
          <w:color w:val="auto"/>
          <w:w w:val="110"/>
          <w:szCs w:val="22"/>
        </w:rPr>
      </w:pPr>
      <w:r w:rsidRPr="00DD7BD1">
        <w:rPr>
          <w:rFonts w:cs="Calibri"/>
          <w:color w:val="auto"/>
          <w:w w:val="110"/>
          <w:szCs w:val="22"/>
        </w:rPr>
        <w:t xml:space="preserve">This restriction doesn’t apply to certain occupations, such as lifeguards, arcade employees, stage or theatrical </w:t>
      </w:r>
      <w:r w:rsidRPr="00DD7BD1">
        <w:rPr>
          <w:rFonts w:cs="Calibri"/>
          <w:color w:val="auto"/>
          <w:szCs w:val="22"/>
        </w:rPr>
        <w:t>performers,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farm</w:t>
      </w:r>
      <w:r w:rsidRPr="00DD7BD1">
        <w:rPr>
          <w:rFonts w:cs="Calibri"/>
          <w:color w:val="auto"/>
          <w:spacing w:val="35"/>
          <w:szCs w:val="22"/>
        </w:rPr>
        <w:t xml:space="preserve"> </w:t>
      </w:r>
      <w:r w:rsidRPr="00DD7BD1">
        <w:rPr>
          <w:rFonts w:cs="Calibri"/>
          <w:color w:val="auto"/>
          <w:szCs w:val="22"/>
        </w:rPr>
        <w:t>workers.</w:t>
      </w:r>
      <w:r w:rsidRPr="00DD7BD1">
        <w:rPr>
          <w:rFonts w:cs="Calibri"/>
          <w:color w:val="auto"/>
          <w:spacing w:val="29"/>
          <w:szCs w:val="22"/>
        </w:rPr>
        <w:t xml:space="preserve"> </w:t>
      </w:r>
      <w:r w:rsidRPr="00DD7BD1">
        <w:rPr>
          <w:rFonts w:cs="Calibri"/>
          <w:color w:val="auto"/>
          <w:szCs w:val="22"/>
        </w:rPr>
        <w:t>Additionally,</w:t>
      </w:r>
      <w:r w:rsidRPr="00DD7BD1">
        <w:rPr>
          <w:rFonts w:cs="Calibri"/>
          <w:color w:val="auto"/>
          <w:spacing w:val="35"/>
          <w:szCs w:val="22"/>
        </w:rPr>
        <w:t xml:space="preserve"> </w:t>
      </w:r>
      <w:r w:rsidRPr="00DD7BD1">
        <w:rPr>
          <w:rFonts w:cs="Calibri"/>
          <w:color w:val="auto"/>
          <w:szCs w:val="22"/>
        </w:rPr>
        <w:t>a</w:t>
      </w:r>
      <w:r w:rsidRPr="00DD7BD1">
        <w:rPr>
          <w:rFonts w:cs="Calibri"/>
          <w:color w:val="auto"/>
          <w:spacing w:val="25"/>
          <w:szCs w:val="22"/>
        </w:rPr>
        <w:t xml:space="preserve"> </w:t>
      </w:r>
      <w:r w:rsidRPr="00DD7BD1">
        <w:rPr>
          <w:rFonts w:cs="Calibri"/>
          <w:color w:val="auto"/>
          <w:szCs w:val="22"/>
        </w:rPr>
        <w:t>school</w:t>
      </w:r>
      <w:r w:rsidRPr="00DD7BD1">
        <w:rPr>
          <w:rFonts w:cs="Calibri"/>
          <w:color w:val="auto"/>
          <w:spacing w:val="33"/>
          <w:szCs w:val="22"/>
        </w:rPr>
        <w:t xml:space="preserve"> </w:t>
      </w:r>
      <w:r w:rsidRPr="00DD7BD1">
        <w:rPr>
          <w:rFonts w:cs="Calibri"/>
          <w:color w:val="auto"/>
          <w:szCs w:val="22"/>
        </w:rPr>
        <w:t>district,</w:t>
      </w:r>
      <w:r w:rsidRPr="00DD7BD1">
        <w:rPr>
          <w:rFonts w:cs="Calibri"/>
          <w:color w:val="auto"/>
          <w:spacing w:val="33"/>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governing</w:t>
      </w:r>
      <w:r w:rsidRPr="00DD7BD1">
        <w:rPr>
          <w:rFonts w:cs="Calibri"/>
          <w:color w:val="auto"/>
          <w:spacing w:val="31"/>
          <w:szCs w:val="22"/>
        </w:rPr>
        <w:t xml:space="preserve"> </w:t>
      </w:r>
      <w:r w:rsidRPr="00DD7BD1">
        <w:rPr>
          <w:rFonts w:cs="Calibri"/>
          <w:color w:val="auto"/>
          <w:szCs w:val="22"/>
        </w:rPr>
        <w:t>body</w:t>
      </w:r>
      <w:r w:rsidRPr="00DD7BD1">
        <w:rPr>
          <w:rFonts w:cs="Calibri"/>
          <w:color w:val="auto"/>
          <w:spacing w:val="31"/>
          <w:szCs w:val="22"/>
        </w:rPr>
        <w:t xml:space="preserve"> </w:t>
      </w:r>
      <w:r w:rsidRPr="00DD7BD1">
        <w:rPr>
          <w:rFonts w:cs="Calibri"/>
          <w:color w:val="auto"/>
          <w:szCs w:val="22"/>
        </w:rPr>
        <w:t>of</w:t>
      </w:r>
      <w:r w:rsidRPr="00DD7BD1">
        <w:rPr>
          <w:rFonts w:cs="Calibri"/>
          <w:color w:val="auto"/>
          <w:spacing w:val="29"/>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high</w:t>
      </w:r>
      <w:r w:rsidRPr="00DD7BD1">
        <w:rPr>
          <w:rFonts w:cs="Calibri"/>
          <w:color w:val="auto"/>
          <w:spacing w:val="31"/>
          <w:szCs w:val="22"/>
        </w:rPr>
        <w:t xml:space="preserve"> </w:t>
      </w:r>
      <w:r w:rsidRPr="00DD7BD1">
        <w:rPr>
          <w:rFonts w:cs="Calibri"/>
          <w:color w:val="auto"/>
          <w:szCs w:val="22"/>
        </w:rPr>
        <w:t>school,</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a</w:t>
      </w:r>
      <w:r w:rsidRPr="00DD7BD1">
        <w:rPr>
          <w:rFonts w:cs="Calibri"/>
          <w:color w:val="auto"/>
          <w:spacing w:val="35"/>
          <w:szCs w:val="22"/>
        </w:rPr>
        <w:t xml:space="preserve"> </w:t>
      </w:r>
      <w:r w:rsidRPr="00DD7BD1">
        <w:rPr>
          <w:rFonts w:cs="Calibri"/>
          <w:color w:val="auto"/>
          <w:szCs w:val="22"/>
        </w:rPr>
        <w:t>juvenile</w:t>
      </w:r>
      <w:r w:rsidRPr="00DD7BD1">
        <w:rPr>
          <w:rFonts w:cs="Calibri"/>
          <w:color w:val="auto"/>
          <w:spacing w:val="35"/>
          <w:szCs w:val="22"/>
        </w:rPr>
        <w:t xml:space="preserve"> </w:t>
      </w:r>
      <w:r w:rsidRPr="00DD7BD1">
        <w:rPr>
          <w:rFonts w:cs="Calibri"/>
          <w:color w:val="auto"/>
          <w:szCs w:val="22"/>
        </w:rPr>
        <w:t xml:space="preserve">court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grant</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exemption if</w:t>
      </w:r>
      <w:r w:rsidRPr="00DD7BD1">
        <w:rPr>
          <w:rFonts w:cs="Calibri"/>
          <w:color w:val="auto"/>
          <w:spacing w:val="-3"/>
          <w:w w:val="110"/>
          <w:szCs w:val="22"/>
        </w:rPr>
        <w:t xml:space="preserve"> </w:t>
      </w:r>
      <w:r w:rsidRPr="00DD7BD1">
        <w:rPr>
          <w:rFonts w:cs="Calibri"/>
          <w:color w:val="auto"/>
          <w:w w:val="110"/>
          <w:szCs w:val="22"/>
        </w:rPr>
        <w:t>it</w:t>
      </w:r>
      <w:r w:rsidRPr="00DD7BD1">
        <w:rPr>
          <w:rFonts w:cs="Calibri"/>
          <w:color w:val="auto"/>
          <w:spacing w:val="-3"/>
          <w:w w:val="110"/>
          <w:szCs w:val="22"/>
        </w:rPr>
        <w:t xml:space="preserve"> </w:t>
      </w:r>
      <w:r w:rsidRPr="00DD7BD1">
        <w:rPr>
          <w:rFonts w:cs="Calibri"/>
          <w:color w:val="auto"/>
          <w:w w:val="110"/>
          <w:szCs w:val="22"/>
        </w:rPr>
        <w:t>determines</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it’s</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best</w:t>
      </w:r>
      <w:r w:rsidRPr="00DD7BD1">
        <w:rPr>
          <w:rFonts w:cs="Calibri"/>
          <w:color w:val="auto"/>
          <w:spacing w:val="-3"/>
          <w:w w:val="110"/>
          <w:szCs w:val="22"/>
        </w:rPr>
        <w:t xml:space="preserve"> </w:t>
      </w:r>
      <w:r w:rsidRPr="00DD7BD1">
        <w:rPr>
          <w:rFonts w:cs="Calibri"/>
          <w:color w:val="auto"/>
          <w:w w:val="110"/>
          <w:szCs w:val="22"/>
        </w:rPr>
        <w:t>interest</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minor.</w:t>
      </w:r>
    </w:p>
    <w:p w14:paraId="53754BDB" w14:textId="77777777" w:rsidR="003A22A9" w:rsidRPr="00DD7BD1" w:rsidRDefault="003A22A9" w:rsidP="003A22A9">
      <w:pPr>
        <w:pStyle w:val="BodyText"/>
        <w:spacing w:after="0" w:line="240" w:lineRule="auto"/>
        <w:rPr>
          <w:rFonts w:cs="Calibri"/>
          <w:color w:val="auto"/>
          <w:szCs w:val="22"/>
        </w:rPr>
      </w:pPr>
    </w:p>
    <w:p w14:paraId="48BF2C8D" w14:textId="2ADF6B70" w:rsidR="00AD4A8E" w:rsidRPr="00DD7BD1" w:rsidRDefault="00AD4A8E" w:rsidP="00AD4A8E">
      <w:pPr>
        <w:shd w:val="clear" w:color="auto" w:fill="FFFFFF"/>
        <w:jc w:val="center"/>
        <w:rPr>
          <w:rStyle w:val="typographytype-sc-ws1d2d-0"/>
          <w:rFonts w:ascii="Calibri" w:hAnsi="Calibri" w:cs="Calibri"/>
          <w:b/>
          <w:bCs/>
          <w:color w:val="282828"/>
        </w:rPr>
      </w:pPr>
      <w:r w:rsidRPr="00DD7BD1">
        <w:rPr>
          <w:rFonts w:ascii="Calibri" w:hAnsi="Calibri" w:cs="Calibri"/>
          <w:b/>
          <w:bCs/>
          <w:sz w:val="28"/>
          <w:szCs w:val="28"/>
          <w:shd w:val="clear" w:color="auto" w:fill="FFFFFF"/>
          <w:lang w:val="en"/>
        </w:rPr>
        <w:t xml:space="preserve">State’s Employee Savings Trust Retirement Program Enacted – </w:t>
      </w:r>
      <w:r w:rsidRPr="00DD7BD1">
        <w:rPr>
          <w:rFonts w:ascii="Calibri" w:hAnsi="Calibri" w:cs="Calibri"/>
          <w:b/>
          <w:bCs/>
          <w:color w:val="C00000"/>
          <w:sz w:val="28"/>
          <w:szCs w:val="28"/>
          <w:shd w:val="clear" w:color="auto" w:fill="FFFFFF"/>
          <w:lang w:val="en"/>
        </w:rPr>
        <w:t>Eff July 1, 2025</w:t>
      </w:r>
    </w:p>
    <w:p w14:paraId="691CFC74" w14:textId="77777777" w:rsidR="00AD4A8E" w:rsidRPr="00DD7BD1" w:rsidRDefault="00AD4A8E" w:rsidP="00AD4A8E">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 xml:space="preserve">The program is scheduled to be operational on </w:t>
      </w:r>
      <w:r w:rsidRPr="00DD7BD1">
        <w:rPr>
          <w:rFonts w:ascii="Calibri" w:hAnsi="Calibri" w:cs="Calibri"/>
          <w:color w:val="C00000"/>
          <w:sz w:val="22"/>
          <w:szCs w:val="22"/>
        </w:rPr>
        <w:t xml:space="preserve">July 1, 2025, </w:t>
      </w:r>
      <w:r w:rsidRPr="00DD7BD1">
        <w:rPr>
          <w:rFonts w:ascii="Calibri" w:hAnsi="Calibri" w:cs="Calibri"/>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16"/>
          <w:szCs w:val="16"/>
        </w:rPr>
      </w:pPr>
    </w:p>
    <w:p w14:paraId="54691D83"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Details are available in the </w:t>
      </w:r>
      <w:hyperlink r:id="rId818" w:tgtFrame="_blank" w:history="1">
        <w:r w:rsidRPr="00DD7BD1">
          <w:rPr>
            <w:rStyle w:val="Hyperlink"/>
            <w:rFonts w:ascii="Calibri" w:eastAsiaTheme="majorEastAsia" w:hAnsi="Calibri" w:cs="Calibri"/>
            <w:color w:val="3052DA"/>
            <w:sz w:val="22"/>
            <w:szCs w:val="22"/>
          </w:rPr>
          <w:t>NV S 305</w:t>
        </w:r>
      </w:hyperlink>
      <w:r w:rsidRPr="00DD7BD1">
        <w:rPr>
          <w:rFonts w:ascii="Calibri" w:hAnsi="Calibri" w:cs="Calibri"/>
          <w:color w:val="282828"/>
          <w:sz w:val="22"/>
          <w:szCs w:val="22"/>
        </w:rPr>
        <w:t> legislative text, and a program summary can be found on the </w:t>
      </w:r>
      <w:r w:rsidRPr="00DD7BD1">
        <w:rPr>
          <w:rFonts w:ascii="Calibri" w:eastAsiaTheme="majorEastAsia" w:hAnsi="Calibri" w:cs="Calibri"/>
          <w:sz w:val="22"/>
          <w:szCs w:val="22"/>
        </w:rPr>
        <w:t>State-Facilitated Retirement Programs</w:t>
      </w:r>
      <w:r w:rsidRPr="00DD7BD1">
        <w:rPr>
          <w:rFonts w:ascii="Calibri" w:hAnsi="Calibri" w:cs="Calibri"/>
          <w:color w:val="282828"/>
          <w:sz w:val="22"/>
          <w:szCs w:val="22"/>
        </w:rPr>
        <w:t> page.</w:t>
      </w:r>
    </w:p>
    <w:p w14:paraId="7759BD46" w14:textId="77777777" w:rsidR="00AD4A8E" w:rsidRPr="00DD7BD1" w:rsidRDefault="00AD4A8E" w:rsidP="0095771D">
      <w:pPr>
        <w:spacing w:after="0" w:line="240" w:lineRule="auto"/>
        <w:rPr>
          <w:rFonts w:ascii="Calibri" w:hAnsi="Calibri" w:cs="Calibri"/>
          <w:b/>
          <w:bCs/>
          <w:shd w:val="clear" w:color="auto" w:fill="FFFFFF"/>
          <w:lang w:val="en"/>
        </w:rPr>
      </w:pPr>
    </w:p>
    <w:p w14:paraId="54CF83B3" w14:textId="3E2A49B0" w:rsidR="0095771D" w:rsidRPr="00DD7BD1" w:rsidRDefault="0095771D" w:rsidP="0095771D">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Guidance Released: State Heat Illness Prevention Rule – </w:t>
      </w:r>
      <w:r w:rsidRPr="00DD7BD1">
        <w:rPr>
          <w:rFonts w:ascii="Calibri" w:hAnsi="Calibri" w:cs="Calibri"/>
          <w:b/>
          <w:bCs/>
          <w:color w:val="C00000"/>
          <w:sz w:val="28"/>
          <w:szCs w:val="28"/>
          <w:shd w:val="clear" w:color="auto" w:fill="FFFFFF"/>
          <w:lang w:val="en"/>
        </w:rPr>
        <w:t>Enforced April 29, 2025</w:t>
      </w:r>
    </w:p>
    <w:p w14:paraId="37FC3D46"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Nevada Division of Industrial Relations (DIR) of the Department of Business and Industry adopted a heat illness </w:t>
      </w:r>
      <w:hyperlink r:id="rId819" w:history="1">
        <w:r w:rsidRPr="00DD7BD1">
          <w:rPr>
            <w:rStyle w:val="Hyperlink"/>
            <w:rFonts w:ascii="Calibri" w:hAnsi="Calibri" w:cs="Calibri"/>
            <w:shd w:val="clear" w:color="auto" w:fill="FFFFFF"/>
          </w:rPr>
          <w:t>regulation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This regulation went into effect on Nov. 15, 2024. </w:t>
      </w:r>
    </w:p>
    <w:p w14:paraId="62C778B3" w14:textId="77777777" w:rsidR="0095771D" w:rsidRPr="00DD7BD1" w:rsidRDefault="0095771D" w:rsidP="0095771D">
      <w:pPr>
        <w:spacing w:after="0" w:line="240" w:lineRule="auto"/>
        <w:rPr>
          <w:rFonts w:ascii="Calibri" w:hAnsi="Calibri" w:cs="Calibri"/>
          <w:shd w:val="clear" w:color="auto" w:fill="FFFFFF"/>
        </w:rPr>
      </w:pPr>
    </w:p>
    <w:p w14:paraId="196E55CE"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Businesses with more than 10 employees must implement the following:</w:t>
      </w:r>
    </w:p>
    <w:p w14:paraId="38DE6D1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Job hazard analysis;</w:t>
      </w:r>
    </w:p>
    <w:p w14:paraId="480C007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Written safety program;</w:t>
      </w:r>
    </w:p>
    <w:p w14:paraId="0F7AD1C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Emergency procedures;</w:t>
      </w:r>
    </w:p>
    <w:p w14:paraId="75CDFB5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Training;</w:t>
      </w:r>
    </w:p>
    <w:p w14:paraId="7A2FCF61"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Climate-controlled environment exemptions;</w:t>
      </w:r>
    </w:p>
    <w:p w14:paraId="1733C4D6"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Collective bargaining agreements.</w:t>
      </w:r>
    </w:p>
    <w:p w14:paraId="3812FE50" w14:textId="77777777" w:rsidR="0095771D" w:rsidRPr="00DD7BD1" w:rsidRDefault="0095771D" w:rsidP="0095771D">
      <w:pPr>
        <w:spacing w:after="0" w:line="240" w:lineRule="auto"/>
        <w:rPr>
          <w:rFonts w:ascii="Calibri" w:hAnsi="Calibri" w:cs="Calibri"/>
          <w:shd w:val="clear" w:color="auto" w:fill="FFFFFF"/>
        </w:rPr>
      </w:pPr>
    </w:p>
    <w:p w14:paraId="4BB3223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Resources: </w:t>
      </w:r>
    </w:p>
    <w:p w14:paraId="3234B269" w14:textId="77777777" w:rsidR="0095771D" w:rsidRPr="00DD7BD1" w:rsidRDefault="0095771D">
      <w:pPr>
        <w:pStyle w:val="LR-BulletList"/>
        <w:numPr>
          <w:ilvl w:val="0"/>
          <w:numId w:val="147"/>
        </w:numPr>
        <w:spacing w:before="0" w:after="0" w:line="240" w:lineRule="auto"/>
        <w:rPr>
          <w:rFonts w:cs="Calibri"/>
        </w:rPr>
      </w:pPr>
      <w:r w:rsidRPr="00DD7BD1">
        <w:rPr>
          <w:rFonts w:cs="Calibri"/>
          <w:color w:val="auto"/>
        </w:rPr>
        <w:t xml:space="preserve">Nevada Heat Illness Prevention </w:t>
      </w:r>
      <w:hyperlink r:id="rId820" w:history="1">
        <w:r w:rsidRPr="00DD7BD1">
          <w:rPr>
            <w:rStyle w:val="Hyperlink"/>
            <w:rFonts w:cs="Calibri"/>
          </w:rPr>
          <w:t>Rules</w:t>
        </w:r>
      </w:hyperlink>
    </w:p>
    <w:p w14:paraId="54BC3F26" w14:textId="6C8BA442" w:rsidR="0095771D" w:rsidRPr="00DD7BD1" w:rsidRDefault="0095771D">
      <w:pPr>
        <w:pStyle w:val="LR-BulletList"/>
        <w:numPr>
          <w:ilvl w:val="0"/>
          <w:numId w:val="147"/>
        </w:numPr>
        <w:spacing w:before="0" w:after="0" w:line="240" w:lineRule="auto"/>
        <w:rPr>
          <w:rFonts w:cs="Calibri"/>
        </w:rPr>
      </w:pPr>
      <w:r w:rsidRPr="00DD7BD1">
        <w:rPr>
          <w:rFonts w:cs="Calibri"/>
          <w:color w:val="auto"/>
        </w:rPr>
        <w:t>Nevada’s</w:t>
      </w:r>
      <w:r w:rsidRPr="00DD7BD1">
        <w:rPr>
          <w:rFonts w:cs="Calibri"/>
        </w:rPr>
        <w:t xml:space="preserve"> </w:t>
      </w:r>
      <w:hyperlink r:id="rId821" w:history="1">
        <w:r w:rsidRPr="00DD7BD1">
          <w:rPr>
            <w:rStyle w:val="Hyperlink"/>
            <w:rFonts w:cs="Calibri"/>
          </w:rPr>
          <w:t>Guidance</w:t>
        </w:r>
      </w:hyperlink>
      <w:r w:rsidRPr="00DD7BD1">
        <w:rPr>
          <w:rFonts w:cs="Calibri"/>
        </w:rPr>
        <w:t xml:space="preserve"> </w:t>
      </w:r>
      <w:r w:rsidRPr="00DD7BD1">
        <w:rPr>
          <w:rFonts w:cs="Calibri"/>
          <w:color w:val="auto"/>
        </w:rPr>
        <w:t>on its Heat Prevention Rules</w:t>
      </w:r>
    </w:p>
    <w:p w14:paraId="0661898C" w14:textId="77777777" w:rsidR="0095771D" w:rsidRPr="00DD7BD1" w:rsidRDefault="0095771D" w:rsidP="0095771D">
      <w:pPr>
        <w:pStyle w:val="LR-BulletList"/>
        <w:numPr>
          <w:ilvl w:val="0"/>
          <w:numId w:val="0"/>
        </w:numPr>
        <w:spacing w:before="0" w:after="0" w:line="240" w:lineRule="auto"/>
        <w:ind w:left="360"/>
        <w:rPr>
          <w:rFonts w:cs="Calibri"/>
        </w:rPr>
      </w:pPr>
    </w:p>
    <w:p w14:paraId="5505F21D"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Approves New Heat Illness Regulation – </w:t>
      </w:r>
      <w:r w:rsidRPr="00DD7BD1">
        <w:rPr>
          <w:rFonts w:ascii="Calibri" w:hAnsi="Calibri" w:cs="Calibri"/>
          <w:b/>
          <w:bCs/>
          <w:color w:val="C00000"/>
          <w:sz w:val="28"/>
          <w:szCs w:val="28"/>
          <w:shd w:val="clear" w:color="auto" w:fill="FFFFFF"/>
          <w:lang w:val="en"/>
        </w:rPr>
        <w:t>Nov 15, 2025 &amp; Enforcement + 90 days</w:t>
      </w:r>
    </w:p>
    <w:p w14:paraId="60262391"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On Nov. 15, 2024, the Nevada Division of Industrial Relations (DIR) of the Department of Business and Industry adopted a new heat illness </w:t>
      </w:r>
      <w:hyperlink r:id="rId822" w:history="1">
        <w:r w:rsidRPr="00DD7BD1">
          <w:rPr>
            <w:rStyle w:val="Hyperlink"/>
            <w:rFonts w:ascii="Calibri" w:hAnsi="Calibri" w:cs="Calibri"/>
          </w:rPr>
          <w:t>regulation</w:t>
        </w:r>
      </w:hyperlink>
      <w:r w:rsidRPr="00DD7BD1">
        <w:rPr>
          <w:rFonts w:ascii="Calibri" w:hAnsi="Calibri" w:cs="Calibri"/>
        </w:rPr>
        <w:t xml:space="preserve"> due to the increase in heat illness complaints submitted to Nevada OSHA. This regulation went into effect on Nov. 15, 2024. </w:t>
      </w:r>
    </w:p>
    <w:p w14:paraId="322F5422"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DD7BD1" w:rsidRDefault="00360D1C" w:rsidP="00360D1C">
      <w:pPr>
        <w:spacing w:after="0" w:line="240" w:lineRule="auto"/>
        <w:rPr>
          <w:rFonts w:ascii="Calibri" w:hAnsi="Calibri" w:cs="Calibri"/>
          <w:b/>
          <w:bCs/>
          <w:sz w:val="12"/>
          <w:szCs w:val="12"/>
        </w:rPr>
      </w:pPr>
    </w:p>
    <w:p w14:paraId="1CD4DCF1" w14:textId="77777777" w:rsidR="00360D1C" w:rsidRPr="00DD7BD1" w:rsidRDefault="00360D1C" w:rsidP="00360D1C">
      <w:pPr>
        <w:spacing w:after="0" w:line="240" w:lineRule="auto"/>
        <w:rPr>
          <w:rFonts w:ascii="Calibri" w:hAnsi="Calibri" w:cs="Calibri"/>
          <w:b/>
          <w:bCs/>
        </w:rPr>
      </w:pPr>
      <w:r w:rsidRPr="00DD7BD1">
        <w:rPr>
          <w:rFonts w:ascii="Calibri" w:hAnsi="Calibri" w:cs="Calibri"/>
          <w:b/>
          <w:bCs/>
        </w:rPr>
        <w:t>Employer Obligations Include:</w:t>
      </w:r>
    </w:p>
    <w:p w14:paraId="2D2CDC7F"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Written Safety Program</w:t>
      </w:r>
    </w:p>
    <w:p w14:paraId="2D13D0E6"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Emergency Procedures</w:t>
      </w:r>
    </w:p>
    <w:p w14:paraId="6C41DC72"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Training</w:t>
      </w:r>
    </w:p>
    <w:p w14:paraId="4A84CE07" w14:textId="77777777" w:rsidR="00360D1C" w:rsidRPr="00DD7BD1" w:rsidRDefault="00360D1C" w:rsidP="00360D1C">
      <w:pPr>
        <w:pStyle w:val="ListParagraph"/>
        <w:rPr>
          <w:rFonts w:ascii="Calibri" w:hAnsi="Calibri" w:cs="Calibri"/>
          <w:b/>
          <w:sz w:val="16"/>
          <w:szCs w:val="16"/>
          <w:highlight w:val="lightGray"/>
        </w:rPr>
      </w:pPr>
    </w:p>
    <w:p w14:paraId="1E4ADAD2" w14:textId="242228BC" w:rsidR="00360D1C" w:rsidRPr="00DD7BD1" w:rsidRDefault="00360D1C" w:rsidP="00360D1C">
      <w:pPr>
        <w:pStyle w:val="ListParagraph"/>
        <w:ind w:left="0"/>
        <w:rPr>
          <w:rFonts w:ascii="Calibri" w:hAnsi="Calibri" w:cs="Calibri"/>
          <w:bCs/>
        </w:rPr>
      </w:pPr>
      <w:r w:rsidRPr="00DD7BD1">
        <w:rPr>
          <w:rFonts w:ascii="Calibri" w:hAnsi="Calibri" w:cs="Calibri"/>
          <w:b/>
          <w:highlight w:val="lightGray"/>
        </w:rPr>
        <w:t>Employer Takeaway:</w:t>
      </w:r>
      <w:r w:rsidRPr="00DD7BD1">
        <w:rPr>
          <w:rFonts w:ascii="Calibri" w:hAnsi="Calibri" w:cs="Calibri"/>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Pr="00DD7BD1" w:rsidRDefault="004B7569" w:rsidP="004B7569">
      <w:pPr>
        <w:spacing w:after="0" w:line="240" w:lineRule="auto"/>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Updated Minimum Wage Increase – July 1</w:t>
      </w:r>
    </w:p>
    <w:p w14:paraId="5A34FDA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Beginning July 1, 2024, the hourly minimum wage in Nevada will increase to $12 for</w:t>
      </w:r>
      <w:r w:rsidRPr="00DD7BD1">
        <w:rPr>
          <w:rFonts w:ascii="Calibri" w:hAnsi="Calibri" w:cs="Calibri"/>
          <w:i/>
          <w:iCs/>
          <w:color w:val="282828"/>
          <w:sz w:val="22"/>
          <w:szCs w:val="22"/>
        </w:rPr>
        <w:t> all employers</w:t>
      </w:r>
      <w:r w:rsidRPr="00DD7BD1">
        <w:rPr>
          <w:rFonts w:ascii="Calibri" w:hAnsi="Calibri" w:cs="Calibri"/>
          <w:color w:val="282828"/>
          <w:sz w:val="22"/>
          <w:szCs w:val="22"/>
        </w:rPr>
        <w:t>.</w:t>
      </w:r>
    </w:p>
    <w:p w14:paraId="3DF38C5E"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As of that date, the</w:t>
      </w:r>
      <w:r w:rsidRPr="00DD7BD1">
        <w:rPr>
          <w:rFonts w:ascii="Calibri" w:hAnsi="Calibri" w:cs="Calibri"/>
          <w:i/>
          <w:iCs/>
          <w:color w:val="282828"/>
          <w:sz w:val="22"/>
          <w:szCs w:val="22"/>
        </w:rPr>
        <w:t> </w:t>
      </w:r>
      <w:r w:rsidRPr="00DD7BD1">
        <w:rPr>
          <w:rFonts w:ascii="Calibri" w:hAnsi="Calibri" w:cs="Calibri"/>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DD7BD1" w:rsidRDefault="004B7569" w:rsidP="00472E17">
      <w:pPr>
        <w:spacing w:after="0" w:line="240" w:lineRule="auto"/>
        <w:jc w:val="both"/>
        <w:rPr>
          <w:rFonts w:ascii="Calibri" w:hAnsi="Calibri" w:cs="Calibri"/>
          <w:b/>
          <w:bCs/>
          <w:color w:val="2E74B5" w:themeColor="accent5" w:themeShade="BF"/>
          <w:shd w:val="clear" w:color="auto" w:fill="FFFFFF"/>
          <w:lang w:val="en"/>
        </w:rPr>
      </w:pPr>
    </w:p>
    <w:p w14:paraId="3637CA0D" w14:textId="15D58460" w:rsidR="00A154D2" w:rsidRPr="00DD7BD1" w:rsidRDefault="001C5F42" w:rsidP="00A154D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Hampshire</w:t>
      </w:r>
    </w:p>
    <w:p w14:paraId="57173BB7" w14:textId="4AF3EF0C" w:rsidR="00A154D2" w:rsidRPr="00DD7BD1" w:rsidRDefault="00A154D2" w:rsidP="00A154D2">
      <w:pPr>
        <w:spacing w:after="0" w:line="240" w:lineRule="auto"/>
        <w:ind w:right="-90"/>
        <w:jc w:val="center"/>
        <w:rPr>
          <w:rFonts w:ascii="Calibri" w:hAnsi="Calibri" w:cs="Calibri"/>
          <w:b/>
          <w:sz w:val="28"/>
        </w:rPr>
      </w:pPr>
      <w:r w:rsidRPr="00DD7BD1">
        <w:rPr>
          <w:rFonts w:ascii="Calibri" w:hAnsi="Calibri" w:cs="Calibri"/>
          <w:b/>
          <w:spacing w:val="-2"/>
          <w:sz w:val="28"/>
        </w:rPr>
        <w:t>State</w:t>
      </w:r>
      <w:r w:rsidRPr="00DD7BD1">
        <w:rPr>
          <w:rFonts w:ascii="Calibri" w:hAnsi="Calibri" w:cs="Calibri"/>
          <w:b/>
          <w:spacing w:val="-12"/>
          <w:sz w:val="28"/>
        </w:rPr>
        <w:t xml:space="preserve"> </w:t>
      </w:r>
      <w:r w:rsidRPr="00DD7BD1">
        <w:rPr>
          <w:rFonts w:ascii="Calibri" w:hAnsi="Calibri" w:cs="Calibri"/>
          <w:b/>
          <w:spacing w:val="-2"/>
          <w:sz w:val="28"/>
        </w:rPr>
        <w:t>Provides</w:t>
      </w:r>
      <w:r w:rsidRPr="00DD7BD1">
        <w:rPr>
          <w:rFonts w:ascii="Calibri" w:hAnsi="Calibri" w:cs="Calibri"/>
          <w:b/>
          <w:spacing w:val="-13"/>
          <w:sz w:val="28"/>
        </w:rPr>
        <w:t xml:space="preserve"> </w:t>
      </w:r>
      <w:r w:rsidRPr="00DD7BD1">
        <w:rPr>
          <w:rFonts w:ascii="Calibri" w:hAnsi="Calibri" w:cs="Calibri"/>
          <w:b/>
          <w:spacing w:val="-2"/>
          <w:sz w:val="28"/>
        </w:rPr>
        <w:t>Protections</w:t>
      </w:r>
      <w:r w:rsidRPr="00DD7BD1">
        <w:rPr>
          <w:rFonts w:ascii="Calibri" w:hAnsi="Calibri" w:cs="Calibri"/>
          <w:b/>
          <w:spacing w:val="-15"/>
          <w:sz w:val="28"/>
        </w:rPr>
        <w:t xml:space="preserve"> </w:t>
      </w:r>
      <w:r w:rsidRPr="00DD7BD1">
        <w:rPr>
          <w:rFonts w:ascii="Calibri" w:hAnsi="Calibri" w:cs="Calibri"/>
          <w:b/>
          <w:spacing w:val="-2"/>
          <w:sz w:val="28"/>
        </w:rPr>
        <w:t>for</w:t>
      </w:r>
      <w:r w:rsidRPr="00DD7BD1">
        <w:rPr>
          <w:rFonts w:ascii="Calibri" w:hAnsi="Calibri" w:cs="Calibri"/>
          <w:b/>
          <w:spacing w:val="-13"/>
          <w:sz w:val="28"/>
        </w:rPr>
        <w:t xml:space="preserve"> </w:t>
      </w:r>
      <w:r w:rsidRPr="00DD7BD1">
        <w:rPr>
          <w:rFonts w:ascii="Calibri" w:hAnsi="Calibri" w:cs="Calibri"/>
          <w:b/>
          <w:spacing w:val="-2"/>
          <w:sz w:val="28"/>
        </w:rPr>
        <w:t>Military</w:t>
      </w:r>
      <w:r w:rsidRPr="00DD7BD1">
        <w:rPr>
          <w:rFonts w:ascii="Calibri" w:hAnsi="Calibri" w:cs="Calibri"/>
          <w:b/>
          <w:spacing w:val="-12"/>
          <w:sz w:val="28"/>
        </w:rPr>
        <w:t xml:space="preserve"> </w:t>
      </w:r>
      <w:r w:rsidRPr="00DD7BD1">
        <w:rPr>
          <w:rFonts w:ascii="Calibri" w:hAnsi="Calibri" w:cs="Calibri"/>
          <w:b/>
          <w:spacing w:val="-2"/>
          <w:sz w:val="28"/>
        </w:rPr>
        <w:t>Spouses</w:t>
      </w:r>
      <w:r w:rsidRPr="00DD7BD1">
        <w:rPr>
          <w:rFonts w:ascii="Calibri" w:hAnsi="Calibri" w:cs="Calibri"/>
          <w:b/>
          <w:spacing w:val="-14"/>
          <w:sz w:val="28"/>
        </w:rPr>
        <w:t xml:space="preserve"> </w:t>
      </w:r>
      <w:r w:rsidRPr="00DD7BD1">
        <w:rPr>
          <w:rFonts w:ascii="Calibri" w:hAnsi="Calibri" w:cs="Calibri"/>
          <w:b/>
          <w:spacing w:val="-2"/>
          <w:sz w:val="28"/>
        </w:rPr>
        <w:t>–</w:t>
      </w:r>
      <w:r w:rsidRPr="00DD7BD1">
        <w:rPr>
          <w:rFonts w:ascii="Calibri" w:hAnsi="Calibri" w:cs="Calibri"/>
          <w:b/>
          <w:spacing w:val="-12"/>
          <w:sz w:val="28"/>
        </w:rPr>
        <w:t xml:space="preserve"> </w:t>
      </w:r>
      <w:r w:rsidRPr="00DD7BD1">
        <w:rPr>
          <w:rFonts w:ascii="Calibri" w:hAnsi="Calibri" w:cs="Calibri"/>
          <w:b/>
          <w:color w:val="C00000"/>
          <w:spacing w:val="-2"/>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2"/>
          <w:sz w:val="28"/>
        </w:rPr>
        <w:t>Jan</w:t>
      </w:r>
      <w:r w:rsidRPr="00DD7BD1">
        <w:rPr>
          <w:rFonts w:ascii="Calibri" w:hAnsi="Calibri" w:cs="Calibri"/>
          <w:b/>
          <w:color w:val="C00000"/>
          <w:spacing w:val="-12"/>
          <w:sz w:val="28"/>
        </w:rPr>
        <w:t xml:space="preserve"> </w:t>
      </w:r>
      <w:r w:rsidRPr="00DD7BD1">
        <w:rPr>
          <w:rFonts w:ascii="Calibri" w:hAnsi="Calibri" w:cs="Calibri"/>
          <w:b/>
          <w:color w:val="C00000"/>
          <w:spacing w:val="-2"/>
          <w:sz w:val="28"/>
        </w:rPr>
        <w:t>1,</w:t>
      </w:r>
      <w:r w:rsidRPr="00DD7BD1">
        <w:rPr>
          <w:rFonts w:ascii="Calibri" w:hAnsi="Calibri" w:cs="Calibri"/>
          <w:b/>
          <w:color w:val="C00000"/>
          <w:spacing w:val="-13"/>
          <w:sz w:val="28"/>
        </w:rPr>
        <w:t xml:space="preserve"> </w:t>
      </w:r>
      <w:r w:rsidRPr="00DD7BD1">
        <w:rPr>
          <w:rFonts w:ascii="Calibri" w:hAnsi="Calibri" w:cs="Calibri"/>
          <w:b/>
          <w:color w:val="C00000"/>
          <w:spacing w:val="-4"/>
          <w:sz w:val="28"/>
        </w:rPr>
        <w:t>2026</w:t>
      </w:r>
    </w:p>
    <w:p w14:paraId="315ABF70"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w:t>
      </w:r>
      <w:r w:rsidRPr="00DD7BD1">
        <w:rPr>
          <w:rFonts w:cs="Calibri"/>
          <w:color w:val="auto"/>
          <w:spacing w:val="-14"/>
          <w:w w:val="110"/>
          <w:szCs w:val="22"/>
        </w:rPr>
        <w:t xml:space="preserve"> </w:t>
      </w:r>
      <w:r w:rsidRPr="00DD7BD1">
        <w:rPr>
          <w:rFonts w:cs="Calibri"/>
          <w:color w:val="auto"/>
          <w:w w:val="110"/>
          <w:szCs w:val="22"/>
        </w:rPr>
        <w:t>January</w:t>
      </w:r>
      <w:r w:rsidRPr="00DD7BD1">
        <w:rPr>
          <w:rFonts w:cs="Calibri"/>
          <w:color w:val="auto"/>
          <w:spacing w:val="-16"/>
          <w:w w:val="110"/>
          <w:szCs w:val="22"/>
        </w:rPr>
        <w:t xml:space="preserve"> </w:t>
      </w:r>
      <w:r w:rsidRPr="00DD7BD1">
        <w:rPr>
          <w:rFonts w:cs="Calibri"/>
          <w:color w:val="auto"/>
          <w:w w:val="110"/>
          <w:szCs w:val="22"/>
        </w:rPr>
        <w:t>1,</w:t>
      </w:r>
      <w:r w:rsidRPr="00DD7BD1">
        <w:rPr>
          <w:rFonts w:cs="Calibri"/>
          <w:color w:val="auto"/>
          <w:spacing w:val="-14"/>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50</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at</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location</w:t>
      </w:r>
      <w:r w:rsidRPr="00DD7BD1">
        <w:rPr>
          <w:rFonts w:cs="Calibri"/>
          <w:color w:val="auto"/>
          <w:spacing w:val="-14"/>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Hampshire</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need to</w:t>
      </w:r>
      <w:r w:rsidRPr="00DD7BD1">
        <w:rPr>
          <w:rFonts w:cs="Calibri"/>
          <w:color w:val="auto"/>
          <w:spacing w:val="-2"/>
          <w:w w:val="110"/>
          <w:szCs w:val="22"/>
        </w:rPr>
        <w:t xml:space="preserve"> </w:t>
      </w:r>
      <w:r w:rsidRPr="00DD7BD1">
        <w:rPr>
          <w:rFonts w:cs="Calibri"/>
          <w:color w:val="auto"/>
          <w:w w:val="110"/>
          <w:szCs w:val="22"/>
        </w:rPr>
        <w:t>provide</w:t>
      </w:r>
      <w:r w:rsidRPr="00DD7BD1">
        <w:rPr>
          <w:rFonts w:cs="Calibri"/>
          <w:color w:val="auto"/>
          <w:spacing w:val="-2"/>
          <w:w w:val="110"/>
          <w:szCs w:val="22"/>
        </w:rPr>
        <w:t xml:space="preserve"> </w:t>
      </w:r>
      <w:r w:rsidRPr="00DD7BD1">
        <w:rPr>
          <w:rFonts w:cs="Calibri"/>
          <w:color w:val="auto"/>
          <w:w w:val="110"/>
          <w:szCs w:val="22"/>
        </w:rPr>
        <w:t>certain</w:t>
      </w:r>
      <w:r w:rsidRPr="00DD7BD1">
        <w:rPr>
          <w:rFonts w:cs="Calibri"/>
          <w:color w:val="auto"/>
          <w:spacing w:val="-3"/>
          <w:w w:val="110"/>
          <w:szCs w:val="22"/>
        </w:rPr>
        <w:t xml:space="preserve"> </w:t>
      </w:r>
      <w:r w:rsidRPr="00DD7BD1">
        <w:rPr>
          <w:rFonts w:cs="Calibri"/>
          <w:color w:val="auto"/>
          <w:w w:val="110"/>
          <w:szCs w:val="22"/>
        </w:rPr>
        <w:t>protections for</w:t>
      </w:r>
      <w:r w:rsidRPr="00DD7BD1">
        <w:rPr>
          <w:rFonts w:cs="Calibri"/>
          <w:color w:val="auto"/>
          <w:spacing w:val="-4"/>
          <w:w w:val="110"/>
          <w:szCs w:val="22"/>
        </w:rPr>
        <w:t xml:space="preserve"> </w:t>
      </w:r>
      <w:r w:rsidRPr="00DD7BD1">
        <w:rPr>
          <w:rFonts w:cs="Calibri"/>
          <w:color w:val="auto"/>
          <w:w w:val="110"/>
          <w:szCs w:val="22"/>
        </w:rPr>
        <w:t>military</w:t>
      </w:r>
      <w:r w:rsidRPr="00DD7BD1">
        <w:rPr>
          <w:rFonts w:cs="Calibri"/>
          <w:color w:val="auto"/>
          <w:spacing w:val="-2"/>
          <w:w w:val="110"/>
          <w:szCs w:val="22"/>
        </w:rPr>
        <w:t xml:space="preserve"> </w:t>
      </w:r>
      <w:r w:rsidRPr="00DD7BD1">
        <w:rPr>
          <w:rFonts w:cs="Calibri"/>
          <w:color w:val="auto"/>
          <w:w w:val="110"/>
          <w:szCs w:val="22"/>
        </w:rPr>
        <w:t>spouses under</w:t>
      </w:r>
      <w:r w:rsidRPr="00DD7BD1">
        <w:rPr>
          <w:rFonts w:cs="Calibri"/>
          <w:color w:val="auto"/>
          <w:spacing w:val="-3"/>
          <w:w w:val="110"/>
          <w:szCs w:val="22"/>
        </w:rPr>
        <w:t xml:space="preserve"> </w:t>
      </w:r>
      <w:hyperlink r:id="rId823">
        <w:r w:rsidRPr="00DD7BD1">
          <w:rPr>
            <w:rFonts w:cs="Calibri"/>
            <w:color w:val="0000FF"/>
            <w:w w:val="110"/>
            <w:szCs w:val="22"/>
            <w:u w:val="single" w:color="0000FF"/>
          </w:rPr>
          <w:t>NH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225</w:t>
        </w:r>
      </w:hyperlink>
      <w:r w:rsidRPr="00DD7BD1">
        <w:rPr>
          <w:rFonts w:cs="Calibri"/>
          <w:color w:val="0000FF"/>
          <w:spacing w:val="-10"/>
          <w:w w:val="110"/>
          <w:szCs w:val="22"/>
        </w:rPr>
        <w:t xml:space="preserve"> </w:t>
      </w:r>
      <w:r w:rsidRPr="00DD7BD1">
        <w:rPr>
          <w:rFonts w:cs="Calibri"/>
          <w:w w:val="110"/>
          <w:szCs w:val="22"/>
        </w:rPr>
        <w:t>.</w:t>
      </w:r>
      <w:r w:rsidRPr="00DD7BD1">
        <w:rPr>
          <w:rFonts w:cs="Calibri"/>
          <w:spacing w:val="-4"/>
          <w:w w:val="110"/>
          <w:szCs w:val="22"/>
        </w:rPr>
        <w:t xml:space="preserve"> </w:t>
      </w:r>
      <w:r w:rsidRPr="00DD7BD1">
        <w:rPr>
          <w:rFonts w:cs="Calibri"/>
          <w:color w:val="auto"/>
          <w:w w:val="110"/>
          <w:szCs w:val="22"/>
        </w:rPr>
        <w:t>Specifically, the</w:t>
      </w:r>
      <w:r w:rsidRPr="00DD7BD1">
        <w:rPr>
          <w:rFonts w:cs="Calibri"/>
          <w:color w:val="auto"/>
          <w:spacing w:val="-2"/>
          <w:w w:val="110"/>
          <w:szCs w:val="22"/>
        </w:rPr>
        <w:t xml:space="preserve"> </w:t>
      </w:r>
      <w:r w:rsidRPr="00DD7BD1">
        <w:rPr>
          <w:rFonts w:cs="Calibri"/>
          <w:color w:val="auto"/>
          <w:w w:val="110"/>
          <w:szCs w:val="22"/>
        </w:rPr>
        <w:t>spouses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servicemembers who have been called into action will be protected from employment discrimination and will have reemployment rights</w:t>
      </w:r>
      <w:r w:rsidRPr="00DD7BD1">
        <w:rPr>
          <w:rFonts w:cs="Calibri"/>
          <w:color w:val="auto"/>
          <w:spacing w:val="-23"/>
          <w:w w:val="110"/>
          <w:szCs w:val="22"/>
        </w:rPr>
        <w:t xml:space="preserve"> </w:t>
      </w:r>
      <w:r w:rsidRPr="00DD7BD1">
        <w:rPr>
          <w:rFonts w:cs="Calibri"/>
          <w:color w:val="auto"/>
          <w:w w:val="110"/>
          <w:szCs w:val="22"/>
        </w:rPr>
        <w:t>within</w:t>
      </w:r>
      <w:r w:rsidRPr="00DD7BD1">
        <w:rPr>
          <w:rFonts w:cs="Calibri"/>
          <w:color w:val="auto"/>
          <w:spacing w:val="-21"/>
          <w:w w:val="110"/>
          <w:szCs w:val="22"/>
        </w:rPr>
        <w:t xml:space="preserve"> </w:t>
      </w:r>
      <w:r w:rsidRPr="00DD7BD1">
        <w:rPr>
          <w:rFonts w:cs="Calibri"/>
          <w:color w:val="auto"/>
          <w:w w:val="110"/>
          <w:szCs w:val="22"/>
        </w:rPr>
        <w:t>certain</w:t>
      </w:r>
      <w:r w:rsidRPr="00DD7BD1">
        <w:rPr>
          <w:rFonts w:cs="Calibri"/>
          <w:color w:val="auto"/>
          <w:spacing w:val="-23"/>
          <w:w w:val="110"/>
          <w:szCs w:val="22"/>
        </w:rPr>
        <w:t xml:space="preserve"> </w:t>
      </w:r>
      <w:r w:rsidRPr="00DD7BD1">
        <w:rPr>
          <w:rFonts w:cs="Calibri"/>
          <w:color w:val="auto"/>
          <w:w w:val="110"/>
          <w:szCs w:val="22"/>
        </w:rPr>
        <w:t>timeframes.</w:t>
      </w:r>
      <w:r w:rsidRPr="00DD7BD1">
        <w:rPr>
          <w:rFonts w:cs="Calibri"/>
          <w:color w:val="auto"/>
          <w:spacing w:val="24"/>
          <w:w w:val="110"/>
          <w:szCs w:val="22"/>
        </w:rPr>
        <w:t xml:space="preserve"> </w:t>
      </w:r>
      <w:r w:rsidRPr="00DD7BD1">
        <w:rPr>
          <w:rFonts w:cs="Calibri"/>
          <w:color w:val="auto"/>
          <w:w w:val="110"/>
          <w:szCs w:val="22"/>
        </w:rPr>
        <w:t>ETC</w:t>
      </w:r>
      <w:r w:rsidRPr="00DD7BD1">
        <w:rPr>
          <w:rFonts w:cs="Calibri"/>
          <w:color w:val="auto"/>
          <w:spacing w:val="-21"/>
          <w:w w:val="110"/>
          <w:szCs w:val="22"/>
        </w:rPr>
        <w:t xml:space="preserve"> </w:t>
      </w:r>
      <w:r w:rsidRPr="00DD7BD1">
        <w:rPr>
          <w:rFonts w:cs="Calibri"/>
          <w:color w:val="auto"/>
          <w:w w:val="110"/>
          <w:szCs w:val="22"/>
        </w:rPr>
        <w:t>will</w:t>
      </w:r>
      <w:r w:rsidRPr="00DD7BD1">
        <w:rPr>
          <w:rFonts w:cs="Calibri"/>
          <w:color w:val="auto"/>
          <w:spacing w:val="-25"/>
          <w:w w:val="110"/>
          <w:szCs w:val="22"/>
        </w:rPr>
        <w:t xml:space="preserve"> </w:t>
      </w:r>
      <w:r w:rsidRPr="00DD7BD1">
        <w:rPr>
          <w:rFonts w:cs="Calibri"/>
          <w:color w:val="auto"/>
          <w:w w:val="110"/>
          <w:szCs w:val="22"/>
        </w:rPr>
        <w:t>provide</w:t>
      </w:r>
      <w:r w:rsidRPr="00DD7BD1">
        <w:rPr>
          <w:rFonts w:cs="Calibri"/>
          <w:color w:val="auto"/>
          <w:spacing w:val="-23"/>
          <w:w w:val="110"/>
          <w:szCs w:val="22"/>
        </w:rPr>
        <w:t xml:space="preserve"> </w:t>
      </w:r>
      <w:r w:rsidRPr="00DD7BD1">
        <w:rPr>
          <w:rFonts w:cs="Calibri"/>
          <w:color w:val="auto"/>
          <w:w w:val="110"/>
          <w:szCs w:val="22"/>
        </w:rPr>
        <w:t>an</w:t>
      </w:r>
      <w:r w:rsidRPr="00DD7BD1">
        <w:rPr>
          <w:rFonts w:cs="Calibri"/>
          <w:color w:val="auto"/>
          <w:spacing w:val="-23"/>
          <w:w w:val="110"/>
          <w:szCs w:val="22"/>
        </w:rPr>
        <w:t xml:space="preserve"> </w:t>
      </w:r>
      <w:r w:rsidRPr="00DD7BD1">
        <w:rPr>
          <w:rFonts w:cs="Calibri"/>
          <w:color w:val="auto"/>
          <w:w w:val="110"/>
          <w:szCs w:val="22"/>
        </w:rPr>
        <w:t>updated</w:t>
      </w:r>
      <w:r w:rsidRPr="00DD7BD1">
        <w:rPr>
          <w:rFonts w:cs="Calibri"/>
          <w:color w:val="auto"/>
          <w:spacing w:val="-26"/>
          <w:w w:val="110"/>
          <w:szCs w:val="22"/>
        </w:rPr>
        <w:t xml:space="preserve"> </w:t>
      </w:r>
      <w:r w:rsidRPr="00DD7BD1">
        <w:rPr>
          <w:rFonts w:cs="Calibri"/>
          <w:color w:val="auto"/>
          <w:w w:val="110"/>
          <w:szCs w:val="22"/>
        </w:rPr>
        <w:t>State</w:t>
      </w:r>
      <w:r w:rsidRPr="00DD7BD1">
        <w:rPr>
          <w:rFonts w:cs="Calibri"/>
          <w:color w:val="auto"/>
          <w:spacing w:val="-24"/>
          <w:w w:val="110"/>
          <w:szCs w:val="22"/>
        </w:rPr>
        <w:t xml:space="preserve"> </w:t>
      </w:r>
      <w:r w:rsidRPr="00DD7BD1">
        <w:rPr>
          <w:rFonts w:cs="Calibri"/>
          <w:color w:val="auto"/>
          <w:w w:val="110"/>
          <w:szCs w:val="22"/>
        </w:rPr>
        <w:t>Handbook</w:t>
      </w:r>
      <w:r w:rsidRPr="00DD7BD1">
        <w:rPr>
          <w:rFonts w:cs="Calibri"/>
          <w:color w:val="auto"/>
          <w:spacing w:val="-21"/>
          <w:w w:val="110"/>
          <w:szCs w:val="22"/>
        </w:rPr>
        <w:t xml:space="preserve"> </w:t>
      </w:r>
      <w:r w:rsidRPr="00DD7BD1">
        <w:rPr>
          <w:rFonts w:cs="Calibri"/>
          <w:color w:val="auto"/>
          <w:w w:val="110"/>
          <w:szCs w:val="22"/>
        </w:rPr>
        <w:t>Addendum</w:t>
      </w:r>
      <w:r w:rsidRPr="00DD7BD1">
        <w:rPr>
          <w:rFonts w:cs="Calibri"/>
          <w:color w:val="auto"/>
          <w:spacing w:val="-23"/>
          <w:w w:val="110"/>
          <w:szCs w:val="22"/>
        </w:rPr>
        <w:t xml:space="preserve"> </w:t>
      </w:r>
      <w:r w:rsidRPr="00DD7BD1">
        <w:rPr>
          <w:rFonts w:cs="Calibri"/>
          <w:color w:val="auto"/>
          <w:w w:val="110"/>
          <w:szCs w:val="22"/>
        </w:rPr>
        <w:t>to</w:t>
      </w:r>
      <w:r w:rsidRPr="00DD7BD1">
        <w:rPr>
          <w:rFonts w:cs="Calibri"/>
          <w:color w:val="auto"/>
          <w:spacing w:val="-23"/>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these</w:t>
      </w:r>
      <w:r w:rsidRPr="00DD7BD1">
        <w:rPr>
          <w:rFonts w:cs="Calibri"/>
          <w:color w:val="auto"/>
          <w:spacing w:val="-23"/>
          <w:w w:val="110"/>
          <w:szCs w:val="22"/>
        </w:rPr>
        <w:t xml:space="preserve"> </w:t>
      </w:r>
      <w:r w:rsidRPr="00DD7BD1">
        <w:rPr>
          <w:rFonts w:cs="Calibri"/>
          <w:color w:val="auto"/>
          <w:w w:val="110"/>
          <w:szCs w:val="22"/>
        </w:rPr>
        <w:t>changes.</w:t>
      </w:r>
    </w:p>
    <w:p w14:paraId="016EEB02" w14:textId="77777777" w:rsidR="00A154D2" w:rsidRPr="00DD7BD1" w:rsidRDefault="00A154D2" w:rsidP="00A154D2">
      <w:pPr>
        <w:pStyle w:val="Heading1"/>
        <w:spacing w:before="0" w:beforeAutospacing="0" w:after="0" w:afterAutospacing="0"/>
        <w:ind w:right="-90"/>
        <w:rPr>
          <w:rFonts w:ascii="Calibri" w:hAnsi="Calibri" w:cs="Calibri"/>
          <w:bCs w:val="0"/>
          <w:spacing w:val="-2"/>
          <w:kern w:val="0"/>
          <w:sz w:val="22"/>
          <w:szCs w:val="22"/>
        </w:rPr>
      </w:pPr>
    </w:p>
    <w:p w14:paraId="173A4B80" w14:textId="0B268C15" w:rsidR="00A154D2" w:rsidRPr="00DD7BD1" w:rsidRDefault="00A154D2" w:rsidP="00A154D2">
      <w:pPr>
        <w:pStyle w:val="Heading1"/>
        <w:spacing w:before="0" w:beforeAutospacing="0" w:after="0" w:afterAutospacing="0"/>
        <w:ind w:right="-90"/>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 Creates Leave for Childbirth and Postpartum Care – Eff </w:t>
      </w:r>
      <w:r w:rsidRPr="00DD7BD1">
        <w:rPr>
          <w:rFonts w:ascii="Calibri" w:hAnsi="Calibri" w:cs="Calibri"/>
          <w:bCs w:val="0"/>
          <w:color w:val="C00000"/>
          <w:spacing w:val="-2"/>
          <w:kern w:val="0"/>
          <w:sz w:val="28"/>
          <w:szCs w:val="24"/>
        </w:rPr>
        <w:t>Jan 1, 2026</w:t>
      </w:r>
    </w:p>
    <w:p w14:paraId="326F2194"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 January 1, 2026, New Hampshire employers with 20 or more employees will need to provide up to 25 hours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job-protected,</w:t>
      </w:r>
      <w:r w:rsidRPr="00DD7BD1">
        <w:rPr>
          <w:rFonts w:cs="Calibri"/>
          <w:color w:val="auto"/>
          <w:spacing w:val="-8"/>
          <w:w w:val="110"/>
          <w:szCs w:val="22"/>
        </w:rPr>
        <w:t xml:space="preserve"> </w:t>
      </w:r>
      <w:r w:rsidRPr="00DD7BD1">
        <w:rPr>
          <w:rFonts w:cs="Calibri"/>
          <w:color w:val="auto"/>
          <w:w w:val="110"/>
          <w:szCs w:val="22"/>
        </w:rPr>
        <w:t>unpaid</w:t>
      </w:r>
      <w:r w:rsidRPr="00DD7BD1">
        <w:rPr>
          <w:rFonts w:cs="Calibri"/>
          <w:color w:val="auto"/>
          <w:spacing w:val="-5"/>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6"/>
          <w:w w:val="110"/>
          <w:szCs w:val="22"/>
        </w:rPr>
        <w:t xml:space="preserve"> </w:t>
      </w:r>
      <w:r w:rsidRPr="00DD7BD1">
        <w:rPr>
          <w:rFonts w:cs="Calibri"/>
          <w:color w:val="auto"/>
          <w:w w:val="110"/>
          <w:szCs w:val="22"/>
        </w:rPr>
        <w:t>certain</w:t>
      </w:r>
      <w:r w:rsidRPr="00DD7BD1">
        <w:rPr>
          <w:rFonts w:cs="Calibri"/>
          <w:color w:val="auto"/>
          <w:spacing w:val="-5"/>
          <w:w w:val="110"/>
          <w:szCs w:val="22"/>
        </w:rPr>
        <w:t xml:space="preserve"> </w:t>
      </w:r>
      <w:r w:rsidRPr="00DD7BD1">
        <w:rPr>
          <w:rFonts w:cs="Calibri"/>
          <w:color w:val="auto"/>
          <w:w w:val="110"/>
          <w:szCs w:val="22"/>
        </w:rPr>
        <w:t>baby-related</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appointments</w:t>
      </w:r>
      <w:r w:rsidRPr="00DD7BD1">
        <w:rPr>
          <w:rFonts w:cs="Calibri"/>
          <w:color w:val="auto"/>
          <w:spacing w:val="-5"/>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hyperlink r:id="rId824">
        <w:r w:rsidRPr="00DD7BD1">
          <w:rPr>
            <w:rFonts w:cs="Calibri"/>
            <w:color w:val="0000FF"/>
            <w:w w:val="110"/>
            <w:szCs w:val="22"/>
            <w:u w:val="single" w:color="0000FF"/>
          </w:rPr>
          <w:t>HB</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2</w:t>
        </w:r>
      </w:hyperlink>
      <w:r w:rsidRPr="00DD7BD1">
        <w:rPr>
          <w:rFonts w:cs="Calibri"/>
          <w:color w:val="0000FF"/>
          <w:spacing w:val="-6"/>
          <w:w w:val="110"/>
          <w:szCs w:val="22"/>
        </w:rPr>
        <w:t xml:space="preserve"> </w:t>
      </w:r>
      <w:r w:rsidRPr="00DD7BD1">
        <w:rPr>
          <w:rFonts w:cs="Calibri"/>
          <w:w w:val="110"/>
          <w:szCs w:val="22"/>
        </w:rPr>
        <w:t>.</w:t>
      </w:r>
    </w:p>
    <w:p w14:paraId="6C67F2F5" w14:textId="77777777" w:rsidR="00A154D2" w:rsidRPr="00DD7BD1" w:rsidRDefault="00A154D2" w:rsidP="00A154D2">
      <w:pPr>
        <w:pStyle w:val="BodyText"/>
        <w:spacing w:after="0" w:line="240" w:lineRule="auto"/>
        <w:ind w:right="-90"/>
        <w:rPr>
          <w:rFonts w:cs="Calibri"/>
          <w:color w:val="auto"/>
          <w:w w:val="110"/>
          <w:szCs w:val="22"/>
        </w:rPr>
      </w:pPr>
    </w:p>
    <w:p w14:paraId="6AE08E6F" w14:textId="77777777" w:rsidR="00A154D2" w:rsidRPr="00DD7BD1" w:rsidRDefault="00A154D2" w:rsidP="00A154D2">
      <w:pPr>
        <w:pStyle w:val="BodyText"/>
        <w:spacing w:after="0" w:line="240" w:lineRule="auto"/>
        <w:ind w:right="-90"/>
        <w:rPr>
          <w:rFonts w:cs="Calibri"/>
          <w:color w:val="auto"/>
          <w:szCs w:val="22"/>
        </w:rPr>
      </w:pPr>
      <w:r w:rsidRPr="00DD7BD1">
        <w:rPr>
          <w:rFonts w:cs="Calibri"/>
          <w:color w:val="auto"/>
          <w:w w:val="110"/>
          <w:szCs w:val="22"/>
        </w:rPr>
        <w:t>Employees</w:t>
      </w:r>
      <w:r w:rsidRPr="00DD7BD1">
        <w:rPr>
          <w:rFonts w:cs="Calibri"/>
          <w:color w:val="auto"/>
          <w:spacing w:val="1"/>
          <w:w w:val="110"/>
          <w:szCs w:val="22"/>
        </w:rPr>
        <w:t xml:space="preserve">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use</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leave</w:t>
      </w:r>
      <w:r w:rsidRPr="00DD7BD1">
        <w:rPr>
          <w:rFonts w:cs="Calibri"/>
          <w:color w:val="auto"/>
          <w:spacing w:val="1"/>
          <w:w w:val="110"/>
          <w:szCs w:val="22"/>
        </w:rPr>
        <w:t xml:space="preserve"> </w:t>
      </w:r>
      <w:r w:rsidRPr="00DD7BD1">
        <w:rPr>
          <w:rFonts w:cs="Calibri"/>
          <w:color w:val="auto"/>
          <w:spacing w:val="-4"/>
          <w:w w:val="110"/>
          <w:szCs w:val="22"/>
        </w:rPr>
        <w:t>for:</w:t>
      </w:r>
    </w:p>
    <w:p w14:paraId="43C5306F" w14:textId="77777777" w:rsidR="00A154D2" w:rsidRPr="00DD7BD1"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Their own medical</w:t>
      </w:r>
      <w:r w:rsidRPr="00DD7BD1">
        <w:rPr>
          <w:rFonts w:ascii="Calibri" w:hAnsi="Calibri" w:cs="Calibri"/>
          <w:spacing w:val="21"/>
          <w:w w:val="110"/>
        </w:rPr>
        <w:t xml:space="preserve"> </w:t>
      </w:r>
      <w:r w:rsidRPr="00DD7BD1">
        <w:rPr>
          <w:rFonts w:ascii="Calibri" w:hAnsi="Calibri" w:cs="Calibri"/>
          <w:w w:val="110"/>
        </w:rPr>
        <w:t>appointments</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2"/>
          <w:w w:val="110"/>
        </w:rPr>
        <w:t xml:space="preserve"> </w:t>
      </w:r>
      <w:r w:rsidRPr="00DD7BD1">
        <w:rPr>
          <w:rFonts w:ascii="Calibri" w:hAnsi="Calibri" w:cs="Calibri"/>
          <w:w w:val="110"/>
        </w:rPr>
        <w:t>childbirth (the</w:t>
      </w:r>
      <w:r w:rsidRPr="00DD7BD1">
        <w:rPr>
          <w:rFonts w:ascii="Calibri" w:hAnsi="Calibri" w:cs="Calibri"/>
          <w:spacing w:val="23"/>
          <w:w w:val="110"/>
        </w:rPr>
        <w:t xml:space="preserve"> </w:t>
      </w:r>
      <w:r w:rsidRPr="00DD7BD1">
        <w:rPr>
          <w:rFonts w:ascii="Calibri" w:hAnsi="Calibri" w:cs="Calibri"/>
          <w:w w:val="110"/>
        </w:rPr>
        <w:t>law</w:t>
      </w:r>
      <w:r w:rsidRPr="00DD7BD1">
        <w:rPr>
          <w:rFonts w:ascii="Calibri" w:hAnsi="Calibri" w:cs="Calibri"/>
          <w:spacing w:val="22"/>
          <w:w w:val="110"/>
        </w:rPr>
        <w:t xml:space="preserve"> </w:t>
      </w:r>
      <w:r w:rsidRPr="00DD7BD1">
        <w:rPr>
          <w:rFonts w:ascii="Calibri" w:hAnsi="Calibri" w:cs="Calibri"/>
          <w:w w:val="110"/>
        </w:rPr>
        <w:t>doesn’t</w:t>
      </w:r>
      <w:r w:rsidRPr="00DD7BD1">
        <w:rPr>
          <w:rFonts w:ascii="Calibri" w:hAnsi="Calibri" w:cs="Calibri"/>
          <w:spacing w:val="22"/>
          <w:w w:val="110"/>
        </w:rPr>
        <w:t xml:space="preserve"> </w:t>
      </w:r>
      <w:r w:rsidRPr="00DD7BD1">
        <w:rPr>
          <w:rFonts w:ascii="Calibri" w:hAnsi="Calibri" w:cs="Calibri"/>
          <w:w w:val="110"/>
        </w:rPr>
        <w:t>define</w:t>
      </w:r>
      <w:r w:rsidRPr="00DD7BD1">
        <w:rPr>
          <w:rFonts w:ascii="Calibri" w:hAnsi="Calibri" w:cs="Calibri"/>
          <w:spacing w:val="-3"/>
          <w:w w:val="110"/>
        </w:rPr>
        <w:t xml:space="preserve"> </w:t>
      </w:r>
      <w:r w:rsidRPr="00DD7BD1">
        <w:rPr>
          <w:rFonts w:ascii="Calibri" w:hAnsi="Calibri" w:cs="Calibri"/>
          <w:i/>
          <w:w w:val="110"/>
        </w:rPr>
        <w:t>for</w:t>
      </w:r>
      <w:r w:rsidRPr="00DD7BD1">
        <w:rPr>
          <w:rFonts w:ascii="Calibri" w:hAnsi="Calibri" w:cs="Calibri"/>
          <w:i/>
          <w:spacing w:val="22"/>
          <w:w w:val="110"/>
        </w:rPr>
        <w:t xml:space="preserve"> </w:t>
      </w:r>
      <w:r w:rsidRPr="00DD7BD1">
        <w:rPr>
          <w:rFonts w:ascii="Calibri" w:hAnsi="Calibri" w:cs="Calibri"/>
          <w:i/>
          <w:w w:val="110"/>
        </w:rPr>
        <w:t>childbirth</w:t>
      </w:r>
      <w:r w:rsidRPr="00DD7BD1">
        <w:rPr>
          <w:rFonts w:ascii="Calibri" w:hAnsi="Calibri" w:cs="Calibri"/>
          <w:w w:val="110"/>
        </w:rPr>
        <w:t>,</w:t>
      </w:r>
      <w:r w:rsidRPr="00DD7BD1">
        <w:rPr>
          <w:rFonts w:ascii="Calibri" w:hAnsi="Calibri" w:cs="Calibri"/>
          <w:spacing w:val="22"/>
          <w:w w:val="110"/>
        </w:rPr>
        <w:t xml:space="preserve"> </w:t>
      </w:r>
      <w:r w:rsidRPr="00DD7BD1">
        <w:rPr>
          <w:rFonts w:ascii="Calibri" w:hAnsi="Calibri" w:cs="Calibri"/>
          <w:w w:val="110"/>
        </w:rPr>
        <w:t>but</w:t>
      </w:r>
      <w:r w:rsidRPr="00DD7BD1">
        <w:rPr>
          <w:rFonts w:ascii="Calibri" w:hAnsi="Calibri" w:cs="Calibri"/>
          <w:spacing w:val="22"/>
          <w:w w:val="110"/>
        </w:rPr>
        <w:t xml:space="preserve"> </w:t>
      </w:r>
      <w:r w:rsidRPr="00DD7BD1">
        <w:rPr>
          <w:rFonts w:ascii="Calibri" w:hAnsi="Calibri" w:cs="Calibri"/>
          <w:w w:val="110"/>
        </w:rPr>
        <w:t>we</w:t>
      </w:r>
      <w:r w:rsidRPr="00DD7BD1">
        <w:rPr>
          <w:rFonts w:ascii="Calibri" w:hAnsi="Calibri" w:cs="Calibri"/>
          <w:spacing w:val="22"/>
          <w:w w:val="110"/>
        </w:rPr>
        <w:t xml:space="preserve"> </w:t>
      </w:r>
      <w:r w:rsidRPr="00DD7BD1">
        <w:rPr>
          <w:rFonts w:ascii="Calibri" w:hAnsi="Calibri" w:cs="Calibri"/>
          <w:w w:val="110"/>
        </w:rPr>
        <w:t>assume</w:t>
      </w:r>
      <w:r w:rsidRPr="00DD7BD1">
        <w:rPr>
          <w:rFonts w:ascii="Calibri" w:hAnsi="Calibri" w:cs="Calibri"/>
          <w:spacing w:val="23"/>
          <w:w w:val="110"/>
        </w:rPr>
        <w:t xml:space="preserve"> </w:t>
      </w:r>
      <w:r w:rsidRPr="00DD7BD1">
        <w:rPr>
          <w:rFonts w:ascii="Calibri" w:hAnsi="Calibri" w:cs="Calibri"/>
          <w:w w:val="110"/>
        </w:rPr>
        <w:t>this includes appointments to prepare for it, as well)</w:t>
      </w:r>
    </w:p>
    <w:p w14:paraId="7EDFF2C1"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Their</w:t>
      </w:r>
      <w:r w:rsidRPr="00DD7BD1">
        <w:rPr>
          <w:rFonts w:ascii="Calibri" w:hAnsi="Calibri" w:cs="Calibri"/>
          <w:spacing w:val="34"/>
        </w:rPr>
        <w:t xml:space="preserve"> </w:t>
      </w:r>
      <w:r w:rsidRPr="00DD7BD1">
        <w:rPr>
          <w:rFonts w:ascii="Calibri" w:hAnsi="Calibri" w:cs="Calibri"/>
        </w:rPr>
        <w:t>own</w:t>
      </w:r>
      <w:r w:rsidRPr="00DD7BD1">
        <w:rPr>
          <w:rFonts w:ascii="Calibri" w:hAnsi="Calibri" w:cs="Calibri"/>
          <w:spacing w:val="34"/>
        </w:rPr>
        <w:t xml:space="preserve"> </w:t>
      </w:r>
      <w:r w:rsidRPr="00DD7BD1">
        <w:rPr>
          <w:rFonts w:ascii="Calibri" w:hAnsi="Calibri" w:cs="Calibri"/>
        </w:rPr>
        <w:t>postpartum</w:t>
      </w:r>
      <w:r w:rsidRPr="00DD7BD1">
        <w:rPr>
          <w:rFonts w:ascii="Calibri" w:hAnsi="Calibri" w:cs="Calibri"/>
          <w:spacing w:val="40"/>
        </w:rPr>
        <w:t xml:space="preserve"> </w:t>
      </w:r>
      <w:r w:rsidRPr="00DD7BD1">
        <w:rPr>
          <w:rFonts w:ascii="Calibri" w:hAnsi="Calibri" w:cs="Calibri"/>
          <w:spacing w:val="-4"/>
        </w:rPr>
        <w:t>care</w:t>
      </w:r>
    </w:p>
    <w:p w14:paraId="7070CD8C"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pediatric</w:t>
      </w:r>
      <w:r w:rsidRPr="00DD7BD1">
        <w:rPr>
          <w:rFonts w:ascii="Calibri" w:hAnsi="Calibri" w:cs="Calibri"/>
          <w:spacing w:val="-10"/>
          <w:w w:val="110"/>
        </w:rPr>
        <w:t xml:space="preserve"> </w:t>
      </w:r>
      <w:r w:rsidRPr="00DD7BD1">
        <w:rPr>
          <w:rFonts w:ascii="Calibri" w:hAnsi="Calibri" w:cs="Calibri"/>
          <w:spacing w:val="-2"/>
          <w:w w:val="110"/>
        </w:rPr>
        <w:t>medical</w:t>
      </w:r>
      <w:r w:rsidRPr="00DD7BD1">
        <w:rPr>
          <w:rFonts w:ascii="Calibri" w:hAnsi="Calibri" w:cs="Calibri"/>
          <w:spacing w:val="-8"/>
          <w:w w:val="110"/>
        </w:rPr>
        <w:t xml:space="preserve"> </w:t>
      </w:r>
      <w:r w:rsidRPr="00DD7BD1">
        <w:rPr>
          <w:rFonts w:ascii="Calibri" w:hAnsi="Calibri" w:cs="Calibri"/>
          <w:spacing w:val="-2"/>
          <w:w w:val="110"/>
        </w:rPr>
        <w:t>appointments</w:t>
      </w:r>
      <w:r w:rsidRPr="00DD7BD1">
        <w:rPr>
          <w:rFonts w:ascii="Calibri" w:hAnsi="Calibri" w:cs="Calibri"/>
          <w:spacing w:val="-9"/>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6"/>
          <w:w w:val="110"/>
        </w:rPr>
        <w:t xml:space="preserve"> </w:t>
      </w:r>
      <w:r w:rsidRPr="00DD7BD1">
        <w:rPr>
          <w:rFonts w:ascii="Calibri" w:hAnsi="Calibri" w:cs="Calibri"/>
          <w:spacing w:val="-2"/>
          <w:w w:val="110"/>
        </w:rPr>
        <w:t>first</w:t>
      </w:r>
      <w:r w:rsidRPr="00DD7BD1">
        <w:rPr>
          <w:rFonts w:ascii="Calibri" w:hAnsi="Calibri" w:cs="Calibri"/>
          <w:spacing w:val="-11"/>
          <w:w w:val="110"/>
        </w:rPr>
        <w:t xml:space="preserve"> </w:t>
      </w:r>
      <w:r w:rsidRPr="00DD7BD1">
        <w:rPr>
          <w:rFonts w:ascii="Calibri" w:hAnsi="Calibri" w:cs="Calibri"/>
          <w:spacing w:val="-2"/>
          <w:w w:val="110"/>
        </w:rPr>
        <w:t>year</w:t>
      </w:r>
      <w:r w:rsidRPr="00DD7BD1">
        <w:rPr>
          <w:rFonts w:ascii="Calibri" w:hAnsi="Calibri" w:cs="Calibri"/>
          <w:spacing w:val="-10"/>
          <w:w w:val="110"/>
        </w:rPr>
        <w:t xml:space="preserve"> </w:t>
      </w:r>
      <w:r w:rsidRPr="00DD7BD1">
        <w:rPr>
          <w:rFonts w:ascii="Calibri" w:hAnsi="Calibri" w:cs="Calibri"/>
          <w:spacing w:val="-2"/>
          <w:w w:val="110"/>
        </w:rPr>
        <w:t>of</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7"/>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birth</w:t>
      </w:r>
      <w:r w:rsidRPr="00DD7BD1">
        <w:rPr>
          <w:rFonts w:ascii="Calibri" w:hAnsi="Calibri" w:cs="Calibri"/>
          <w:spacing w:val="-10"/>
          <w:w w:val="110"/>
        </w:rPr>
        <w:t xml:space="preserve"> </w:t>
      </w:r>
      <w:r w:rsidRPr="00DD7BD1">
        <w:rPr>
          <w:rFonts w:ascii="Calibri" w:hAnsi="Calibri" w:cs="Calibri"/>
          <w:spacing w:val="-2"/>
          <w:w w:val="110"/>
        </w:rPr>
        <w:t>or</w:t>
      </w:r>
      <w:r w:rsidRPr="00DD7BD1">
        <w:rPr>
          <w:rFonts w:ascii="Calibri" w:hAnsi="Calibri" w:cs="Calibri"/>
          <w:spacing w:val="-7"/>
          <w:w w:val="110"/>
        </w:rPr>
        <w:t xml:space="preserve"> </w:t>
      </w:r>
      <w:r w:rsidRPr="00DD7BD1">
        <w:rPr>
          <w:rFonts w:ascii="Calibri" w:hAnsi="Calibri" w:cs="Calibri"/>
          <w:spacing w:val="-2"/>
          <w:w w:val="110"/>
        </w:rPr>
        <w:t>adoption</w:t>
      </w:r>
    </w:p>
    <w:p w14:paraId="328A6261" w14:textId="77777777" w:rsidR="00A154D2" w:rsidRPr="00DD7BD1" w:rsidRDefault="00A154D2" w:rsidP="00A154D2">
      <w:pPr>
        <w:pStyle w:val="BodyText"/>
        <w:spacing w:after="0" w:line="240" w:lineRule="auto"/>
        <w:ind w:left="630" w:right="-90"/>
        <w:rPr>
          <w:rFonts w:cs="Calibri"/>
          <w:color w:val="auto"/>
          <w:szCs w:val="22"/>
        </w:rPr>
      </w:pPr>
      <w:r w:rsidRPr="00DD7BD1">
        <w:rPr>
          <w:rFonts w:cs="Calibri"/>
          <w:color w:val="auto"/>
          <w:w w:val="110"/>
          <w:szCs w:val="22"/>
        </w:rPr>
        <w:t>If</w:t>
      </w:r>
      <w:r w:rsidRPr="00DD7BD1">
        <w:rPr>
          <w:rFonts w:cs="Calibri"/>
          <w:color w:val="auto"/>
          <w:spacing w:val="31"/>
          <w:w w:val="110"/>
          <w:szCs w:val="22"/>
        </w:rPr>
        <w:t xml:space="preserve"> </w:t>
      </w:r>
      <w:r w:rsidRPr="00DD7BD1">
        <w:rPr>
          <w:rFonts w:cs="Calibri"/>
          <w:color w:val="auto"/>
          <w:w w:val="110"/>
          <w:szCs w:val="22"/>
        </w:rPr>
        <w:t>both</w:t>
      </w:r>
      <w:r w:rsidRPr="00DD7BD1">
        <w:rPr>
          <w:rFonts w:cs="Calibri"/>
          <w:color w:val="auto"/>
          <w:spacing w:val="29"/>
          <w:w w:val="110"/>
          <w:szCs w:val="22"/>
        </w:rPr>
        <w:t xml:space="preserve"> </w:t>
      </w:r>
      <w:r w:rsidRPr="00DD7BD1">
        <w:rPr>
          <w:rFonts w:cs="Calibri"/>
          <w:color w:val="auto"/>
          <w:w w:val="110"/>
          <w:szCs w:val="22"/>
        </w:rPr>
        <w:t>parents</w:t>
      </w:r>
      <w:r w:rsidRPr="00DD7BD1">
        <w:rPr>
          <w:rFonts w:cs="Calibri"/>
          <w:color w:val="auto"/>
          <w:spacing w:val="31"/>
          <w:w w:val="110"/>
          <w:szCs w:val="22"/>
        </w:rPr>
        <w:t xml:space="preserve"> </w:t>
      </w:r>
      <w:r w:rsidRPr="00DD7BD1">
        <w:rPr>
          <w:rFonts w:cs="Calibri"/>
          <w:color w:val="auto"/>
          <w:w w:val="110"/>
          <w:szCs w:val="22"/>
        </w:rPr>
        <w:t>work</w:t>
      </w:r>
      <w:r w:rsidRPr="00DD7BD1">
        <w:rPr>
          <w:rFonts w:cs="Calibri"/>
          <w:color w:val="auto"/>
          <w:spacing w:val="29"/>
          <w:w w:val="110"/>
          <w:szCs w:val="22"/>
        </w:rPr>
        <w:t xml:space="preserve"> </w:t>
      </w:r>
      <w:r w:rsidRPr="00DD7BD1">
        <w:rPr>
          <w:rFonts w:cs="Calibri"/>
          <w:color w:val="auto"/>
          <w:w w:val="110"/>
          <w:szCs w:val="22"/>
        </w:rPr>
        <w:t>for</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8"/>
          <w:w w:val="110"/>
          <w:szCs w:val="22"/>
        </w:rPr>
        <w:t xml:space="preserve"> </w:t>
      </w:r>
      <w:r w:rsidRPr="00DD7BD1">
        <w:rPr>
          <w:rFonts w:cs="Calibri"/>
          <w:color w:val="auto"/>
          <w:w w:val="110"/>
          <w:szCs w:val="22"/>
        </w:rPr>
        <w:t>same</w:t>
      </w:r>
      <w:r w:rsidRPr="00DD7BD1">
        <w:rPr>
          <w:rFonts w:cs="Calibri"/>
          <w:color w:val="auto"/>
          <w:spacing w:val="29"/>
          <w:w w:val="110"/>
          <w:szCs w:val="22"/>
        </w:rPr>
        <w:t xml:space="preserve"> </w:t>
      </w:r>
      <w:r w:rsidRPr="00DD7BD1">
        <w:rPr>
          <w:rFonts w:cs="Calibri"/>
          <w:color w:val="auto"/>
          <w:w w:val="110"/>
          <w:szCs w:val="22"/>
        </w:rPr>
        <w:t>employer,</w:t>
      </w:r>
      <w:r w:rsidRPr="00DD7BD1">
        <w:rPr>
          <w:rFonts w:cs="Calibri"/>
          <w:color w:val="auto"/>
          <w:spacing w:val="29"/>
          <w:w w:val="110"/>
          <w:szCs w:val="22"/>
        </w:rPr>
        <w:t xml:space="preserve"> </w:t>
      </w:r>
      <w:r w:rsidRPr="00DD7BD1">
        <w:rPr>
          <w:rFonts w:cs="Calibri"/>
          <w:color w:val="auto"/>
          <w:w w:val="110"/>
          <w:szCs w:val="22"/>
        </w:rPr>
        <w:t>they</w:t>
      </w:r>
      <w:r w:rsidRPr="00DD7BD1">
        <w:rPr>
          <w:rFonts w:cs="Calibri"/>
          <w:color w:val="auto"/>
          <w:spacing w:val="32"/>
          <w:w w:val="110"/>
          <w:szCs w:val="22"/>
        </w:rPr>
        <w:t xml:space="preserve"> </w:t>
      </w:r>
      <w:r w:rsidRPr="00DD7BD1">
        <w:rPr>
          <w:rFonts w:cs="Calibri"/>
          <w:color w:val="auto"/>
          <w:w w:val="110"/>
          <w:szCs w:val="22"/>
        </w:rPr>
        <w:t>can</w:t>
      </w:r>
      <w:r w:rsidRPr="00DD7BD1">
        <w:rPr>
          <w:rFonts w:cs="Calibri"/>
          <w:color w:val="auto"/>
          <w:spacing w:val="30"/>
          <w:w w:val="110"/>
          <w:szCs w:val="22"/>
        </w:rPr>
        <w:t xml:space="preserve"> </w:t>
      </w:r>
      <w:r w:rsidRPr="00DD7BD1">
        <w:rPr>
          <w:rFonts w:cs="Calibri"/>
          <w:color w:val="auto"/>
          <w:w w:val="110"/>
          <w:szCs w:val="22"/>
        </w:rPr>
        <w:t>share</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25-hour</w:t>
      </w:r>
      <w:r w:rsidRPr="00DD7BD1">
        <w:rPr>
          <w:rFonts w:cs="Calibri"/>
          <w:color w:val="auto"/>
          <w:spacing w:val="29"/>
          <w:w w:val="110"/>
          <w:szCs w:val="22"/>
        </w:rPr>
        <w:t xml:space="preserve"> </w:t>
      </w:r>
      <w:r w:rsidRPr="00DD7BD1">
        <w:rPr>
          <w:rFonts w:cs="Calibri"/>
          <w:color w:val="auto"/>
          <w:w w:val="110"/>
          <w:szCs w:val="22"/>
        </w:rPr>
        <w:t>entitlement</w:t>
      </w:r>
      <w:r w:rsidRPr="00DD7BD1">
        <w:rPr>
          <w:rFonts w:cs="Calibri"/>
          <w:color w:val="auto"/>
          <w:spacing w:val="31"/>
          <w:w w:val="110"/>
          <w:szCs w:val="22"/>
        </w:rPr>
        <w:t xml:space="preserve"> </w:t>
      </w:r>
      <w:r w:rsidRPr="00DD7BD1">
        <w:rPr>
          <w:rFonts w:cs="Calibri"/>
          <w:color w:val="auto"/>
          <w:w w:val="110"/>
          <w:szCs w:val="22"/>
        </w:rPr>
        <w:t>for</w:t>
      </w:r>
      <w:r w:rsidRPr="00DD7BD1">
        <w:rPr>
          <w:rFonts w:cs="Calibri"/>
          <w:color w:val="auto"/>
          <w:spacing w:val="29"/>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child’s</w:t>
      </w:r>
      <w:r w:rsidRPr="00DD7BD1">
        <w:rPr>
          <w:rFonts w:cs="Calibri"/>
          <w:color w:val="auto"/>
          <w:spacing w:val="31"/>
          <w:w w:val="110"/>
          <w:szCs w:val="22"/>
        </w:rPr>
        <w:t xml:space="preserve"> </w:t>
      </w:r>
      <w:r w:rsidRPr="00DD7BD1">
        <w:rPr>
          <w:rFonts w:cs="Calibri"/>
          <w:color w:val="auto"/>
          <w:spacing w:val="-2"/>
          <w:w w:val="110"/>
          <w:szCs w:val="22"/>
        </w:rPr>
        <w:t>medical</w:t>
      </w:r>
      <w:r w:rsidRPr="00DD7BD1">
        <w:rPr>
          <w:rFonts w:cs="Calibri"/>
          <w:color w:val="auto"/>
          <w:szCs w:val="22"/>
        </w:rPr>
        <w:t xml:space="preserve"> </w:t>
      </w:r>
      <w:r w:rsidRPr="00DD7BD1">
        <w:rPr>
          <w:rFonts w:cs="Calibri"/>
          <w:color w:val="auto"/>
          <w:w w:val="110"/>
          <w:szCs w:val="22"/>
        </w:rPr>
        <w:t>appointments.</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accrued</w:t>
      </w:r>
      <w:r w:rsidRPr="00DD7BD1">
        <w:rPr>
          <w:rFonts w:cs="Calibri"/>
          <w:color w:val="auto"/>
          <w:spacing w:val="-11"/>
          <w:w w:val="110"/>
          <w:szCs w:val="22"/>
        </w:rPr>
        <w:t xml:space="preserve"> </w:t>
      </w:r>
      <w:r w:rsidRPr="00DD7BD1">
        <w:rPr>
          <w:rFonts w:cs="Calibri"/>
          <w:color w:val="auto"/>
          <w:w w:val="110"/>
          <w:szCs w:val="22"/>
        </w:rPr>
        <w:t>vacation</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substitute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unpaid</w:t>
      </w:r>
      <w:r w:rsidRPr="00DD7BD1">
        <w:rPr>
          <w:rFonts w:cs="Calibri"/>
          <w:color w:val="auto"/>
          <w:spacing w:val="-11"/>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spacing w:val="-2"/>
          <w:w w:val="110"/>
          <w:szCs w:val="22"/>
        </w:rPr>
        <w:t>time.</w:t>
      </w:r>
    </w:p>
    <w:p w14:paraId="1647AF27" w14:textId="1A97348A" w:rsidR="00A154D2" w:rsidRPr="00DD7BD1" w:rsidRDefault="00BE45C9" w:rsidP="00BE45C9">
      <w:pPr>
        <w:jc w:val="both"/>
        <w:rPr>
          <w:rFonts w:ascii="Calibri" w:hAnsi="Calibri" w:cs="Calibri"/>
          <w:w w:val="110"/>
        </w:rPr>
      </w:pPr>
      <w:r w:rsidRPr="00DD7BD1">
        <w:rPr>
          <w:rFonts w:ascii="Calibri" w:hAnsi="Calibri" w:cs="Calibri"/>
          <w:w w:val="110"/>
        </w:rPr>
        <w:t>With the December HR WIRE publication, an updated NH State Handbook Addendum will be published inclusive of new policy language.</w:t>
      </w:r>
    </w:p>
    <w:p w14:paraId="7FAAEB9C" w14:textId="154F1790"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Lactation Protections – </w:t>
      </w:r>
      <w:r w:rsidRPr="00DD7BD1">
        <w:rPr>
          <w:rFonts w:ascii="Calibri" w:hAnsi="Calibri" w:cs="Calibri"/>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DD7BD1"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DD7BD1" w:rsidRDefault="00F45F26" w:rsidP="009C0EE2">
            <w:pPr>
              <w:rPr>
                <w:rFonts w:ascii="Calibri" w:hAnsi="Calibri" w:cs="Calibri"/>
                <w:shd w:val="clear" w:color="auto" w:fill="FFFFFF"/>
              </w:rPr>
            </w:pPr>
            <w:r w:rsidRPr="00DD7BD1">
              <w:rPr>
                <w:rFonts w:ascii="Calibri" w:hAnsi="Calibri" w:cs="Calibri"/>
                <w:shd w:val="clear" w:color="auto" w:fill="FFFFFF"/>
              </w:rPr>
              <w:t>Starting July 1, 2025, employers with six or more employees</w:t>
            </w:r>
            <w:r w:rsidRPr="00DD7BD1">
              <w:rPr>
                <w:rFonts w:ascii="Calibri" w:hAnsi="Calibri" w:cs="Calibri"/>
                <w:i/>
                <w:iCs/>
                <w:shd w:val="clear" w:color="auto" w:fill="FFFFFF"/>
              </w:rPr>
              <w:t> in New Hampshire </w:t>
            </w:r>
            <w:r w:rsidRPr="00DD7BD1">
              <w:rPr>
                <w:rFonts w:ascii="Calibri" w:hAnsi="Calibri" w:cs="Calibri"/>
                <w:shd w:val="clear" w:color="auto" w:fill="FFFFFF"/>
              </w:rPr>
              <w:t>will be required to provide employees with certain lactation accommodations unless doing so would be an undue hardship (i.e., a </w:t>
            </w:r>
            <w:r w:rsidRPr="00DD7BD1">
              <w:rPr>
                <w:rFonts w:ascii="Calibri" w:hAnsi="Calibri" w:cs="Calibri"/>
                <w:i/>
                <w:iCs/>
                <w:shd w:val="clear" w:color="auto" w:fill="FFFFFF"/>
              </w:rPr>
              <w:t>significant</w:t>
            </w:r>
            <w:r w:rsidRPr="00DD7BD1">
              <w:rPr>
                <w:rFonts w:ascii="Calibri" w:hAnsi="Calibri" w:cs="Calibri"/>
                <w:shd w:val="clear" w:color="auto" w:fill="FFFFFF"/>
              </w:rPr>
              <w:t xml:space="preserve"> difficulty or expense). </w:t>
            </w:r>
          </w:p>
          <w:p w14:paraId="3B6C0A2A"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b/>
                <w:bCs/>
                <w:shd w:val="clear" w:color="auto" w:fill="FFFFFF"/>
              </w:rPr>
              <w:t>Lactation Space</w:t>
            </w:r>
            <w:r w:rsidRPr="00DD7BD1">
              <w:rPr>
                <w:rFonts w:ascii="Calibri" w:hAnsi="Calibri" w:cs="Calibri"/>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If feasible, the space needs to include an </w:t>
            </w:r>
            <w:r w:rsidRPr="00DD7BD1">
              <w:rPr>
                <w:rFonts w:ascii="Calibri" w:hAnsi="Calibri" w:cs="Calibri"/>
                <w:u w:val="single"/>
                <w:shd w:val="clear" w:color="auto" w:fill="FFFFFF"/>
              </w:rPr>
              <w:t>electrical outlet and a chair</w:t>
            </w:r>
            <w:r w:rsidRPr="00DD7BD1">
              <w:rPr>
                <w:rFonts w:ascii="Calibri" w:hAnsi="Calibri" w:cs="Calibri"/>
                <w:shd w:val="clear" w:color="auto" w:fill="FFFFFF"/>
              </w:rPr>
              <w:t>. It must also (and we hope this didn’t need saying) be clean. </w:t>
            </w:r>
          </w:p>
          <w:p w14:paraId="5B1448D9" w14:textId="13D0F506" w:rsidR="00F45F26" w:rsidRPr="00DD7BD1" w:rsidRDefault="00F45F26">
            <w:pPr>
              <w:pStyle w:val="ListParagraph"/>
              <w:numPr>
                <w:ilvl w:val="0"/>
                <w:numId w:val="220"/>
              </w:num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If the space isn’t designated for lactation full time, it needs to be </w:t>
            </w:r>
            <w:r w:rsidRPr="00DD7BD1">
              <w:rPr>
                <w:rFonts w:ascii="Calibri" w:hAnsi="Calibri" w:cs="Calibri"/>
                <w:u w:val="single"/>
                <w:shd w:val="clear" w:color="auto" w:fill="FFFFFF"/>
              </w:rPr>
              <w:t>accessible to employees whenever they request it.</w:t>
            </w:r>
          </w:p>
          <w:p w14:paraId="343B9548" w14:textId="04A932C5" w:rsidR="00F45F26" w:rsidRPr="00DD7BD1" w:rsidRDefault="00F45F26" w:rsidP="009C0EE2">
            <w:pPr>
              <w:rPr>
                <w:rFonts w:ascii="Calibri" w:hAnsi="Calibri" w:cs="Calibri"/>
                <w:color w:val="2E74B5" w:themeColor="accent5" w:themeShade="BF"/>
                <w:shd w:val="clear" w:color="auto" w:fill="FFFFFF"/>
              </w:rPr>
            </w:pPr>
            <w:r w:rsidRPr="00DD7BD1">
              <w:rPr>
                <w:rFonts w:ascii="Calibri" w:hAnsi="Calibri" w:cs="Calibri"/>
                <w:b/>
                <w:bCs/>
                <w:shd w:val="clear" w:color="auto" w:fill="FFFFFF"/>
              </w:rPr>
              <w:t>Lactation Policy</w:t>
            </w:r>
            <w:r w:rsidRPr="00DD7BD1">
              <w:rPr>
                <w:rFonts w:ascii="Calibri" w:hAnsi="Calibri" w:cs="Calibri"/>
                <w:shd w:val="clear" w:color="auto" w:fill="FFFFFF"/>
              </w:rPr>
              <w:br/>
              <w:t>Employers will need to adopt a policy that notifies employees about their lactation rights and make it available to employees upon hire, if an employer doesn’t already have such a policy.  ETC released an updated State Handbook Addendum June 2025.</w:t>
            </w:r>
          </w:p>
        </w:tc>
      </w:tr>
    </w:tbl>
    <w:p w14:paraId="7732FB9B" w14:textId="70C904E4" w:rsidR="00ED58D7" w:rsidRPr="00DD7BD1" w:rsidRDefault="00F45F26" w:rsidP="00F45F26">
      <w:pPr>
        <w:pStyle w:val="Heading1"/>
        <w:spacing w:before="0" w:beforeAutospacing="0" w:after="0" w:afterAutospacing="0"/>
        <w:jc w:val="center"/>
        <w:rPr>
          <w:rFonts w:ascii="Calibri" w:eastAsiaTheme="minorHAnsi" w:hAnsi="Calibri" w:cs="Calibri"/>
          <w:kern w:val="0"/>
          <w:sz w:val="28"/>
          <w:szCs w:val="28"/>
          <w:shd w:val="clear" w:color="auto" w:fill="FFFFFF"/>
        </w:rPr>
      </w:pPr>
      <w:r w:rsidRPr="00DD7BD1">
        <w:rPr>
          <w:rFonts w:ascii="Calibri" w:eastAsiaTheme="minorHAnsi" w:hAnsi="Calibri" w:cs="Calibri"/>
          <w:kern w:val="0"/>
          <w:sz w:val="28"/>
          <w:szCs w:val="28"/>
          <w:shd w:val="clear" w:color="auto" w:fill="FFFFFF"/>
        </w:rPr>
        <w:t>State</w:t>
      </w:r>
      <w:r w:rsidR="00ED58D7" w:rsidRPr="00DD7BD1">
        <w:rPr>
          <w:rFonts w:ascii="Calibri" w:eastAsiaTheme="minorHAnsi" w:hAnsi="Calibri" w:cs="Calibri"/>
          <w:kern w:val="0"/>
          <w:sz w:val="28"/>
          <w:szCs w:val="28"/>
          <w:shd w:val="clear" w:color="auto" w:fill="FFFFFF"/>
        </w:rPr>
        <w:t xml:space="preserve"> Prohibits Hairstyle Discrimination – </w:t>
      </w:r>
      <w:r w:rsidR="00ED58D7" w:rsidRPr="00DD7BD1">
        <w:rPr>
          <w:rFonts w:ascii="Calibri" w:eastAsiaTheme="minorHAnsi" w:hAnsi="Calibri" w:cs="Calibri"/>
          <w:color w:val="C00000"/>
          <w:kern w:val="0"/>
          <w:sz w:val="28"/>
          <w:szCs w:val="28"/>
          <w:shd w:val="clear" w:color="auto" w:fill="FFFFFF"/>
        </w:rPr>
        <w:t>Sept 1, 2024</w:t>
      </w:r>
    </w:p>
    <w:p w14:paraId="79EB6B9B" w14:textId="77777777" w:rsidR="00ED58D7" w:rsidRPr="00DD7BD1" w:rsidRDefault="00ED58D7" w:rsidP="00ED58D7">
      <w:pPr>
        <w:spacing w:after="0" w:line="240" w:lineRule="auto"/>
        <w:rPr>
          <w:rFonts w:ascii="Calibri" w:hAnsi="Calibri" w:cs="Calibri"/>
          <w:shd w:val="clear" w:color="auto" w:fill="FFFFFF"/>
        </w:rPr>
      </w:pPr>
      <w:r w:rsidRPr="00DD7BD1">
        <w:rPr>
          <w:rFonts w:ascii="Calibri" w:hAnsi="Calibri" w:cs="Calibri"/>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sidRPr="00DD7BD1">
        <w:rPr>
          <w:rFonts w:ascii="Calibri" w:hAnsi="Calibri" w:cs="Calibri"/>
          <w:b/>
          <w:bCs/>
          <w:shd w:val="clear" w:color="auto" w:fill="FFFFFF"/>
        </w:rPr>
        <w:t xml:space="preserve">  </w:t>
      </w:r>
      <w:hyperlink r:id="rId825" w:tgtFrame="_blank" w:history="1">
        <w:r w:rsidRPr="00DD7BD1">
          <w:rPr>
            <w:rStyle w:val="Hyperlink"/>
            <w:rFonts w:ascii="Calibri" w:hAnsi="Calibri" w:cs="Calibri"/>
            <w:shd w:val="clear" w:color="auto" w:fill="FFFFFF"/>
          </w:rPr>
          <w:t>NH H 1169</w:t>
        </w:r>
      </w:hyperlink>
      <w:r w:rsidRPr="00DD7BD1">
        <w:rPr>
          <w:rFonts w:ascii="Calibri" w:hAnsi="Calibri" w:cs="Calibri"/>
          <w:shd w:val="clear" w:color="auto" w:fill="FFFFFF"/>
        </w:rPr>
        <w:t xml:space="preserve"> was signed by the governor on July 3, 2024.  </w:t>
      </w:r>
    </w:p>
    <w:p w14:paraId="578C14B7"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16"/>
          <w:szCs w:val="16"/>
          <w:shd w:val="clear" w:color="auto" w:fill="FFFFFF"/>
        </w:rPr>
      </w:pPr>
    </w:p>
    <w:p w14:paraId="3403909D"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eastAsiaTheme="minorHAnsi" w:hAnsi="Calibri" w:cs="Calibri"/>
          <w:kern w:val="0"/>
          <w:sz w:val="22"/>
          <w:szCs w:val="22"/>
          <w:shd w:val="clear" w:color="auto" w:fill="FFFFFF"/>
        </w:rPr>
        <w:t>s</w:t>
      </w:r>
      <w:r w:rsidRPr="00DD7BD1">
        <w:rPr>
          <w:rFonts w:ascii="Calibri" w:eastAsiaTheme="minorHAnsi" w:hAnsi="Calibri" w:cs="Calibri"/>
          <w:b w:val="0"/>
          <w:bCs w:val="0"/>
          <w:kern w:val="0"/>
          <w:sz w:val="22"/>
          <w:szCs w:val="22"/>
          <w:shd w:val="clear" w:color="auto" w:fill="FFFFFF"/>
        </w:rPr>
        <w:t xml:space="preserve">: </w:t>
      </w:r>
    </w:p>
    <w:p w14:paraId="07CFB29A"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should review policies to ensure your equal employment opportunity (EEO) policies to include protective hairstyles</w:t>
      </w:r>
    </w:p>
    <w:p w14:paraId="7A3C526C" w14:textId="77777777" w:rsidR="00ED58D7" w:rsidRPr="00DD7BD1" w:rsidRDefault="00ED58D7" w:rsidP="00472E17">
      <w:pPr>
        <w:spacing w:after="0" w:line="240" w:lineRule="auto"/>
        <w:jc w:val="both"/>
        <w:rPr>
          <w:rFonts w:ascii="Calibri" w:hAnsi="Calibri" w:cs="Calibri"/>
          <w:b/>
          <w:bCs/>
          <w:color w:val="2E74B5" w:themeColor="accent5" w:themeShade="BF"/>
          <w:sz w:val="16"/>
          <w:szCs w:val="16"/>
          <w:shd w:val="clear" w:color="auto" w:fill="FFFFFF"/>
          <w:lang w:val="en"/>
        </w:rPr>
      </w:pPr>
    </w:p>
    <w:p w14:paraId="01CCCF6D" w14:textId="7A1FF155"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Adds Protections for Volunteer Firefighters and EMTs – </w:t>
      </w:r>
      <w:r w:rsidRPr="00DD7BD1">
        <w:rPr>
          <w:rFonts w:ascii="Calibri" w:hAnsi="Calibri" w:cs="Calibri"/>
          <w:b/>
          <w:bCs/>
          <w:color w:val="C00000"/>
          <w:sz w:val="28"/>
          <w:szCs w:val="28"/>
          <w:shd w:val="clear" w:color="auto" w:fill="FFFFFF"/>
        </w:rPr>
        <w:t>Aug 2024</w:t>
      </w:r>
    </w:p>
    <w:p w14:paraId="5ADA1E6B" w14:textId="367A32A1"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August 13, 2024, employers of </w:t>
      </w:r>
      <w:r w:rsidRPr="00DD7BD1">
        <w:rPr>
          <w:rFonts w:ascii="Calibri" w:hAnsi="Calibri" w:cs="Calibri"/>
          <w:u w:val="single"/>
          <w:shd w:val="clear" w:color="auto" w:fill="FFFFFF"/>
        </w:rPr>
        <w:t xml:space="preserve">all sizes </w:t>
      </w:r>
      <w:r w:rsidRPr="00DD7BD1">
        <w:rPr>
          <w:rFonts w:ascii="Calibri" w:hAnsi="Calibri" w:cs="Calibri"/>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DD7BD1" w:rsidRDefault="000F6584" w:rsidP="000F6584">
      <w:pPr>
        <w:spacing w:after="0" w:line="240" w:lineRule="auto"/>
        <w:rPr>
          <w:rFonts w:ascii="Calibri" w:hAnsi="Calibri" w:cs="Calibri"/>
          <w:shd w:val="clear" w:color="auto" w:fill="FFFFFF"/>
        </w:rPr>
      </w:pPr>
    </w:p>
    <w:p w14:paraId="00D76DB8" w14:textId="0F8D4FD5" w:rsidR="001C5F42" w:rsidRPr="00DD7BD1" w:rsidRDefault="001C5F42" w:rsidP="001C5F42">
      <w:pPr>
        <w:spacing w:after="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Guns in Trunks State Regulation – </w:t>
      </w:r>
      <w:r w:rsidRPr="00DD7BD1">
        <w:rPr>
          <w:rFonts w:ascii="Calibri" w:hAnsi="Calibri" w:cs="Calibri"/>
          <w:b/>
          <w:bCs/>
          <w:color w:val="C00000"/>
          <w:sz w:val="28"/>
          <w:szCs w:val="28"/>
          <w:shd w:val="clear" w:color="auto" w:fill="FFFFFF"/>
          <w:lang w:val="en"/>
        </w:rPr>
        <w:t>Jan 1, 2025</w:t>
      </w:r>
    </w:p>
    <w:p w14:paraId="6398CC70"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2025, employers of all sizes will be subject to new limitations with respect to firearms stored in employees’ personal vehicles. Specifically, </w:t>
      </w:r>
      <w:r w:rsidRPr="00DD7BD1">
        <w:rPr>
          <w:rFonts w:ascii="Calibri" w:hAnsi="Calibri" w:cs="Calibri"/>
          <w:i/>
          <w:iCs/>
          <w:shd w:val="clear" w:color="auto" w:fill="FFFFFF"/>
        </w:rPr>
        <w:t>all </w:t>
      </w:r>
      <w:r w:rsidRPr="00DD7BD1">
        <w:rPr>
          <w:rFonts w:ascii="Calibri" w:hAnsi="Calibri" w:cs="Calibri"/>
          <w:shd w:val="clear" w:color="auto" w:fill="FFFFFF"/>
        </w:rPr>
        <w:t>employers can’t:</w:t>
      </w:r>
    </w:p>
    <w:p w14:paraId="77E7BF0D"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Require that employees disclose whether there is a firearm or ammunition in their vehicle</w:t>
      </w:r>
    </w:p>
    <w:p w14:paraId="10993D47"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Search an employee’s vehicle for a firearm or ammunition</w:t>
      </w:r>
    </w:p>
    <w:p w14:paraId="61D08177"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Additionally, employers </w:t>
      </w:r>
      <w:r w:rsidRPr="00DD7BD1">
        <w:rPr>
          <w:rFonts w:ascii="Calibri" w:hAnsi="Calibri" w:cs="Calibri"/>
          <w:i/>
          <w:iCs/>
          <w:shd w:val="clear" w:color="auto" w:fill="FFFFFF"/>
        </w:rPr>
        <w:t>that are state or federal government contractors </w:t>
      </w:r>
      <w:r w:rsidRPr="00DD7BD1">
        <w:rPr>
          <w:rFonts w:ascii="Calibri" w:hAnsi="Calibri" w:cs="Calibri"/>
          <w:shd w:val="clear" w:color="auto" w:fill="FFFFFF"/>
        </w:rPr>
        <w:t xml:space="preserve">can’t prohibit employees from storing a firearm or ammunition in their vehicle on the employer’s property if the employee can legally possess a firearm, the vehicle is locked, and the firearm or ammunition isn’t visible. </w:t>
      </w:r>
      <w:hyperlink r:id="rId826" w:tgtFrame="_blank" w:history="1">
        <w:r w:rsidRPr="00DD7BD1">
          <w:rPr>
            <w:rStyle w:val="Hyperlink"/>
            <w:rFonts w:ascii="Calibri" w:hAnsi="Calibri" w:cs="Calibri"/>
            <w:shd w:val="clear" w:color="auto" w:fill="FFFFFF"/>
          </w:rPr>
          <w:t>HB 1201</w:t>
        </w:r>
      </w:hyperlink>
      <w:r w:rsidRPr="00DD7BD1">
        <w:rPr>
          <w:rFonts w:ascii="Calibri" w:hAnsi="Calibri" w:cs="Calibri"/>
          <w:shd w:val="clear" w:color="auto" w:fill="FFFFFF"/>
        </w:rPr>
        <w:t> and </w:t>
      </w:r>
      <w:hyperlink r:id="rId827" w:tgtFrame="_blank" w:history="1">
        <w:r w:rsidRPr="00DD7BD1">
          <w:rPr>
            <w:rStyle w:val="Hyperlink"/>
            <w:rFonts w:ascii="Calibri" w:hAnsi="Calibri" w:cs="Calibri"/>
            <w:shd w:val="clear" w:color="auto" w:fill="FFFFFF"/>
          </w:rPr>
          <w:t>HB1336</w:t>
        </w:r>
      </w:hyperlink>
      <w:r w:rsidRPr="00DD7BD1">
        <w:rPr>
          <w:rFonts w:ascii="Calibri" w:hAnsi="Calibri" w:cs="Calibri"/>
          <w:shd w:val="clear" w:color="auto" w:fill="FFFFFF"/>
        </w:rPr>
        <w:t> were signed by the governor on July 12, 2024.</w:t>
      </w:r>
    </w:p>
    <w:p w14:paraId="230796FA"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4402735D" w14:textId="25F42A4D" w:rsidR="00472E17" w:rsidRPr="00DD7BD1" w:rsidRDefault="00472E17" w:rsidP="00024501">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Jersey</w:t>
      </w:r>
    </w:p>
    <w:p w14:paraId="482919CC" w14:textId="06BE1076" w:rsidR="00425344" w:rsidRPr="00DD7BD1" w:rsidRDefault="00425344" w:rsidP="004253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Changes to New Jersey Family Leave Act (NJFLA) Forthcoming – Eff </w:t>
      </w:r>
      <w:r w:rsidRPr="00DD7BD1">
        <w:rPr>
          <w:rFonts w:ascii="Calibri" w:hAnsi="Calibri" w:cs="Calibri"/>
          <w:b/>
          <w:bCs/>
          <w:color w:val="C00000"/>
          <w:sz w:val="28"/>
          <w:szCs w:val="28"/>
          <w:shd w:val="clear" w:color="auto" w:fill="FFFFFF"/>
          <w:lang w:val="en"/>
        </w:rPr>
        <w:t xml:space="preserve">July </w:t>
      </w:r>
      <w:r w:rsidR="002E62E2">
        <w:rPr>
          <w:rFonts w:ascii="Calibri" w:hAnsi="Calibri" w:cs="Calibri"/>
          <w:b/>
          <w:bCs/>
          <w:color w:val="C00000"/>
          <w:sz w:val="28"/>
          <w:szCs w:val="28"/>
          <w:shd w:val="clear" w:color="auto" w:fill="FFFFFF"/>
          <w:lang w:val="en"/>
        </w:rPr>
        <w:t xml:space="preserve">17, </w:t>
      </w:r>
      <w:r w:rsidRPr="00DD7BD1">
        <w:rPr>
          <w:rFonts w:ascii="Calibri" w:hAnsi="Calibri" w:cs="Calibri"/>
          <w:b/>
          <w:bCs/>
          <w:color w:val="C00000"/>
          <w:sz w:val="28"/>
          <w:szCs w:val="28"/>
          <w:shd w:val="clear" w:color="auto" w:fill="FFFFFF"/>
          <w:lang w:val="en"/>
        </w:rPr>
        <w:t>2026</w:t>
      </w:r>
    </w:p>
    <w:p w14:paraId="6BCF799A" w14:textId="19ED78C5" w:rsidR="00425344" w:rsidRPr="00DD7BD1" w:rsidRDefault="00425344" w:rsidP="00425344">
      <w:pPr>
        <w:spacing w:after="0" w:line="240" w:lineRule="auto"/>
        <w:rPr>
          <w:rFonts w:ascii="Calibri" w:hAnsi="Calibri" w:cs="Calibri"/>
        </w:rPr>
      </w:pPr>
      <w:r w:rsidRPr="00DD7BD1">
        <w:rPr>
          <w:rFonts w:ascii="Calibri" w:hAnsi="Calibri" w:cs="Calibri"/>
        </w:rPr>
        <w:t xml:space="preserve">New Jersey has </w:t>
      </w:r>
      <w:hyperlink r:id="rId828" w:history="1">
        <w:r w:rsidRPr="00DD7BD1">
          <w:rPr>
            <w:rStyle w:val="Hyperlink"/>
            <w:rFonts w:ascii="Calibri" w:hAnsi="Calibri" w:cs="Calibri"/>
          </w:rPr>
          <w:t>enacted</w:t>
        </w:r>
      </w:hyperlink>
      <w:r w:rsidRPr="00DD7BD1">
        <w:rPr>
          <w:rFonts w:ascii="Calibri" w:hAnsi="Calibri" w:cs="Calibri"/>
        </w:rPr>
        <w:t xml:space="preserve"> amendments to its Family Leave Act (NJFLA)</w:t>
      </w:r>
      <w:r w:rsidR="00586D2E" w:rsidRPr="00DD7BD1">
        <w:rPr>
          <w:rFonts w:ascii="Calibri" w:hAnsi="Calibri" w:cs="Calibri"/>
        </w:rPr>
        <w:t xml:space="preserve">, </w:t>
      </w:r>
      <w:hyperlink r:id="rId829" w:history="1">
        <w:r w:rsidR="00586D2E" w:rsidRPr="00DD7BD1">
          <w:rPr>
            <w:rStyle w:val="Hyperlink"/>
            <w:rFonts w:ascii="Calibri" w:hAnsi="Calibri" w:cs="Calibri"/>
          </w:rPr>
          <w:t>Assembly Bill 3451</w:t>
        </w:r>
      </w:hyperlink>
      <w:r w:rsidR="00586D2E" w:rsidRPr="00DD7BD1">
        <w:rPr>
          <w:rFonts w:ascii="Calibri" w:hAnsi="Calibri" w:cs="Calibri"/>
        </w:rPr>
        <w:t xml:space="preserve"> (A3451), </w:t>
      </w:r>
      <w:r w:rsidRPr="00DD7BD1">
        <w:rPr>
          <w:rFonts w:ascii="Calibri" w:hAnsi="Calibri" w:cs="Calibri"/>
        </w:rPr>
        <w:t xml:space="preserve">that apply the law to smaller employers and reduce eligibility requirements for employees. The amendments also add job protection for employees receiving benefits under the state temporary disability insurance (TDI) and family leave insurance (FLI) programs. </w:t>
      </w:r>
    </w:p>
    <w:p w14:paraId="376210BE" w14:textId="55DFC143" w:rsidR="00425344" w:rsidRPr="00DD7BD1" w:rsidRDefault="00425344" w:rsidP="00425344">
      <w:pPr>
        <w:spacing w:after="0" w:line="240" w:lineRule="auto"/>
        <w:rPr>
          <w:rFonts w:ascii="Calibri" w:hAnsi="Calibri" w:cs="Calibri"/>
          <w:shd w:val="clear" w:color="auto" w:fill="FFFFFF"/>
        </w:rPr>
      </w:pPr>
      <w:r w:rsidRPr="00DD7BD1">
        <w:rPr>
          <w:rFonts w:ascii="Calibri" w:hAnsi="Calibri" w:cs="Calibri"/>
        </w:rPr>
        <w:t xml:space="preserve">The changes are contained in Assembly Bill (AB) 3451 and take effect </w:t>
      </w:r>
      <w:r w:rsidRPr="00DD7BD1">
        <w:rPr>
          <w:rFonts w:ascii="Calibri" w:hAnsi="Calibri" w:cs="Calibri"/>
          <w:b/>
          <w:bCs/>
        </w:rPr>
        <w:t>July 17, 2026</w:t>
      </w:r>
      <w:r w:rsidRPr="00DD7BD1">
        <w:rPr>
          <w:rFonts w:ascii="Calibri" w:hAnsi="Calibri" w:cs="Calibri"/>
        </w:rPr>
        <w:t xml:space="preserve">. </w:t>
      </w:r>
      <w:r w:rsidRPr="00DD7BD1">
        <w:rPr>
          <w:rFonts w:ascii="Calibri" w:hAnsi="Calibri" w:cs="Calibri"/>
          <w:shd w:val="clear" w:color="auto" w:fill="FFFFFF"/>
        </w:rPr>
        <w:t>More details to come ahead of the effective date.</w:t>
      </w:r>
    </w:p>
    <w:p w14:paraId="4B39C0D5" w14:textId="77777777" w:rsidR="00425344" w:rsidRPr="00DD7BD1" w:rsidRDefault="00425344" w:rsidP="00425344">
      <w:pPr>
        <w:spacing w:after="0" w:line="240" w:lineRule="auto"/>
        <w:rPr>
          <w:rFonts w:ascii="Calibri" w:hAnsi="Calibri" w:cs="Calibri"/>
        </w:rPr>
      </w:pPr>
    </w:p>
    <w:p w14:paraId="104ADDE8" w14:textId="2E02AAE0" w:rsidR="00024501" w:rsidRPr="00DD7BD1" w:rsidRDefault="00024501" w:rsidP="00024501">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232FD2AB" w14:textId="77777777" w:rsidR="00024501" w:rsidRPr="00DD7BD1" w:rsidRDefault="00024501" w:rsidP="00024501">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hourly wages in New Jersey will increase as follows:</w:t>
      </w:r>
    </w:p>
    <w:p w14:paraId="7CB1A53C"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most employers and employees: $15.92</w:t>
      </w:r>
    </w:p>
    <w:p w14:paraId="461CFB10"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tipped employees: $6.05 as a </w:t>
      </w:r>
      <w:r w:rsidRPr="00DD7BD1">
        <w:rPr>
          <w:rFonts w:ascii="Calibri" w:hAnsi="Calibri" w:cs="Calibri"/>
          <w:i/>
          <w:iCs/>
          <w:shd w:val="clear" w:color="auto" w:fill="FFFFFF"/>
        </w:rPr>
        <w:t>base wage </w:t>
      </w:r>
      <w:r w:rsidRPr="00DD7BD1">
        <w:rPr>
          <w:rFonts w:ascii="Calibri" w:hAnsi="Calibri" w:cs="Calibri"/>
          <w:shd w:val="clear" w:color="auto" w:fill="FFFFFF"/>
        </w:rPr>
        <w:t>(tips must bring them to $15.92)</w:t>
      </w:r>
    </w:p>
    <w:p w14:paraId="60D86FD9"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seasonal and small employers (those with five or fewer employees): $15.23</w:t>
      </w:r>
    </w:p>
    <w:p w14:paraId="6A47CC45"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agricultural employers: $14.20</w:t>
      </w:r>
    </w:p>
    <w:p w14:paraId="5F74573E"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employees who provide direct care at a long-term care facility: $18.92</w:t>
      </w:r>
    </w:p>
    <w:p w14:paraId="4CEF382C" w14:textId="77777777" w:rsidR="00024501" w:rsidRPr="00DD7BD1" w:rsidRDefault="00024501" w:rsidP="00B22B5D">
      <w:pPr>
        <w:spacing w:after="0" w:line="240" w:lineRule="auto"/>
        <w:ind w:right="-187"/>
        <w:jc w:val="center"/>
        <w:rPr>
          <w:rFonts w:ascii="Calibri" w:hAnsi="Calibri" w:cs="Calibri"/>
          <w:b/>
          <w:spacing w:val="-6"/>
        </w:rPr>
      </w:pPr>
    </w:p>
    <w:p w14:paraId="374FB169" w14:textId="698C7847"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Bans</w:t>
      </w:r>
      <w:r w:rsidRPr="00DD7BD1">
        <w:rPr>
          <w:rFonts w:ascii="Calibri" w:hAnsi="Calibri" w:cs="Calibri"/>
          <w:b/>
          <w:spacing w:val="-7"/>
          <w:sz w:val="28"/>
        </w:rPr>
        <w:t xml:space="preserve"> </w:t>
      </w:r>
      <w:r w:rsidRPr="00DD7BD1">
        <w:rPr>
          <w:rFonts w:ascii="Calibri" w:hAnsi="Calibri" w:cs="Calibri"/>
          <w:b/>
          <w:spacing w:val="-6"/>
          <w:sz w:val="28"/>
        </w:rPr>
        <w:t>Mandatory</w:t>
      </w:r>
      <w:r w:rsidRPr="00DD7BD1">
        <w:rPr>
          <w:rFonts w:ascii="Calibri" w:hAnsi="Calibri" w:cs="Calibri"/>
          <w:b/>
          <w:spacing w:val="-10"/>
          <w:sz w:val="28"/>
        </w:rPr>
        <w:t xml:space="preserve"> </w:t>
      </w:r>
      <w:r w:rsidRPr="00DD7BD1">
        <w:rPr>
          <w:rFonts w:ascii="Calibri" w:hAnsi="Calibri" w:cs="Calibri"/>
          <w:b/>
          <w:spacing w:val="-6"/>
          <w:sz w:val="28"/>
        </w:rPr>
        <w:t>Employee</w:t>
      </w:r>
      <w:r w:rsidRPr="00DD7BD1">
        <w:rPr>
          <w:rFonts w:ascii="Calibri" w:hAnsi="Calibri" w:cs="Calibri"/>
          <w:b/>
          <w:spacing w:val="-10"/>
          <w:sz w:val="28"/>
        </w:rPr>
        <w:t xml:space="preserve"> </w:t>
      </w:r>
      <w:r w:rsidRPr="00DD7BD1">
        <w:rPr>
          <w:rFonts w:ascii="Calibri" w:hAnsi="Calibri" w:cs="Calibri"/>
          <w:b/>
          <w:spacing w:val="-6"/>
          <w:sz w:val="28"/>
        </w:rPr>
        <w:t>Meetings –</w:t>
      </w:r>
      <w:r w:rsidRPr="00DD7BD1">
        <w:rPr>
          <w:rFonts w:ascii="Calibri" w:hAnsi="Calibri" w:cs="Calibri"/>
          <w:b/>
          <w:spacing w:val="-8"/>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Dec</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0755C983"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New Jersey Governor Phil Murphy signed into law significant amendments to the New Jersey Employer Political Communication Restrictions Act (the “Act”) on September 3, 2025. These amendments, which take effect on December</w:t>
      </w:r>
      <w:r w:rsidRPr="00DD7BD1">
        <w:rPr>
          <w:rFonts w:cs="Calibri"/>
          <w:color w:val="auto"/>
          <w:spacing w:val="-13"/>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2025,</w:t>
      </w:r>
      <w:r w:rsidRPr="00DD7BD1">
        <w:rPr>
          <w:rFonts w:cs="Calibri"/>
          <w:color w:val="auto"/>
          <w:spacing w:val="-13"/>
          <w:w w:val="110"/>
          <w:szCs w:val="22"/>
        </w:rPr>
        <w:t xml:space="preserve"> </w:t>
      </w:r>
      <w:r w:rsidRPr="00DD7BD1">
        <w:rPr>
          <w:rFonts w:cs="Calibri"/>
          <w:color w:val="auto"/>
          <w:w w:val="110"/>
          <w:szCs w:val="22"/>
        </w:rPr>
        <w:t>make</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3"/>
          <w:w w:val="110"/>
          <w:szCs w:val="22"/>
        </w:rPr>
        <w:t xml:space="preserve"> </w:t>
      </w:r>
      <w:r w:rsidRPr="00DD7BD1">
        <w:rPr>
          <w:rFonts w:cs="Calibri"/>
          <w:color w:val="auto"/>
          <w:w w:val="110"/>
          <w:szCs w:val="22"/>
        </w:rPr>
        <w:t>Jersey</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12</w:t>
      </w:r>
      <w:r w:rsidRPr="00DD7BD1">
        <w:rPr>
          <w:rFonts w:cs="Calibri"/>
          <w:color w:val="auto"/>
          <w:spacing w:val="-7"/>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nation</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prohibit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from</w:t>
      </w:r>
      <w:r w:rsidRPr="00DD7BD1">
        <w:rPr>
          <w:rFonts w:cs="Calibri"/>
          <w:color w:val="auto"/>
          <w:spacing w:val="-12"/>
          <w:w w:val="110"/>
          <w:szCs w:val="22"/>
        </w:rPr>
        <w:t xml:space="preserve"> </w:t>
      </w:r>
      <w:r w:rsidRPr="00DD7BD1">
        <w:rPr>
          <w:rFonts w:cs="Calibri"/>
          <w:color w:val="auto"/>
          <w:w w:val="110"/>
          <w:szCs w:val="22"/>
        </w:rPr>
        <w:t>holding</w:t>
      </w:r>
      <w:r w:rsidRPr="00DD7BD1">
        <w:rPr>
          <w:rFonts w:cs="Calibri"/>
          <w:color w:val="auto"/>
          <w:spacing w:val="-6"/>
          <w:w w:val="110"/>
          <w:szCs w:val="22"/>
        </w:rPr>
        <w:t xml:space="preserve"> </w:t>
      </w:r>
      <w:r w:rsidRPr="00DD7BD1">
        <w:rPr>
          <w:rFonts w:cs="Calibri"/>
          <w:color w:val="auto"/>
          <w:w w:val="110"/>
          <w:szCs w:val="22"/>
        </w:rPr>
        <w:t>mandatory, captive</w:t>
      </w:r>
      <w:r w:rsidRPr="00DD7BD1">
        <w:rPr>
          <w:rFonts w:cs="Calibri"/>
          <w:color w:val="auto"/>
          <w:spacing w:val="-6"/>
          <w:w w:val="110"/>
          <w:szCs w:val="22"/>
        </w:rPr>
        <w:t xml:space="preserve"> </w:t>
      </w:r>
      <w:r w:rsidRPr="00DD7BD1">
        <w:rPr>
          <w:rFonts w:cs="Calibri"/>
          <w:color w:val="auto"/>
          <w:w w:val="110"/>
          <w:szCs w:val="22"/>
        </w:rPr>
        <w:t>audience</w:t>
      </w:r>
      <w:r w:rsidRPr="00DD7BD1">
        <w:rPr>
          <w:rFonts w:cs="Calibri"/>
          <w:color w:val="auto"/>
          <w:spacing w:val="-6"/>
          <w:w w:val="110"/>
          <w:szCs w:val="22"/>
        </w:rPr>
        <w:t xml:space="preserve"> </w:t>
      </w:r>
      <w:r w:rsidRPr="00DD7BD1">
        <w:rPr>
          <w:rFonts w:cs="Calibri"/>
          <w:color w:val="auto"/>
          <w:w w:val="110"/>
          <w:szCs w:val="22"/>
        </w:rPr>
        <w:t>meetings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discuss</w:t>
      </w:r>
      <w:r w:rsidRPr="00DD7BD1">
        <w:rPr>
          <w:rFonts w:cs="Calibri"/>
          <w:color w:val="auto"/>
          <w:spacing w:val="-2"/>
          <w:w w:val="110"/>
          <w:szCs w:val="22"/>
        </w:rPr>
        <w:t xml:space="preserve"> </w:t>
      </w:r>
      <w:r w:rsidRPr="00DD7BD1">
        <w:rPr>
          <w:rFonts w:cs="Calibri"/>
          <w:b/>
          <w:color w:val="auto"/>
          <w:w w:val="110"/>
          <w:szCs w:val="22"/>
          <w:u w:val="single"/>
        </w:rPr>
        <w:t>unionization</w:t>
      </w:r>
      <w:r w:rsidRPr="00DD7BD1">
        <w:rPr>
          <w:rFonts w:cs="Calibri"/>
          <w:b/>
          <w:color w:val="auto"/>
          <w:spacing w:val="-5"/>
          <w:w w:val="110"/>
          <w:szCs w:val="22"/>
          <w:u w:val="single"/>
        </w:rPr>
        <w:t xml:space="preserve"> </w:t>
      </w:r>
      <w:r w:rsidRPr="00DD7BD1">
        <w:rPr>
          <w:rFonts w:cs="Calibri"/>
          <w:b/>
          <w:color w:val="auto"/>
          <w:w w:val="110"/>
          <w:szCs w:val="22"/>
          <w:u w:val="single"/>
        </w:rPr>
        <w:t>with</w:t>
      </w:r>
      <w:r w:rsidRPr="00DD7BD1">
        <w:rPr>
          <w:rFonts w:cs="Calibri"/>
          <w:b/>
          <w:color w:val="auto"/>
          <w:spacing w:val="-5"/>
          <w:w w:val="110"/>
          <w:szCs w:val="22"/>
          <w:u w:val="single"/>
        </w:rPr>
        <w:t xml:space="preserve"> </w:t>
      </w:r>
      <w:r w:rsidRPr="00DD7BD1">
        <w:rPr>
          <w:rFonts w:cs="Calibri"/>
          <w:b/>
          <w:color w:val="auto"/>
          <w:w w:val="110"/>
          <w:szCs w:val="22"/>
          <w:u w:val="single"/>
        </w:rPr>
        <w:t>employees</w:t>
      </w:r>
      <w:r w:rsidRPr="00DD7BD1">
        <w:rPr>
          <w:rFonts w:cs="Calibri"/>
          <w:color w:val="auto"/>
          <w:w w:val="110"/>
          <w:szCs w:val="22"/>
        </w:rPr>
        <w:t>.</w:t>
      </w:r>
      <w:r w:rsidRPr="00DD7BD1">
        <w:rPr>
          <w:rFonts w:cs="Calibri"/>
          <w:color w:val="auto"/>
          <w:spacing w:val="-7"/>
          <w:w w:val="110"/>
          <w:szCs w:val="22"/>
        </w:rPr>
        <w:t xml:space="preserve"> </w:t>
      </w:r>
      <w:r w:rsidRPr="00DD7BD1">
        <w:rPr>
          <w:rFonts w:cs="Calibri"/>
          <w:color w:val="auto"/>
          <w:w w:val="110"/>
          <w:szCs w:val="22"/>
        </w:rPr>
        <w:t>Additionally,</w:t>
      </w:r>
      <w:r w:rsidRPr="00DD7BD1">
        <w:rPr>
          <w:rFonts w:cs="Calibri"/>
          <w:color w:val="auto"/>
          <w:spacing w:val="-7"/>
          <w:w w:val="110"/>
          <w:szCs w:val="22"/>
        </w:rPr>
        <w:t xml:space="preserve"> </w:t>
      </w:r>
      <w:r w:rsidRPr="00DD7BD1">
        <w:rPr>
          <w:rFonts w:cs="Calibri"/>
          <w:color w:val="auto"/>
          <w:w w:val="110"/>
          <w:szCs w:val="22"/>
        </w:rPr>
        <w:t>once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goes</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effect, employers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post</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notice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4"/>
          <w:w w:val="110"/>
          <w:szCs w:val="22"/>
        </w:rPr>
        <w:t xml:space="preserve"> </w:t>
      </w:r>
      <w:r w:rsidRPr="00DD7BD1">
        <w:rPr>
          <w:rFonts w:cs="Calibri"/>
          <w:color w:val="auto"/>
          <w:w w:val="110"/>
          <w:szCs w:val="22"/>
        </w:rPr>
        <w:t>under</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conspicuous</w:t>
      </w:r>
      <w:r w:rsidRPr="00DD7BD1">
        <w:rPr>
          <w:rFonts w:cs="Calibri"/>
          <w:color w:val="auto"/>
          <w:spacing w:val="-10"/>
          <w:w w:val="110"/>
          <w:szCs w:val="22"/>
        </w:rPr>
        <w:t xml:space="preserve"> </w:t>
      </w:r>
      <w:r w:rsidRPr="00DD7BD1">
        <w:rPr>
          <w:rFonts w:cs="Calibri"/>
          <w:color w:val="auto"/>
          <w:w w:val="110"/>
          <w:szCs w:val="22"/>
        </w:rPr>
        <w:t>locations</w:t>
      </w:r>
      <w:r w:rsidRPr="00DD7BD1">
        <w:rPr>
          <w:rFonts w:cs="Calibri"/>
          <w:color w:val="auto"/>
          <w:spacing w:val="-10"/>
          <w:w w:val="110"/>
          <w:szCs w:val="22"/>
        </w:rPr>
        <w:t xml:space="preserve"> </w:t>
      </w:r>
      <w:r w:rsidRPr="00DD7BD1">
        <w:rPr>
          <w:rFonts w:cs="Calibri"/>
          <w:color w:val="auto"/>
          <w:w w:val="110"/>
          <w:szCs w:val="22"/>
        </w:rPr>
        <w:t>frequented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w w:val="110"/>
          <w:szCs w:val="22"/>
        </w:rPr>
        <w:t>employees.</w:t>
      </w:r>
    </w:p>
    <w:p w14:paraId="528AF116" w14:textId="77777777" w:rsidR="00B22B5D" w:rsidRPr="00DD7BD1" w:rsidRDefault="00B22B5D" w:rsidP="00BD445F">
      <w:pPr>
        <w:spacing w:after="0" w:line="240" w:lineRule="auto"/>
        <w:jc w:val="center"/>
        <w:rPr>
          <w:rFonts w:ascii="Calibri" w:hAnsi="Calibri" w:cs="Calibri"/>
          <w:b/>
          <w:bCs/>
          <w:sz w:val="28"/>
          <w:szCs w:val="28"/>
          <w:shd w:val="clear" w:color="auto" w:fill="FFFFFF"/>
          <w:lang w:val="en"/>
        </w:rPr>
      </w:pPr>
    </w:p>
    <w:p w14:paraId="30832233" w14:textId="2DDB564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Employers’ Use of AI Tools Must Comply With New Jersey’s Law Against Discrimination</w:t>
      </w:r>
    </w:p>
    <w:p w14:paraId="31C3CDCD"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06B0821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In conjunction with this initiative, the New Jersey Office of the Attorney General and the DCR jointly published a </w:t>
      </w:r>
      <w:hyperlink r:id="rId830" w:history="1">
        <w:r w:rsidRPr="00DD7BD1">
          <w:rPr>
            <w:rStyle w:val="Hyperlink"/>
            <w:rFonts w:ascii="Calibri" w:hAnsi="Calibri" w:cs="Calibri"/>
            <w:shd w:val="clear" w:color="auto" w:fill="FFFFFF"/>
          </w:rPr>
          <w:t>Guidance Memorandum</w:t>
        </w:r>
      </w:hyperlink>
      <w:r w:rsidRPr="00DD7BD1">
        <w:rPr>
          <w:rFonts w:ascii="Calibri" w:hAnsi="Calibri" w:cs="Calibri"/>
          <w:shd w:val="clear" w:color="auto" w:fill="FFFFFF"/>
        </w:rPr>
        <w:t> to explain how the New Jersey Law Against Discrimination (“LAD”) applies in the face of an advancing technological landscape.</w:t>
      </w:r>
    </w:p>
    <w:p w14:paraId="3C7BB8D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shd w:val="clear" w:color="auto" w:fill="FFFFFF"/>
        </w:rPr>
        <w:t xml:space="preserve"> 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Pr="00DD7BD1" w:rsidRDefault="00BD445F" w:rsidP="003B29FD">
      <w:pPr>
        <w:spacing w:after="0" w:line="240" w:lineRule="auto"/>
        <w:jc w:val="center"/>
        <w:rPr>
          <w:rFonts w:ascii="Calibri" w:hAnsi="Calibri" w:cs="Calibri"/>
          <w:b/>
          <w:bCs/>
          <w:sz w:val="28"/>
          <w:szCs w:val="28"/>
        </w:rPr>
      </w:pPr>
    </w:p>
    <w:p w14:paraId="4372EB37" w14:textId="530CD4B2"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New Jersey Family and Disability Insurance Leave Rates to Increase -</w:t>
      </w:r>
      <w:r w:rsidRPr="00DD7BD1">
        <w:rPr>
          <w:rFonts w:ascii="Calibri" w:hAnsi="Calibri" w:cs="Calibri"/>
          <w:b/>
          <w:bCs/>
          <w:color w:val="C00000"/>
          <w:sz w:val="28"/>
          <w:szCs w:val="28"/>
        </w:rPr>
        <w:t xml:space="preserve"> 2025</w:t>
      </w:r>
    </w:p>
    <w:p w14:paraId="2AB68728" w14:textId="77777777" w:rsidR="003B29FD" w:rsidRPr="00DD7BD1" w:rsidRDefault="003B29FD" w:rsidP="003B29FD">
      <w:pPr>
        <w:spacing w:after="0" w:line="240" w:lineRule="auto"/>
        <w:rPr>
          <w:rFonts w:ascii="Calibri" w:hAnsi="Calibri" w:cs="Calibri"/>
        </w:rPr>
      </w:pPr>
      <w:r w:rsidRPr="00DD7BD1">
        <w:rPr>
          <w:rFonts w:ascii="Calibri" w:hAnsi="Calibri" w:cs="Calibri"/>
        </w:rPr>
        <w:t>New Jersey has increased its temporary disability insurance (TDI) and family leave insurance (FLI) contribution rates for 2025</w:t>
      </w:r>
    </w:p>
    <w:p w14:paraId="376BCBC5" w14:textId="77777777" w:rsidR="003B29FD" w:rsidRPr="00DD7BD1" w:rsidRDefault="003B29FD">
      <w:pPr>
        <w:pStyle w:val="SubHeader"/>
        <w:numPr>
          <w:ilvl w:val="0"/>
          <w:numId w:val="113"/>
        </w:numPr>
        <w:rPr>
          <w:rFonts w:cs="Calibri"/>
          <w:b w:val="0"/>
          <w:bCs/>
          <w:color w:val="auto"/>
          <w:sz w:val="22"/>
          <w:szCs w:val="22"/>
        </w:rPr>
      </w:pPr>
      <w:r w:rsidRPr="00DD7BD1">
        <w:rPr>
          <w:rFonts w:cs="Calibri"/>
          <w:color w:val="auto"/>
          <w:sz w:val="22"/>
          <w:szCs w:val="22"/>
        </w:rPr>
        <w:t xml:space="preserve">2025 TDI Contribution Rate - </w:t>
      </w:r>
      <w:r w:rsidRPr="00DD7BD1">
        <w:rPr>
          <w:rFonts w:cs="Calibri"/>
          <w:b w:val="0"/>
          <w:bCs/>
          <w:color w:val="auto"/>
          <w:sz w:val="22"/>
          <w:szCs w:val="22"/>
        </w:rPr>
        <w:t>The TDI contribution rate for workers will be 0.23% of employee wages in 2025.</w:t>
      </w:r>
    </w:p>
    <w:p w14:paraId="3D750DEC" w14:textId="77777777" w:rsidR="003B29FD" w:rsidRPr="00DD7BD1" w:rsidRDefault="003B29FD">
      <w:pPr>
        <w:pStyle w:val="SubHeader"/>
        <w:numPr>
          <w:ilvl w:val="0"/>
          <w:numId w:val="113"/>
        </w:numPr>
        <w:rPr>
          <w:rFonts w:cs="Calibri"/>
          <w:color w:val="auto"/>
          <w:sz w:val="22"/>
          <w:szCs w:val="22"/>
        </w:rPr>
      </w:pPr>
      <w:r w:rsidRPr="00DD7BD1">
        <w:rPr>
          <w:rFonts w:cs="Calibri"/>
          <w:color w:val="auto"/>
          <w:sz w:val="22"/>
          <w:szCs w:val="22"/>
        </w:rPr>
        <w:t xml:space="preserve">2025 FLI Contribution Rate - </w:t>
      </w:r>
      <w:r w:rsidRPr="00DD7BD1">
        <w:rPr>
          <w:rFonts w:cs="Calibri"/>
          <w:b w:val="0"/>
          <w:bCs/>
          <w:color w:val="auto"/>
          <w:sz w:val="22"/>
          <w:szCs w:val="22"/>
        </w:rPr>
        <w:t>The FLI employee contribution rate will be 0.33% of wages in 2025.</w:t>
      </w:r>
      <w:r w:rsidRPr="00DD7BD1">
        <w:rPr>
          <w:rFonts w:cs="Calibri"/>
          <w:color w:val="auto"/>
          <w:sz w:val="22"/>
          <w:szCs w:val="22"/>
        </w:rPr>
        <w:t xml:space="preserve"> </w:t>
      </w:r>
    </w:p>
    <w:p w14:paraId="4EA3E9E7" w14:textId="77777777" w:rsidR="003B29FD" w:rsidRPr="00DD7BD1" w:rsidRDefault="003B29FD" w:rsidP="003B29FD">
      <w:pPr>
        <w:spacing w:after="0" w:line="240" w:lineRule="auto"/>
        <w:rPr>
          <w:rFonts w:ascii="Calibri" w:hAnsi="Calibri" w:cs="Calibri"/>
        </w:rPr>
      </w:pPr>
      <w:r w:rsidRPr="00DD7BD1">
        <w:rPr>
          <w:rFonts w:ascii="Calibri" w:hAnsi="Calibri" w:cs="Calibri"/>
        </w:rPr>
        <w:t>The “Notice of Employer Contribution Rates” for fiscal year 2024-25 is now available for download via </w:t>
      </w:r>
      <w:hyperlink r:id="rId831" w:history="1">
        <w:r w:rsidRPr="00DD7BD1">
          <w:rPr>
            <w:rStyle w:val="Hyperlink"/>
            <w:rFonts w:ascii="Calibri" w:hAnsi="Calibri" w:cs="Calibri"/>
          </w:rPr>
          <w:t>Employer Access</w:t>
        </w:r>
      </w:hyperlink>
      <w:r w:rsidRPr="00DD7BD1">
        <w:rPr>
          <w:rFonts w:ascii="Calibri" w:hAnsi="Calibri" w:cs="Calibri"/>
        </w:rPr>
        <w:t>.</w:t>
      </w:r>
    </w:p>
    <w:p w14:paraId="01513497" w14:textId="77777777" w:rsidR="003B29FD" w:rsidRPr="00DD7BD1" w:rsidRDefault="003B29FD" w:rsidP="003B29FD">
      <w:pPr>
        <w:spacing w:after="0" w:line="240" w:lineRule="auto"/>
        <w:rPr>
          <w:rFonts w:ascii="Calibri" w:hAnsi="Calibri" w:cs="Calibri"/>
          <w:sz w:val="20"/>
          <w:szCs w:val="20"/>
        </w:rPr>
      </w:pPr>
    </w:p>
    <w:p w14:paraId="235B2706" w14:textId="7D7BFA13" w:rsidR="003B29FD" w:rsidRPr="00DD7BD1" w:rsidRDefault="003B29FD" w:rsidP="003B29FD">
      <w:pPr>
        <w:spacing w:after="0" w:line="240" w:lineRule="auto"/>
        <w:jc w:val="center"/>
        <w:rPr>
          <w:rFonts w:ascii="Calibri" w:hAnsi="Calibri" w:cs="Calibri"/>
          <w:b/>
          <w:bCs/>
          <w:color w:val="C00000"/>
          <w:sz w:val="28"/>
          <w:szCs w:val="28"/>
        </w:rPr>
      </w:pPr>
      <w:r w:rsidRPr="00DD7BD1">
        <w:rPr>
          <w:rFonts w:ascii="Calibri" w:hAnsi="Calibri" w:cs="Calibri"/>
          <w:b/>
          <w:bCs/>
          <w:sz w:val="28"/>
          <w:szCs w:val="28"/>
        </w:rPr>
        <w:t>Expanded Pay Transparency Regulations –</w:t>
      </w:r>
      <w:r w:rsidRPr="00DD7BD1">
        <w:rPr>
          <w:rFonts w:ascii="Calibri" w:hAnsi="Calibri" w:cs="Calibri"/>
        </w:rPr>
        <w:t xml:space="preserve"> </w:t>
      </w:r>
      <w:r w:rsidRPr="00DD7BD1">
        <w:rPr>
          <w:rFonts w:ascii="Calibri" w:hAnsi="Calibri" w:cs="Calibri"/>
          <w:b/>
          <w:bCs/>
          <w:color w:val="C00000"/>
          <w:sz w:val="28"/>
          <w:szCs w:val="28"/>
        </w:rPr>
        <w:t>Ju</w:t>
      </w:r>
      <w:r w:rsidR="00080317" w:rsidRPr="00DD7BD1">
        <w:rPr>
          <w:rFonts w:ascii="Calibri" w:hAnsi="Calibri" w:cs="Calibri"/>
          <w:b/>
          <w:bCs/>
          <w:color w:val="C00000"/>
          <w:sz w:val="28"/>
          <w:szCs w:val="28"/>
        </w:rPr>
        <w:t>ne 1</w:t>
      </w:r>
      <w:r w:rsidR="006A0C8C" w:rsidRPr="00DD7BD1">
        <w:rPr>
          <w:rFonts w:ascii="Calibri" w:hAnsi="Calibri" w:cs="Calibri"/>
          <w:b/>
          <w:bCs/>
          <w:color w:val="C00000"/>
          <w:sz w:val="28"/>
          <w:szCs w:val="28"/>
        </w:rPr>
        <w:t>, 2025</w:t>
      </w:r>
    </w:p>
    <w:p w14:paraId="7AF4E46C" w14:textId="77777777" w:rsidR="003B29FD" w:rsidRPr="00DD7BD1" w:rsidRDefault="003B29FD" w:rsidP="003B29FD">
      <w:pPr>
        <w:spacing w:after="0" w:line="240" w:lineRule="auto"/>
        <w:rPr>
          <w:rFonts w:ascii="Calibri" w:hAnsi="Calibri" w:cs="Calibri"/>
        </w:rPr>
      </w:pPr>
      <w:r w:rsidRPr="00DD7BD1">
        <w:rPr>
          <w:rFonts w:ascii="Calibri" w:hAnsi="Calibri" w:cs="Calibri"/>
        </w:rPr>
        <w:t>A bill signed into effect by Governor Murphy this month (</w:t>
      </w:r>
      <w:hyperlink r:id="rId832" w:history="1">
        <w:r w:rsidRPr="00DD7BD1">
          <w:rPr>
            <w:rStyle w:val="Hyperlink"/>
            <w:rFonts w:ascii="Calibri" w:hAnsi="Calibri" w:cs="Calibri"/>
          </w:rPr>
          <w:t>Senate Bill 2310</w:t>
        </w:r>
      </w:hyperlink>
      <w:r w:rsidRPr="00DD7BD1">
        <w:rPr>
          <w:rFonts w:ascii="Calibri" w:hAnsi="Calibri" w:cs="Calibri"/>
        </w:rPr>
        <w:t>) will only add to employers’ obligations. Starting June 1, 2025, the new law will require you to disclose certain compensation and benefits information in job listings </w:t>
      </w:r>
      <w:r w:rsidRPr="00DD7BD1">
        <w:rPr>
          <w:rFonts w:ascii="Calibri" w:hAnsi="Calibri" w:cs="Calibri"/>
          <w:u w:val="single"/>
        </w:rPr>
        <w:t>and</w:t>
      </w:r>
      <w:r w:rsidRPr="00DD7BD1">
        <w:rPr>
          <w:rFonts w:ascii="Calibri" w:hAnsi="Calibri" w:cs="Calibri"/>
        </w:rPr>
        <w:t> for promotional opportunities.</w:t>
      </w:r>
    </w:p>
    <w:p w14:paraId="1FEC075F" w14:textId="77777777" w:rsidR="003B29FD" w:rsidRPr="00DD7BD1" w:rsidRDefault="003B29FD" w:rsidP="003B29FD">
      <w:pPr>
        <w:spacing w:after="0" w:line="240" w:lineRule="auto"/>
        <w:rPr>
          <w:rFonts w:ascii="Calibri" w:hAnsi="Calibri" w:cs="Calibri"/>
        </w:rPr>
      </w:pPr>
    </w:p>
    <w:p w14:paraId="3CE39A9C"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Currently, </w:t>
      </w:r>
      <w:r w:rsidRPr="00DD7BD1">
        <w:rPr>
          <w:rFonts w:ascii="Calibri" w:hAnsi="Calibri" w:cs="Calibri"/>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New Legislation </w:t>
      </w:r>
      <w:r w:rsidRPr="00DD7BD1">
        <w:rPr>
          <w:rFonts w:ascii="Calibri" w:hAnsi="Calibri" w:cs="Calibri"/>
        </w:rPr>
        <w:t>will require pay transparency for both promotional opportunities </w:t>
      </w:r>
      <w:r w:rsidRPr="00DD7BD1">
        <w:rPr>
          <w:rFonts w:ascii="Calibri" w:hAnsi="Calibri" w:cs="Calibri"/>
          <w:u w:val="single"/>
        </w:rPr>
        <w:t>and</w:t>
      </w:r>
      <w:r w:rsidRPr="00DD7BD1">
        <w:rPr>
          <w:rFonts w:ascii="Calibri" w:hAnsi="Calibri" w:cs="Calibri"/>
        </w:rPr>
        <w:t> employment listings. The requirements will apply to New Jersey employers with 10 or more employees over 20 calendar weeks that do business, employ workers, or take applications for employment in the state.   Employers will need to disclose the hourly wage or salary (or range) and a general description of benefits and other compensation programs for which the employee would be eligible. This information is to be in each posting for a new job, as well as transfer opportunities that are advertised externally or internally. </w:t>
      </w:r>
    </w:p>
    <w:p w14:paraId="6A9612F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Job Postings</w:t>
      </w:r>
      <w:r w:rsidRPr="00DD7BD1">
        <w:rPr>
          <w:rFonts w:ascii="Calibri" w:hAnsi="Calibri" w:cs="Calibri"/>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Promotion Opportunities</w:t>
      </w:r>
      <w:r w:rsidRPr="00DD7BD1">
        <w:rPr>
          <w:rFonts w:ascii="Calibri" w:hAnsi="Calibri" w:cs="Calibri"/>
          <w:sz w:val="22"/>
          <w:szCs w:val="22"/>
        </w:rPr>
        <w:br/>
        <w:t>Before making promotion decisions, employers need to make reasonable efforts to notify employees in the affected departments about promotion opportunities that have been advertised, either internally or externally. A </w:t>
      </w:r>
      <w:r w:rsidRPr="00DD7BD1">
        <w:rPr>
          <w:rStyle w:val="Strong"/>
          <w:rFonts w:ascii="Calibri" w:hAnsi="Calibri" w:cs="Calibri"/>
          <w:i/>
          <w:iCs/>
          <w:sz w:val="22"/>
          <w:szCs w:val="22"/>
        </w:rPr>
        <w:t>promotion </w:t>
      </w:r>
      <w:r w:rsidRPr="00DD7BD1">
        <w:rPr>
          <w:rFonts w:ascii="Calibri" w:hAnsi="Calibri" w:cs="Calibri"/>
          <w:sz w:val="22"/>
          <w:szCs w:val="22"/>
        </w:rPr>
        <w:t>is defined as a change in job title </w:t>
      </w:r>
      <w:r w:rsidRPr="00DD7BD1">
        <w:rPr>
          <w:rFonts w:ascii="Calibri" w:hAnsi="Calibri" w:cs="Calibri"/>
          <w:i/>
          <w:iCs/>
          <w:sz w:val="22"/>
          <w:szCs w:val="22"/>
        </w:rPr>
        <w:t>and </w:t>
      </w:r>
      <w:r w:rsidRPr="00DD7BD1">
        <w:rPr>
          <w:rFonts w:ascii="Calibri" w:hAnsi="Calibri" w:cs="Calibri"/>
          <w:sz w:val="22"/>
          <w:szCs w:val="22"/>
        </w:rPr>
        <w:t>an increase in compensation.</w:t>
      </w:r>
    </w:p>
    <w:p w14:paraId="58104604" w14:textId="4318AB99" w:rsidR="00F45F26" w:rsidRPr="00DD7BD1" w:rsidRDefault="002756C0" w:rsidP="00F45F26">
      <w:pPr>
        <w:pStyle w:val="NormalWeb"/>
        <w:shd w:val="clear" w:color="auto" w:fill="FFFFFF"/>
        <w:ind w:left="360"/>
        <w:rPr>
          <w:rFonts w:ascii="Calibri" w:hAnsi="Calibri" w:cs="Calibri"/>
          <w:sz w:val="22"/>
          <w:szCs w:val="22"/>
        </w:rPr>
      </w:pPr>
      <w:r w:rsidRPr="00DD7BD1">
        <w:rPr>
          <w:rFonts w:ascii="Calibri" w:hAnsi="Calibri" w:cs="Calibri"/>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724EE767" w14:textId="1D6724BA" w:rsidR="00F45F26" w:rsidRPr="00DD7BD1" w:rsidRDefault="00F45F26" w:rsidP="00D81793">
      <w:pPr>
        <w:spacing w:line="278" w:lineRule="auto"/>
        <w:rPr>
          <w:rFonts w:ascii="Calibri" w:hAnsi="Calibri" w:cs="Calibri"/>
        </w:rPr>
      </w:pPr>
      <w:r w:rsidRPr="00DD7BD1">
        <w:rPr>
          <w:rFonts w:ascii="Calibri" w:hAnsi="Calibri" w:cs="Calibri"/>
          <w:b/>
          <w:bCs/>
        </w:rPr>
        <w:t>The New Jersey Department of Labor (NJ DOL) has now provided interpretative guidance on the new law in an</w:t>
      </w:r>
      <w:r w:rsidRPr="00DD7BD1">
        <w:rPr>
          <w:rFonts w:ascii="Calibri" w:hAnsi="Calibri" w:cs="Calibri"/>
        </w:rPr>
        <w:t> </w:t>
      </w:r>
      <w:hyperlink r:id="rId833" w:tgtFrame="_blank" w:history="1">
        <w:r w:rsidRPr="00DD7BD1">
          <w:rPr>
            <w:rStyle w:val="Hyperlink"/>
            <w:rFonts w:ascii="Calibri" w:hAnsi="Calibri" w:cs="Calibri"/>
          </w:rPr>
          <w:t>FAQ</w:t>
        </w:r>
      </w:hyperlink>
      <w:r w:rsidRPr="00DD7BD1">
        <w:rPr>
          <w:rFonts w:ascii="Calibri" w:hAnsi="Calibri" w:cs="Calibri"/>
        </w:rPr>
        <w:t>.</w:t>
      </w:r>
    </w:p>
    <w:p w14:paraId="7DB86724" w14:textId="0DB5E866" w:rsidR="00A33FCC" w:rsidRPr="00DD7BD1" w:rsidRDefault="00A33FCC" w:rsidP="00A33FC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Upcoming Deadlines for RetireReady NJ - </w:t>
      </w:r>
      <w:r w:rsidRPr="00DD7BD1">
        <w:rPr>
          <w:rFonts w:ascii="Calibri" w:hAnsi="Calibri" w:cs="Calibri"/>
          <w:b/>
          <w:bCs/>
          <w:color w:val="C00000"/>
          <w:sz w:val="28"/>
          <w:szCs w:val="28"/>
          <w:shd w:val="clear" w:color="auto" w:fill="FFFFFF"/>
          <w:lang w:val="en"/>
        </w:rPr>
        <w:t>Sept &amp; Nov 2024</w:t>
      </w:r>
    </w:p>
    <w:p w14:paraId="2659C2CC" w14:textId="77777777" w:rsidR="00A33FCC" w:rsidRPr="00DD7BD1" w:rsidRDefault="00A33FCC" w:rsidP="00A33FCC">
      <w:pPr>
        <w:pStyle w:val="BodyText"/>
        <w:spacing w:after="0" w:line="240" w:lineRule="auto"/>
        <w:rPr>
          <w:rFonts w:cs="Calibri"/>
          <w:b/>
          <w:bCs/>
          <w:szCs w:val="22"/>
        </w:rPr>
      </w:pPr>
      <w:r w:rsidRPr="00DD7BD1">
        <w:rPr>
          <w:rFonts w:cs="Calibri"/>
          <w:color w:val="auto"/>
          <w:szCs w:val="22"/>
        </w:rPr>
        <w:t xml:space="preserve">Employers that are required to participate in New Jersey’s state-facilitated individual retirement account (IRA) savings program—known as </w:t>
      </w:r>
      <w:hyperlink r:id="rId834" w:history="1">
        <w:r w:rsidRPr="00DD7BD1">
          <w:rPr>
            <w:rStyle w:val="Hyperlink"/>
            <w:rFonts w:cs="Calibri"/>
            <w:szCs w:val="22"/>
          </w:rPr>
          <w:t>RetireReady NJ</w:t>
        </w:r>
      </w:hyperlink>
      <w:r w:rsidRPr="00DD7BD1">
        <w:rPr>
          <w:rFonts w:cs="Calibri"/>
          <w:szCs w:val="22"/>
        </w:rPr>
        <w:t>—</w:t>
      </w:r>
      <w:r w:rsidRPr="00DD7BD1">
        <w:rPr>
          <w:rFonts w:cs="Calibri"/>
          <w:b/>
          <w:bCs/>
          <w:color w:val="auto"/>
          <w:szCs w:val="22"/>
        </w:rPr>
        <w:t>must register or certify an exemption this Fall.</w:t>
      </w:r>
      <w:r w:rsidRPr="00DD7BD1">
        <w:rPr>
          <w:rFonts w:cs="Calibri"/>
          <w:color w:val="auto"/>
          <w:szCs w:val="22"/>
        </w:rPr>
        <w:t xml:space="preserve">  To learn more access the September HR WIRE.</w:t>
      </w:r>
    </w:p>
    <w:p w14:paraId="5C92C32E"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Sept. 15, 2024 - Employers with 40 or more employees must register by this date.</w:t>
      </w:r>
    </w:p>
    <w:p w14:paraId="0556A8F6"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Nov. 15, 2024 - Employers with 25-39 employees must register by this date.</w:t>
      </w:r>
    </w:p>
    <w:p w14:paraId="7BC2DD80" w14:textId="77777777" w:rsidR="00A33FCC" w:rsidRPr="00DD7BD1" w:rsidRDefault="00A33FCC" w:rsidP="00472E17">
      <w:pPr>
        <w:spacing w:after="0" w:line="240" w:lineRule="auto"/>
        <w:jc w:val="both"/>
        <w:rPr>
          <w:rFonts w:ascii="Calibri" w:hAnsi="Calibri" w:cs="Calibri"/>
          <w:b/>
          <w:bCs/>
          <w:color w:val="2E74B5" w:themeColor="accent5" w:themeShade="BF"/>
          <w:shd w:val="clear" w:color="auto" w:fill="FFFFFF"/>
          <w:lang w:val="en"/>
        </w:rPr>
      </w:pPr>
    </w:p>
    <w:p w14:paraId="255B1C1C" w14:textId="77777777"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State’s Secure Choice Retirement Savings Program Operational on </w:t>
      </w:r>
      <w:r w:rsidRPr="00DD7BD1">
        <w:rPr>
          <w:rFonts w:ascii="Calibri" w:hAnsi="Calibri" w:cs="Calibri"/>
          <w:b/>
          <w:bCs/>
          <w:color w:val="C00000"/>
          <w:sz w:val="28"/>
          <w:szCs w:val="28"/>
          <w:shd w:val="clear" w:color="auto" w:fill="FFFFFF"/>
          <w:lang w:val="en"/>
        </w:rPr>
        <w:t>June 30, 2024</w:t>
      </w:r>
    </w:p>
    <w:p w14:paraId="33522907"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September 15, 2024</w:t>
      </w:r>
      <w:r w:rsidRPr="00DD7BD1">
        <w:rPr>
          <w:rFonts w:ascii="Calibri" w:hAnsi="Calibri" w:cs="Calibri"/>
          <w:shd w:val="clear" w:color="auto" w:fill="FFFFFF"/>
        </w:rPr>
        <w:t>, for covered employers with 40 or more employees; and</w:t>
      </w:r>
    </w:p>
    <w:p w14:paraId="06F7041A"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November 15, 2024</w:t>
      </w:r>
      <w:r w:rsidRPr="00DD7BD1">
        <w:rPr>
          <w:rFonts w:ascii="Calibri" w:hAnsi="Calibri" w:cs="Calibri"/>
          <w:shd w:val="clear" w:color="auto" w:fill="FFFFFF"/>
        </w:rPr>
        <w:t>, for covered employers with 25 to 39 employees.</w:t>
      </w:r>
    </w:p>
    <w:p w14:paraId="4D65032E"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Details can be found on the </w:t>
      </w:r>
      <w:hyperlink r:id="rId835" w:history="1">
        <w:r w:rsidRPr="00DD7BD1">
          <w:rPr>
            <w:rStyle w:val="Hyperlink"/>
            <w:rFonts w:ascii="Calibri" w:hAnsi="Calibri" w:cs="Calibri"/>
            <w:shd w:val="clear" w:color="auto" w:fill="FFFFFF"/>
          </w:rPr>
          <w:t>New Jersey Secure Choice Retirement Savings Program</w:t>
        </w:r>
      </w:hyperlink>
      <w:r w:rsidRPr="00DD7BD1">
        <w:rPr>
          <w:rFonts w:ascii="Calibri" w:hAnsi="Calibri" w:cs="Calibri"/>
          <w:shd w:val="clear" w:color="auto" w:fill="FFFFFF"/>
        </w:rPr>
        <w:t> page.</w:t>
      </w:r>
    </w:p>
    <w:p w14:paraId="09D75817" w14:textId="77777777" w:rsidR="001C5F42" w:rsidRPr="00DD7BD1" w:rsidRDefault="001C5F42" w:rsidP="00472E17">
      <w:pPr>
        <w:spacing w:after="0" w:line="240" w:lineRule="auto"/>
        <w:jc w:val="center"/>
        <w:rPr>
          <w:rStyle w:val="Strong"/>
          <w:rFonts w:ascii="Calibri" w:eastAsia="Times New Roman" w:hAnsi="Calibri" w:cs="Calibri"/>
        </w:rPr>
      </w:pPr>
    </w:p>
    <w:p w14:paraId="2D109F9C" w14:textId="093D2594" w:rsidR="00472E17" w:rsidRPr="00DD7BD1" w:rsidRDefault="00472E17" w:rsidP="00472E17">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State Issues FAQs on Family Leave Act</w:t>
      </w:r>
    </w:p>
    <w:p w14:paraId="71C801EE" w14:textId="77777777" w:rsidR="00472E17" w:rsidRPr="00DD7BD1" w:rsidRDefault="00472E17" w:rsidP="00472E17">
      <w:pPr>
        <w:pStyle w:val="BodyText"/>
        <w:spacing w:after="0" w:line="240" w:lineRule="auto"/>
        <w:rPr>
          <w:rFonts w:cs="Calibri"/>
          <w:color w:val="auto"/>
          <w:szCs w:val="22"/>
        </w:rPr>
      </w:pPr>
      <w:r w:rsidRPr="00DD7BD1">
        <w:rPr>
          <w:rFonts w:cs="Calibri"/>
          <w:color w:val="auto"/>
          <w:szCs w:val="22"/>
        </w:rPr>
        <w:t xml:space="preserve">Enacted in 1989, the NJFLA applies to private employers with 30 or more employees worldwide and to state and local government agencies. </w:t>
      </w:r>
    </w:p>
    <w:p w14:paraId="0AFA6BB3" w14:textId="2A6448CC" w:rsidR="00472E17" w:rsidRPr="00DD7BD1" w:rsidRDefault="00472E17" w:rsidP="00472E17">
      <w:pPr>
        <w:pStyle w:val="BodyText"/>
        <w:spacing w:after="0" w:line="240" w:lineRule="auto"/>
        <w:rPr>
          <w:rFonts w:cs="Calibri"/>
          <w:color w:val="auto"/>
          <w:szCs w:val="22"/>
        </w:rPr>
      </w:pPr>
      <w:r w:rsidRPr="00DD7BD1">
        <w:rPr>
          <w:rFonts w:cs="Calibri"/>
          <w:color w:val="auto"/>
          <w:szCs w:val="22"/>
        </w:rPr>
        <w:t>The New Jersey Division on Civil Rights has published</w:t>
      </w:r>
      <w:r w:rsidRPr="00DD7BD1">
        <w:rPr>
          <w:rFonts w:cs="Calibri"/>
        </w:rPr>
        <w:t xml:space="preserve"> </w:t>
      </w:r>
      <w:hyperlink r:id="rId836" w:history="1">
        <w:r w:rsidRPr="00DD7BD1">
          <w:rPr>
            <w:rStyle w:val="Hyperlink"/>
            <w:rFonts w:cs="Calibri"/>
          </w:rPr>
          <w:t>answers to frequently asked questions</w:t>
        </w:r>
      </w:hyperlink>
      <w:r w:rsidRPr="00DD7BD1">
        <w:rPr>
          <w:rFonts w:cs="Calibri"/>
        </w:rPr>
        <w:t xml:space="preserve"> </w:t>
      </w:r>
      <w:r w:rsidRPr="00DD7BD1">
        <w:rPr>
          <w:rFonts w:cs="Calibri"/>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DD7BD1" w:rsidRDefault="00472E17" w:rsidP="00472E17">
      <w:pPr>
        <w:pStyle w:val="BodyText"/>
        <w:spacing w:after="0" w:line="240" w:lineRule="auto"/>
        <w:rPr>
          <w:rFonts w:cs="Calibri"/>
          <w:color w:val="auto"/>
          <w:sz w:val="16"/>
          <w:szCs w:val="16"/>
        </w:rPr>
      </w:pPr>
    </w:p>
    <w:p w14:paraId="1635E8A5" w14:textId="4F56F847" w:rsidR="00D81793" w:rsidRPr="00DD7BD1" w:rsidRDefault="00D81793"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Mexico</w:t>
      </w:r>
    </w:p>
    <w:p w14:paraId="63DEAA8D" w14:textId="77777777" w:rsidR="00D04D54" w:rsidRPr="00DD7BD1" w:rsidRDefault="00D04D54" w:rsidP="00D04D54">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Santa Fe and Santa Fe County Minimum Wage Increases – </w:t>
      </w:r>
      <w:r w:rsidRPr="00DD7BD1">
        <w:rPr>
          <w:rFonts w:ascii="Calibri" w:hAnsi="Calibri" w:cs="Calibri"/>
          <w:b/>
          <w:bCs/>
          <w:color w:val="C00000"/>
          <w:sz w:val="28"/>
          <w:szCs w:val="28"/>
          <w:shd w:val="clear" w:color="auto" w:fill="FFFFFF"/>
          <w:lang w:val="en"/>
        </w:rPr>
        <w:t>Eff Mar 1, 2026</w:t>
      </w:r>
    </w:p>
    <w:p w14:paraId="7041D676" w14:textId="77777777" w:rsidR="00D04D54" w:rsidRPr="00DD7BD1" w:rsidRDefault="00D04D54" w:rsidP="00D04D54">
      <w:pPr>
        <w:spacing w:after="0" w:line="240" w:lineRule="auto"/>
        <w:ind w:left="90"/>
        <w:rPr>
          <w:rFonts w:ascii="Calibri" w:hAnsi="Calibri" w:cs="Calibri"/>
          <w:shd w:val="clear" w:color="auto" w:fill="FFFFFF"/>
          <w:lang w:val="en"/>
        </w:rPr>
      </w:pPr>
      <w:r w:rsidRPr="00DD7BD1">
        <w:rPr>
          <w:rFonts w:ascii="Calibri" w:hAnsi="Calibri" w:cs="Calibri"/>
          <w:shd w:val="clear" w:color="auto" w:fill="FFFFFF"/>
        </w:rPr>
        <w:t>The minimum wage for employees in the city of Santa Fe and unincorporated Santa Fe County will increase to $15.40 per hour. The base wage for tipped employees in Santa Fe County will increase to $4.62 per hour while the city of Santa Fe will continue to match the state rate of $3.00 per hour.</w:t>
      </w:r>
    </w:p>
    <w:p w14:paraId="7ABE3570" w14:textId="77777777" w:rsidR="00D81793" w:rsidRPr="00DD7BD1" w:rsidRDefault="00D81793" w:rsidP="00676358">
      <w:pPr>
        <w:spacing w:after="0" w:line="240" w:lineRule="auto"/>
        <w:jc w:val="both"/>
        <w:rPr>
          <w:rFonts w:ascii="Calibri" w:hAnsi="Calibri" w:cs="Calibri"/>
          <w:b/>
          <w:bCs/>
          <w:color w:val="2E74B5" w:themeColor="accent5" w:themeShade="BF"/>
          <w:shd w:val="clear" w:color="auto" w:fill="FFFFFF"/>
          <w:lang w:val="en"/>
        </w:rPr>
      </w:pPr>
    </w:p>
    <w:p w14:paraId="064BF6E7" w14:textId="18F8A746" w:rsidR="00AD4A8E" w:rsidRPr="00DD7BD1" w:rsidRDefault="00472E17"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York</w:t>
      </w:r>
    </w:p>
    <w:p w14:paraId="759DA804" w14:textId="77777777" w:rsidR="00305AA2" w:rsidRDefault="00305AA2" w:rsidP="00305AA2">
      <w:pPr>
        <w:jc w:val="center"/>
        <w:rPr>
          <w:b/>
          <w:bCs/>
          <w:caps/>
          <w:color w:val="0070C0"/>
          <w:sz w:val="26"/>
          <w:szCs w:val="26"/>
        </w:rPr>
      </w:pPr>
      <w:r>
        <w:rPr>
          <w:b/>
          <w:bCs/>
          <w:caps/>
          <w:color w:val="0070C0"/>
          <w:sz w:val="26"/>
          <w:szCs w:val="26"/>
        </w:rPr>
        <w:t xml:space="preserve">New! </w:t>
      </w:r>
      <w:r w:rsidRPr="00AB4A48">
        <w:rPr>
          <w:b/>
          <w:bCs/>
          <w:caps/>
          <w:noProof/>
          <w:color w:val="0E425C"/>
          <w:sz w:val="26"/>
          <w:szCs w:val="26"/>
        </w:rPr>
        <w:t xml:space="preserve">State’s Trapped at Work Effective Date in Question- effective </w:t>
      </w:r>
      <w:r>
        <w:rPr>
          <w:b/>
          <w:bCs/>
          <w:caps/>
          <w:color w:val="0070C0"/>
          <w:sz w:val="26"/>
          <w:szCs w:val="26"/>
        </w:rPr>
        <w:t xml:space="preserve">December 19, 2026 </w:t>
      </w:r>
      <w:r w:rsidRPr="00AB4A48">
        <w:rPr>
          <w:b/>
          <w:bCs/>
          <w:caps/>
          <w:noProof/>
          <w:color w:val="0E425C"/>
          <w:sz w:val="26"/>
          <w:szCs w:val="26"/>
        </w:rPr>
        <w:t xml:space="preserve">or </w:t>
      </w:r>
      <w:r>
        <w:rPr>
          <w:b/>
          <w:bCs/>
          <w:caps/>
          <w:color w:val="0070C0"/>
          <w:sz w:val="26"/>
          <w:szCs w:val="26"/>
        </w:rPr>
        <w:t>February 13, 2027</w:t>
      </w:r>
      <w:r w:rsidRPr="00AB4A48">
        <w:rPr>
          <w:b/>
          <w:bCs/>
          <w:caps/>
          <w:noProof/>
          <w:color w:val="0E425C"/>
          <w:sz w:val="26"/>
          <w:szCs w:val="26"/>
        </w:rPr>
        <w:t>?</w:t>
      </w:r>
    </w:p>
    <w:p w14:paraId="3C4385B5" w14:textId="77777777" w:rsidR="00305AA2" w:rsidRDefault="00305AA2" w:rsidP="00305AA2">
      <w:pPr>
        <w:rPr>
          <w:b/>
          <w:bCs/>
          <w:shd w:val="clear" w:color="auto" w:fill="FFFFFF"/>
        </w:rPr>
      </w:pPr>
      <w:r w:rsidRPr="00594D8A">
        <w:rPr>
          <w:shd w:val="clear" w:color="auto" w:fill="FFFFFF"/>
        </w:rPr>
        <w:t xml:space="preserve">The amendments </w:t>
      </w:r>
      <w:r>
        <w:rPr>
          <w:shd w:val="clear" w:color="auto" w:fill="FFFFFF"/>
        </w:rPr>
        <w:t xml:space="preserve">signed February 2026 </w:t>
      </w:r>
      <w:r w:rsidRPr="00594D8A">
        <w:rPr>
          <w:shd w:val="clear" w:color="auto" w:fill="FFFFFF"/>
        </w:rPr>
        <w:t>adjust</w:t>
      </w:r>
      <w:r>
        <w:rPr>
          <w:shd w:val="clear" w:color="auto" w:fill="FFFFFF"/>
        </w:rPr>
        <w:t>ed</w:t>
      </w:r>
      <w:r w:rsidRPr="00594D8A">
        <w:rPr>
          <w:shd w:val="clear" w:color="auto" w:fill="FFFFFF"/>
        </w:rPr>
        <w:t xml:space="preserve"> the effective date of the Trapped at Work Act, which had </w:t>
      </w:r>
      <w:r>
        <w:rPr>
          <w:shd w:val="clear" w:color="auto" w:fill="FFFFFF"/>
        </w:rPr>
        <w:t xml:space="preserve">originally </w:t>
      </w:r>
      <w:r w:rsidRPr="00594D8A">
        <w:rPr>
          <w:shd w:val="clear" w:color="auto" w:fill="FFFFFF"/>
        </w:rPr>
        <w:t>taken effect “immediately” upon its signing into law on December 19, 2025. The amendments replace “immediately” in the act with “one year after it shall have become law,” thereby apparently fixing the effective date to December 19, 2026. </w:t>
      </w:r>
    </w:p>
    <w:p w14:paraId="0BC09195" w14:textId="4891F4E1" w:rsidR="00305AA2" w:rsidRPr="00305AA2" w:rsidRDefault="00305AA2" w:rsidP="00305AA2">
      <w:pPr>
        <w:rPr>
          <w:b/>
          <w:bCs/>
          <w:shd w:val="clear" w:color="auto" w:fill="FFFFFF"/>
          <w:lang w:val="en"/>
        </w:rPr>
      </w:pPr>
      <w:r>
        <w:rPr>
          <w:b/>
          <w:bCs/>
          <w:shd w:val="clear" w:color="auto" w:fill="FFFFFF"/>
        </w:rPr>
        <w:t>T</w:t>
      </w:r>
      <w:r w:rsidRPr="002255C6">
        <w:rPr>
          <w:b/>
          <w:bCs/>
          <w:shd w:val="clear" w:color="auto" w:fill="FFFFFF"/>
        </w:rPr>
        <w:t>here is a question as to whether the amendments are intended to delay the effective date to one year after they were signed, which would set the effective date to February 13, 2027.</w:t>
      </w:r>
      <w:r>
        <w:rPr>
          <w:b/>
          <w:bCs/>
          <w:shd w:val="clear" w:color="auto" w:fill="FFFFFF"/>
        </w:rPr>
        <w:t xml:space="preserve"> ETC has reported both effective dates and will continue to monitor the situation for clarity.</w:t>
      </w:r>
    </w:p>
    <w:p w14:paraId="0BD4D454" w14:textId="2B0F79CE" w:rsidR="00B15363" w:rsidRDefault="00B15363" w:rsidP="00B15363">
      <w:pPr>
        <w:jc w:val="center"/>
        <w:rPr>
          <w:rFonts w:ascii="Roboto" w:hAnsi="Roboto"/>
          <w:b/>
          <w:bCs/>
          <w:color w:val="C00000"/>
          <w:shd w:val="clear" w:color="auto" w:fill="FFFFFF"/>
          <w:lang w:val="en"/>
        </w:rPr>
      </w:pPr>
      <w:r>
        <w:rPr>
          <w:b/>
          <w:bCs/>
          <w:caps/>
          <w:color w:val="0070C0"/>
          <w:sz w:val="26"/>
          <w:szCs w:val="26"/>
        </w:rPr>
        <w:t xml:space="preserve">Reminder: </w:t>
      </w:r>
      <w:r w:rsidRPr="00ED13E0">
        <w:rPr>
          <w:b/>
          <w:bCs/>
          <w:caps/>
          <w:noProof/>
          <w:color w:val="0E425C"/>
          <w:sz w:val="26"/>
          <w:szCs w:val="26"/>
        </w:rPr>
        <w:t>State Mandatory Retirement Savings Program Eff</w:t>
      </w:r>
      <w:r>
        <w:rPr>
          <w:b/>
          <w:bCs/>
          <w:caps/>
          <w:noProof/>
          <w:color w:val="0E425C"/>
          <w:sz w:val="26"/>
          <w:szCs w:val="26"/>
        </w:rPr>
        <w:t>ECTIVE</w:t>
      </w:r>
      <w:r w:rsidRPr="00ED13E0">
        <w:rPr>
          <w:b/>
          <w:bCs/>
          <w:caps/>
          <w:noProof/>
          <w:color w:val="0E425C"/>
          <w:sz w:val="26"/>
          <w:szCs w:val="26"/>
        </w:rPr>
        <w:t xml:space="preserve"> </w:t>
      </w:r>
      <w:r w:rsidRPr="00ED13E0">
        <w:rPr>
          <w:b/>
          <w:bCs/>
          <w:caps/>
          <w:color w:val="0070C0"/>
          <w:sz w:val="26"/>
          <w:szCs w:val="26"/>
        </w:rPr>
        <w:t>March 16, 2026</w:t>
      </w:r>
    </w:p>
    <w:p w14:paraId="7EE25A93" w14:textId="77777777" w:rsidR="00B15363" w:rsidRPr="00A2630C" w:rsidRDefault="00B15363" w:rsidP="00B15363">
      <w:pPr>
        <w:rPr>
          <w:shd w:val="clear" w:color="auto" w:fill="FFFFFF"/>
        </w:rPr>
      </w:pPr>
      <w:r w:rsidRPr="00A2630C">
        <w:rPr>
          <w:shd w:val="clear" w:color="auto" w:fill="FFFFFF"/>
          <w:lang w:val="en"/>
        </w:rPr>
        <w:t>Though</w:t>
      </w:r>
      <w:r w:rsidRPr="00A2630C">
        <w:rPr>
          <w:b/>
          <w:bCs/>
          <w:shd w:val="clear" w:color="auto" w:fill="FFFFFF"/>
          <w:lang w:val="en"/>
        </w:rPr>
        <w:t xml:space="preserve"> </w:t>
      </w:r>
      <w:r w:rsidRPr="00A2630C">
        <w:rPr>
          <w:shd w:val="clear" w:color="auto" w:fill="FFFFFF"/>
        </w:rPr>
        <w:t>ETC does not monitor or report on Retirement or Pension matters, it is important that New York employers who do not offer a retirement plan are aware of a new compliance obligation. The New York Secure Choice Savings Program requires covered private-sector employers to automatically enroll their employees in a state-facilitated Roth IRA through payroll deduction. With the first compliance deadline arriving on March 16, 2026, employers should assess their obligations now. New York joins a growing list of states that mandate retirement savings plans: California (CalSavers), Colorado (SecureSavings), Connecticut (MyCTSavings), Delaware (Delaware EARNS), Illinois (Secure Choice), Maine (MERIT), Maryland (MarylandSaves), New Jersey (Secure Choice), Oregon (OregonSaves), Vermont (VT Saves), and Virginia (RetirePathVA). Employers with questions are advised to engage their Retirement Benefits advisor or reach out to the applicable state agency over the mandatory state retirement program.</w:t>
      </w:r>
    </w:p>
    <w:p w14:paraId="4CB9C538" w14:textId="77777777" w:rsidR="00B15363" w:rsidRPr="00A2630C" w:rsidRDefault="00B15363" w:rsidP="00B15363">
      <w:pPr>
        <w:rPr>
          <w:b/>
          <w:bCs/>
          <w:shd w:val="clear" w:color="auto" w:fill="FFFFFF"/>
        </w:rPr>
      </w:pPr>
      <w:r w:rsidRPr="00A2630C">
        <w:rPr>
          <w:b/>
          <w:bCs/>
          <w:shd w:val="clear" w:color="auto" w:fill="FFFFFF"/>
        </w:rPr>
        <w:t>Covered Employers &amp; Employees</w:t>
      </w:r>
    </w:p>
    <w:p w14:paraId="0DCFCD17" w14:textId="77777777" w:rsidR="00B15363" w:rsidRPr="004F2C97" w:rsidRDefault="00B15363" w:rsidP="00B15363">
      <w:pPr>
        <w:rPr>
          <w:shd w:val="clear" w:color="auto" w:fill="FFFFFF"/>
        </w:rPr>
      </w:pPr>
      <w:r w:rsidRPr="00A2630C">
        <w:rPr>
          <w:shd w:val="clear" w:color="auto" w:fill="FFFFFF"/>
        </w:rPr>
        <w:t xml:space="preserve">private-sector employers, whether for-profit or </w:t>
      </w:r>
      <w:r>
        <w:rPr>
          <w:shd w:val="clear" w:color="auto" w:fill="FFFFFF"/>
        </w:rPr>
        <w:t xml:space="preserve">nonprofit, </w:t>
      </w:r>
      <w:r w:rsidRPr="00A2630C">
        <w:rPr>
          <w:shd w:val="clear" w:color="auto" w:fill="FFFFFF"/>
        </w:rPr>
        <w:t>that are located in New York State, have been in business for at least two years, have employed ten or more employees in New York State in the past 12 months, and do not already offer a qualified retirement plan to their employees such as a 401(k), 403(b), or similar arrangement. Employers cannot drop an existing qualified plan to participate in Secure Choice instead. Covered employers must automatically enroll eligible employees in the program, although employees may opt out from participation or change their contribution rate or investment option, at any time. Eligible employees are those age 18 or older who receive </w:t>
      </w:r>
      <w:r w:rsidRPr="00610189">
        <w:rPr>
          <w:shd w:val="clear" w:color="auto" w:fill="FFFFFF"/>
        </w:rPr>
        <w:t>taxable wages</w:t>
      </w:r>
      <w:r w:rsidRPr="00A2630C">
        <w:rPr>
          <w:shd w:val="clear" w:color="auto" w:fill="FFFFFF"/>
        </w:rPr>
        <w:t> from a covered employer.</w:t>
      </w:r>
    </w:p>
    <w:p w14:paraId="77FB935D" w14:textId="77777777" w:rsidR="00B15363" w:rsidRPr="00A2630C" w:rsidRDefault="00B15363" w:rsidP="00B15363">
      <w:pPr>
        <w:rPr>
          <w:shd w:val="clear" w:color="auto" w:fill="FFFFFF"/>
        </w:rPr>
      </w:pPr>
      <w:r w:rsidRPr="00A2630C">
        <w:rPr>
          <w:b/>
          <w:bCs/>
          <w:shd w:val="clear" w:color="auto" w:fill="FFFFFF"/>
        </w:rPr>
        <w:t>The program uses a phased rollout based on employer size:</w:t>
      </w:r>
      <w:r w:rsidRPr="00A2630C">
        <w:rPr>
          <w:shd w:val="clear" w:color="auto" w:fill="FFFFFF"/>
        </w:rPr>
        <w:br/>
      </w:r>
      <w:r w:rsidRPr="00A2630C">
        <w:rPr>
          <w:b/>
          <w:bCs/>
          <w:u w:val="single"/>
          <w:shd w:val="clear" w:color="auto" w:fill="FFFFFF"/>
        </w:rPr>
        <w:t>Employer Size</w:t>
      </w:r>
      <w:r w:rsidRPr="00A2630C">
        <w:rPr>
          <w:b/>
          <w:bCs/>
          <w:shd w:val="clear" w:color="auto" w:fill="FFFFFF"/>
        </w:rPr>
        <w:t>                   </w:t>
      </w:r>
      <w:r w:rsidRPr="00A2630C">
        <w:rPr>
          <w:b/>
          <w:bCs/>
          <w:shd w:val="clear" w:color="auto" w:fill="FFFFFF"/>
        </w:rPr>
        <w:tab/>
      </w:r>
      <w:r w:rsidRPr="00A2630C">
        <w:rPr>
          <w:b/>
          <w:bCs/>
          <w:u w:val="single"/>
          <w:shd w:val="clear" w:color="auto" w:fill="FFFFFF"/>
        </w:rPr>
        <w:t>Compliance Deadline</w:t>
      </w:r>
      <w:r w:rsidRPr="00A2630C">
        <w:rPr>
          <w:shd w:val="clear" w:color="auto" w:fill="FFFFFF"/>
        </w:rPr>
        <w:br/>
      </w:r>
      <w:r w:rsidRPr="00A817CE">
        <w:rPr>
          <w:color w:val="0070C0"/>
          <w:shd w:val="clear" w:color="auto" w:fill="FFFFFF"/>
        </w:rPr>
        <w:t>30 or more employees             March 16, 2026</w:t>
      </w:r>
      <w:r w:rsidRPr="00A817CE">
        <w:rPr>
          <w:color w:val="0070C0"/>
          <w:shd w:val="clear" w:color="auto" w:fill="FFFFFF"/>
        </w:rPr>
        <w:br/>
        <w:t>15–29 employees                      May 15, 2026</w:t>
      </w:r>
      <w:r w:rsidRPr="00A817CE">
        <w:rPr>
          <w:color w:val="0070C0"/>
          <w:shd w:val="clear" w:color="auto" w:fill="FFFFFF"/>
        </w:rPr>
        <w:br/>
        <w:t>11–14 employees                      July 15, 2026</w:t>
      </w:r>
    </w:p>
    <w:p w14:paraId="095156D7" w14:textId="77777777" w:rsidR="00B15363" w:rsidRPr="00A2630C" w:rsidRDefault="00B15363" w:rsidP="00B15363">
      <w:pPr>
        <w:rPr>
          <w:shd w:val="clear" w:color="auto" w:fill="FFFFFF"/>
        </w:rPr>
      </w:pPr>
      <w:r w:rsidRPr="00A2630C">
        <w:rPr>
          <w:shd w:val="clear" w:color="auto" w:fill="FFFFFF"/>
        </w:rPr>
        <w:t>Covered employers should take the following steps: automatically enroll eligible employees in the program, facilitate payroll deductions at the default contribution rate of 3% of gross wages (or as adjusted by the employee, subject to federal IRA limits), remit contributions to the program, and provide required informational materials and disclosures to employees upon commencement of the program and upon hire.</w:t>
      </w:r>
      <w:r w:rsidRPr="00A2630C">
        <w:rPr>
          <w:shd w:val="clear" w:color="auto" w:fill="FFFFFF"/>
        </w:rPr>
        <w:br/>
        <w:t>Employers may not contribute to employee accounts. However, employers are not fiduciaries under the program and bear no liability for employees' participation choices, investment decisions, or outcomes. The program is overseen by the New York Secure Choice Savings Program Board which has the fiduciary responsibility to act in the best interests of participants.</w:t>
      </w:r>
    </w:p>
    <w:p w14:paraId="79FD7740" w14:textId="2E2FD7C7" w:rsidR="00B15363" w:rsidRPr="00B15363" w:rsidRDefault="00B15363" w:rsidP="00B15363">
      <w:pPr>
        <w:rPr>
          <w:b/>
          <w:color w:val="0E425C"/>
          <w:u w:val="single"/>
        </w:rPr>
      </w:pPr>
      <w:r w:rsidRPr="00A2630C">
        <w:rPr>
          <w:b/>
          <w:bCs/>
          <w:shd w:val="clear" w:color="auto" w:fill="FFFFFF"/>
        </w:rPr>
        <w:t>Penalties for Non-Compliance</w:t>
      </w:r>
      <w:r w:rsidRPr="00A2630C">
        <w:rPr>
          <w:shd w:val="clear" w:color="auto" w:fill="FFFFFF"/>
        </w:rPr>
        <w:br/>
        <w:t xml:space="preserve">The program's enabling legislation authorizes the Secure Choice Savings Program Board to determine enforcement of penalties but the website for the program does not currently address penalties for non-compliance. Employers should monitor guidance from the Board and the program's website at </w:t>
      </w:r>
      <w:r w:rsidRPr="00280C5F">
        <w:rPr>
          <w:rStyle w:val="Hyperlink"/>
        </w:rPr>
        <w:t xml:space="preserve">securechoice.ny.gov </w:t>
      </w:r>
      <w:r w:rsidRPr="00A2630C">
        <w:rPr>
          <w:shd w:val="clear" w:color="auto" w:fill="FFFFFF"/>
        </w:rPr>
        <w:t>for specific information regarding enforcement procedures and penalties as the compliance deadlines approach.</w:t>
      </w:r>
    </w:p>
    <w:p w14:paraId="3407561B" w14:textId="1FFD28B3" w:rsidR="00DB649F" w:rsidRPr="005D141E" w:rsidRDefault="00DB649F" w:rsidP="00DB649F">
      <w:pPr>
        <w:jc w:val="center"/>
        <w:rPr>
          <w:bCs/>
          <w:color w:val="0070C0"/>
          <w:sz w:val="26"/>
          <w:szCs w:val="26"/>
        </w:rPr>
      </w:pPr>
      <w:r>
        <w:rPr>
          <w:b/>
          <w:bCs/>
          <w:caps/>
          <w:color w:val="0070C0"/>
          <w:sz w:val="26"/>
          <w:szCs w:val="26"/>
        </w:rPr>
        <w:t xml:space="preserve">UPDATE! </w:t>
      </w:r>
      <w:r w:rsidRPr="00A632EF">
        <w:rPr>
          <w:b/>
          <w:bCs/>
          <w:caps/>
          <w:noProof/>
          <w:color w:val="0E425C"/>
          <w:sz w:val="26"/>
          <w:szCs w:val="26"/>
        </w:rPr>
        <w:t xml:space="preserve">Workplace First Aid Requirements in New York State to Include Opioid Antagonists </w:t>
      </w:r>
    </w:p>
    <w:p w14:paraId="187F102B" w14:textId="77777777" w:rsidR="00DB649F" w:rsidRDefault="00DB649F" w:rsidP="00DB649F">
      <w:pPr>
        <w:rPr>
          <w:shd w:val="clear" w:color="auto" w:fill="FFFFFF"/>
        </w:rPr>
      </w:pPr>
      <w:r w:rsidRPr="005D141E">
        <w:rPr>
          <w:shd w:val="clear" w:color="auto" w:fill="FFFFFF"/>
        </w:rPr>
        <w:t xml:space="preserve">As </w:t>
      </w:r>
      <w:r>
        <w:rPr>
          <w:shd w:val="clear" w:color="auto" w:fill="FFFFFF"/>
        </w:rPr>
        <w:t>previously</w:t>
      </w:r>
      <w:r w:rsidRPr="005D141E">
        <w:rPr>
          <w:shd w:val="clear" w:color="auto" w:fill="FFFFFF"/>
        </w:rPr>
        <w:t xml:space="preserve"> reported, </w:t>
      </w:r>
      <w:r w:rsidRPr="000B6E10">
        <w:rPr>
          <w:shd w:val="clear" w:color="auto" w:fill="FFFFFF"/>
        </w:rPr>
        <w:t>New York expanded its workplace first aid requirements through Senate Bill S5922-A/A2725-A</w:t>
      </w:r>
      <w:r>
        <w:rPr>
          <w:shd w:val="clear" w:color="auto" w:fill="FFFFFF"/>
        </w:rPr>
        <w:t xml:space="preserve"> </w:t>
      </w:r>
      <w:r w:rsidRPr="000B6E10">
        <w:rPr>
          <w:shd w:val="clear" w:color="auto" w:fill="FFFFFF"/>
        </w:rPr>
        <w:t>requir</w:t>
      </w:r>
      <w:r>
        <w:rPr>
          <w:shd w:val="clear" w:color="auto" w:fill="FFFFFF"/>
        </w:rPr>
        <w:t>ing</w:t>
      </w:r>
      <w:r w:rsidRPr="000B6E10">
        <w:rPr>
          <w:shd w:val="clear" w:color="auto" w:fill="FFFFFF"/>
        </w:rPr>
        <w:t xml:space="preserve"> certain employers to include opioid antagonists</w:t>
      </w:r>
      <w:r>
        <w:rPr>
          <w:shd w:val="clear" w:color="auto" w:fill="FFFFFF"/>
        </w:rPr>
        <w:t xml:space="preserve">, </w:t>
      </w:r>
      <w:r w:rsidRPr="000B6E10">
        <w:rPr>
          <w:shd w:val="clear" w:color="auto" w:fill="FFFFFF"/>
        </w:rPr>
        <w:t>such as Narcan</w:t>
      </w:r>
      <w:r>
        <w:rPr>
          <w:shd w:val="clear" w:color="auto" w:fill="FFFFFF"/>
        </w:rPr>
        <w:t xml:space="preserve">, </w:t>
      </w:r>
      <w:r w:rsidRPr="000B6E10">
        <w:rPr>
          <w:shd w:val="clear" w:color="auto" w:fill="FFFFFF"/>
        </w:rPr>
        <w:t>as part of their workplace emergency preparedness efforts.</w:t>
      </w:r>
      <w:r>
        <w:rPr>
          <w:shd w:val="clear" w:color="auto" w:fill="FFFFFF"/>
        </w:rPr>
        <w:t xml:space="preserve">  </w:t>
      </w:r>
    </w:p>
    <w:p w14:paraId="5D9C0A9A" w14:textId="77777777" w:rsidR="00DB649F" w:rsidRPr="000857C1" w:rsidRDefault="00DB649F" w:rsidP="00DB649F">
      <w:pPr>
        <w:rPr>
          <w:shd w:val="clear" w:color="auto" w:fill="FFFFFF"/>
        </w:rPr>
      </w:pPr>
      <w:r>
        <w:rPr>
          <w:shd w:val="clear" w:color="auto" w:fill="FFFFFF"/>
        </w:rPr>
        <w:t xml:space="preserve">On February 13, 2026, amendments </w:t>
      </w:r>
      <w:r w:rsidRPr="00705D56">
        <w:rPr>
          <w:shd w:val="clear" w:color="auto" w:fill="FFFFFF"/>
        </w:rPr>
        <w:t>(A9453/S8770)</w:t>
      </w:r>
      <w:r>
        <w:rPr>
          <w:shd w:val="clear" w:color="auto" w:fill="FFFFFF"/>
        </w:rPr>
        <w:t xml:space="preserve"> were signed which provided additional clarification for employers. </w:t>
      </w:r>
      <w:r w:rsidRPr="000857C1">
        <w:rPr>
          <w:shd w:val="clear" w:color="auto" w:fill="FFFFFF"/>
        </w:rPr>
        <w:t xml:space="preserve">Under the updated </w:t>
      </w:r>
      <w:r>
        <w:rPr>
          <w:shd w:val="clear" w:color="auto" w:fill="FFFFFF"/>
        </w:rPr>
        <w:t>regulations</w:t>
      </w:r>
      <w:r w:rsidRPr="000857C1">
        <w:rPr>
          <w:shd w:val="clear" w:color="auto" w:fill="FFFFFF"/>
        </w:rPr>
        <w:t xml:space="preserve">, private employers covered by </w:t>
      </w:r>
      <w:r>
        <w:rPr>
          <w:shd w:val="clear" w:color="auto" w:fill="FFFFFF"/>
        </w:rPr>
        <w:t xml:space="preserve">OSHA </w:t>
      </w:r>
      <w:r w:rsidRPr="000857C1">
        <w:rPr>
          <w:shd w:val="clear" w:color="auto" w:fill="FFFFFF"/>
        </w:rPr>
        <w:t>and required to maintain first aid supplies must also ensure opioid antagonists are available for emergency use in the workplace.</w:t>
      </w:r>
      <w:r>
        <w:rPr>
          <w:shd w:val="clear" w:color="auto" w:fill="FFFFFF"/>
        </w:rPr>
        <w:t xml:space="preserve"> </w:t>
      </w:r>
      <w:r w:rsidRPr="000857C1">
        <w:rPr>
          <w:shd w:val="clear" w:color="auto" w:fill="FFFFFF"/>
        </w:rPr>
        <w:t>Employers are not required to place opioid antagonists in every individual first aid kit</w:t>
      </w:r>
      <w:r>
        <w:rPr>
          <w:shd w:val="clear" w:color="auto" w:fill="FFFFFF"/>
        </w:rPr>
        <w:t xml:space="preserve">, only </w:t>
      </w:r>
      <w:r w:rsidRPr="000857C1">
        <w:rPr>
          <w:shd w:val="clear" w:color="auto" w:fill="FFFFFF"/>
        </w:rPr>
        <w:t>where first aid is administered.</w:t>
      </w:r>
    </w:p>
    <w:p w14:paraId="464F8CA3" w14:textId="77777777" w:rsidR="00DB649F" w:rsidRPr="008E422E" w:rsidRDefault="00DB649F" w:rsidP="00DB649F">
      <w:pPr>
        <w:rPr>
          <w:shd w:val="clear" w:color="auto" w:fill="FFFFFF"/>
        </w:rPr>
      </w:pPr>
      <w:r w:rsidRPr="00A632EF">
        <w:rPr>
          <w:shd w:val="clear" w:color="auto" w:fill="FFFFFF"/>
        </w:rPr>
        <w:t>Employers should begin evaluating current first-aid protocols, identifying where opioid antagonists will be stored, and planning for potential training programs once regulations are released.</w:t>
      </w:r>
    </w:p>
    <w:p w14:paraId="2A893A1C" w14:textId="12E52D99" w:rsidR="00C16DCC" w:rsidRDefault="00B44444" w:rsidP="00C16DCC">
      <w:pPr>
        <w:jc w:val="center"/>
        <w:rPr>
          <w:b/>
          <w:bCs/>
          <w:caps/>
          <w:color w:val="0070C0"/>
          <w:sz w:val="26"/>
          <w:szCs w:val="26"/>
        </w:rPr>
      </w:pPr>
      <w:r w:rsidRPr="00AF34B8">
        <w:rPr>
          <w:b/>
          <w:bCs/>
          <w:caps/>
          <w:noProof/>
          <w:color w:val="0070C0"/>
          <w:sz w:val="26"/>
          <w:szCs w:val="26"/>
        </w:rPr>
        <w:t>Remin</w:t>
      </w:r>
      <w:r>
        <w:rPr>
          <w:b/>
          <w:bCs/>
          <w:caps/>
          <w:noProof/>
          <w:color w:val="0070C0"/>
          <w:sz w:val="26"/>
          <w:szCs w:val="26"/>
        </w:rPr>
        <w:t>D</w:t>
      </w:r>
      <w:r w:rsidRPr="00AF34B8">
        <w:rPr>
          <w:b/>
          <w:bCs/>
          <w:caps/>
          <w:noProof/>
          <w:color w:val="0070C0"/>
          <w:sz w:val="26"/>
          <w:szCs w:val="26"/>
        </w:rPr>
        <w:t>er</w:t>
      </w:r>
      <w:r>
        <w:rPr>
          <w:b/>
          <w:bCs/>
          <w:caps/>
          <w:noProof/>
          <w:color w:val="0070C0"/>
          <w:sz w:val="26"/>
          <w:szCs w:val="26"/>
        </w:rPr>
        <w:t>:</w:t>
      </w:r>
      <w:r>
        <w:rPr>
          <w:b/>
          <w:bCs/>
          <w:caps/>
          <w:noProof/>
          <w:color w:val="0E425C"/>
          <w:sz w:val="28"/>
          <w:szCs w:val="28"/>
        </w:rPr>
        <w:t xml:space="preserve"> </w:t>
      </w:r>
      <w:r w:rsidRPr="00AF34B8">
        <w:rPr>
          <w:b/>
          <w:bCs/>
          <w:caps/>
          <w:noProof/>
          <w:color w:val="0E425C"/>
          <w:sz w:val="26"/>
          <w:szCs w:val="26"/>
        </w:rPr>
        <w:t>State Restricts Use of Credit History Eff</w:t>
      </w:r>
      <w:r>
        <w:rPr>
          <w:b/>
          <w:bCs/>
          <w:caps/>
          <w:noProof/>
          <w:color w:val="0E425C"/>
          <w:sz w:val="26"/>
          <w:szCs w:val="26"/>
        </w:rPr>
        <w:t>ECTIVE</w:t>
      </w:r>
      <w:r w:rsidRPr="00AF34B8">
        <w:rPr>
          <w:b/>
          <w:bCs/>
          <w:caps/>
          <w:noProof/>
          <w:color w:val="0E425C"/>
          <w:sz w:val="26"/>
          <w:szCs w:val="26"/>
        </w:rPr>
        <w:t xml:space="preserve"> </w:t>
      </w:r>
      <w:r w:rsidRPr="00AF34B8">
        <w:rPr>
          <w:b/>
          <w:bCs/>
          <w:caps/>
          <w:color w:val="0070C0"/>
          <w:sz w:val="26"/>
          <w:szCs w:val="26"/>
        </w:rPr>
        <w:t>April 18, 2026</w:t>
      </w:r>
    </w:p>
    <w:p w14:paraId="1B4824A1" w14:textId="77777777" w:rsidR="00C16DCC" w:rsidRDefault="00C16DCC" w:rsidP="00C16DCC">
      <w:pPr>
        <w:jc w:val="center"/>
        <w:rPr>
          <w:rFonts w:ascii="Roboto" w:hAnsi="Roboto"/>
          <w:b/>
          <w:bCs/>
          <w:color w:val="C00000"/>
          <w:shd w:val="clear" w:color="auto" w:fill="FFFFFF"/>
          <w:lang w:val="en"/>
        </w:rPr>
      </w:pPr>
      <w:r w:rsidRPr="00F90BC8">
        <w:rPr>
          <w:b/>
          <w:bCs/>
          <w:caps/>
          <w:color w:val="0070C0"/>
          <w:sz w:val="26"/>
          <w:szCs w:val="26"/>
        </w:rPr>
        <w:t>New</w:t>
      </w:r>
      <w:r>
        <w:rPr>
          <w:b/>
          <w:bCs/>
          <w:caps/>
          <w:color w:val="0070C0"/>
          <w:sz w:val="26"/>
          <w:szCs w:val="26"/>
        </w:rPr>
        <w:t>!</w:t>
      </w:r>
      <w:r>
        <w:rPr>
          <w:rFonts w:ascii="Roboto" w:hAnsi="Roboto"/>
          <w:b/>
          <w:bCs/>
          <w:color w:val="C00000"/>
          <w:shd w:val="clear" w:color="auto" w:fill="FFFFFF"/>
          <w:lang w:val="en"/>
        </w:rPr>
        <w:t xml:space="preserve"> </w:t>
      </w:r>
      <w:r w:rsidRPr="00F90BC8">
        <w:rPr>
          <w:b/>
          <w:bCs/>
          <w:caps/>
          <w:noProof/>
          <w:color w:val="0E425C"/>
          <w:sz w:val="26"/>
          <w:szCs w:val="26"/>
        </w:rPr>
        <w:t>State AI Regulations Eff</w:t>
      </w:r>
      <w:r>
        <w:rPr>
          <w:b/>
          <w:bCs/>
          <w:caps/>
          <w:noProof/>
          <w:color w:val="0E425C"/>
          <w:sz w:val="26"/>
          <w:szCs w:val="26"/>
        </w:rPr>
        <w:t>ECTIVE</w:t>
      </w:r>
      <w:r w:rsidRPr="00CA1B8C">
        <w:rPr>
          <w:rFonts w:ascii="Roboto" w:hAnsi="Roboto"/>
          <w:b/>
          <w:bCs/>
          <w:shd w:val="clear" w:color="auto" w:fill="FFFFFF"/>
        </w:rPr>
        <w:t xml:space="preserve"> </w:t>
      </w:r>
      <w:r w:rsidRPr="00F90BC8">
        <w:rPr>
          <w:b/>
          <w:bCs/>
          <w:caps/>
          <w:color w:val="0070C0"/>
          <w:sz w:val="26"/>
          <w:szCs w:val="26"/>
        </w:rPr>
        <w:t>January 1, 2027</w:t>
      </w:r>
    </w:p>
    <w:p w14:paraId="721E9BB3" w14:textId="2922E987" w:rsidR="00C16DCC" w:rsidRPr="00F62314" w:rsidRDefault="00C16DCC" w:rsidP="00F62314">
      <w:pPr>
        <w:rPr>
          <w:shd w:val="clear" w:color="auto" w:fill="FFFFFF"/>
        </w:rPr>
      </w:pPr>
      <w:r w:rsidRPr="00A2630C">
        <w:rPr>
          <w:shd w:val="clear" w:color="auto" w:fill="FFFFFF"/>
        </w:rPr>
        <w:t xml:space="preserve">New York has enacted the Responsible </w:t>
      </w:r>
      <w:r w:rsidRPr="00A2630C">
        <w:rPr>
          <w:b/>
          <w:bCs/>
          <w:shd w:val="clear" w:color="auto" w:fill="FFFFFF"/>
        </w:rPr>
        <w:t>AI Safety and Education (RAISE) Act</w:t>
      </w:r>
      <w:r w:rsidRPr="00A2630C">
        <w:rPr>
          <w:shd w:val="clear" w:color="auto" w:fill="FFFFFF"/>
        </w:rPr>
        <w:t xml:space="preserve"> (</w:t>
      </w:r>
      <w:hyperlink r:id="rId837" w:history="1">
        <w:r w:rsidRPr="00A0618A">
          <w:rPr>
            <w:rStyle w:val="Hyperlink"/>
            <w:shd w:val="clear" w:color="auto" w:fill="FFFFFF"/>
          </w:rPr>
          <w:t>A6453A</w:t>
        </w:r>
      </w:hyperlink>
      <w:r w:rsidRPr="00A2630C">
        <w:rPr>
          <w:shd w:val="clear" w:color="auto" w:fill="FFFFFF"/>
        </w:rPr>
        <w:t>) effective January 1, 2027. Among other things, the RAISE Act requires large AI developers to create and publish information about their safety protocols and report critical safety incidents to the state within 72 hours. Large developers must inform employees of their rights and obligations under the law within 90 days of the effective date or upon becoming a large developer (whichever is later), at the start of employment and by posting a conspicuous workplace notice. Covered employees are also protected from retaliation for disclosing or threatening to disclose information or concerns about unreasonable or substantial risk of critical harm. Further clarification, including standardized AI safety frameworks and critical incident reporting can be expected ahead of the 2027, effective date.</w:t>
      </w:r>
    </w:p>
    <w:p w14:paraId="6B13C846" w14:textId="23AC7B65" w:rsidR="0097746B" w:rsidRPr="00DD7BD1" w:rsidRDefault="0097746B" w:rsidP="0097746B">
      <w:pPr>
        <w:spacing w:after="0" w:line="240" w:lineRule="auto"/>
        <w:ind w:left="1080"/>
        <w:rPr>
          <w:rFonts w:ascii="Calibri" w:hAnsi="Calibri" w:cs="Calibri"/>
          <w:b/>
          <w:bCs/>
          <w:color w:val="C00000"/>
          <w:sz w:val="28"/>
          <w:szCs w:val="28"/>
          <w:u w:val="single"/>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&amp; Delays Trapped at Work Act – Now Eff </w:t>
      </w:r>
      <w:r w:rsidRPr="00DD7BD1">
        <w:rPr>
          <w:rFonts w:ascii="Calibri" w:hAnsi="Calibri" w:cs="Calibri"/>
          <w:b/>
          <w:bCs/>
          <w:color w:val="C00000"/>
          <w:sz w:val="28"/>
          <w:szCs w:val="28"/>
          <w:shd w:val="clear" w:color="auto" w:fill="FFFFFF"/>
          <w:lang w:val="en"/>
        </w:rPr>
        <w:t>Feb 13, 202</w:t>
      </w:r>
      <w:r w:rsidRPr="00DD7BD1">
        <w:rPr>
          <w:rFonts w:ascii="Calibri" w:hAnsi="Calibri" w:cs="Calibri"/>
          <w:b/>
          <w:bCs/>
          <w:color w:val="C00000"/>
          <w:sz w:val="28"/>
          <w:szCs w:val="28"/>
          <w:u w:val="single"/>
          <w:shd w:val="clear" w:color="auto" w:fill="FFFFFF"/>
          <w:lang w:val="en"/>
        </w:rPr>
        <w:t>7</w:t>
      </w:r>
    </w:p>
    <w:p w14:paraId="70F717C5"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rPr>
        <w:t xml:space="preserve">On Feb. 13, 2026, New York </w:t>
      </w:r>
      <w:hyperlink r:id="rId838" w:history="1">
        <w:r w:rsidRPr="00DD7BD1">
          <w:rPr>
            <w:rStyle w:val="Hyperlink"/>
            <w:rFonts w:ascii="Calibri" w:hAnsi="Calibri" w:cs="Calibri"/>
          </w:rPr>
          <w:t>amended</w:t>
        </w:r>
      </w:hyperlink>
      <w:r w:rsidRPr="00DD7BD1">
        <w:rPr>
          <w:rFonts w:ascii="Calibri" w:hAnsi="Calibri" w:cs="Calibri"/>
        </w:rPr>
        <w:t xml:space="preserve"> the Trapped at Work Act (Act). The Act, which bans “stay-or-pay” contracts, was originally signed into law on Dec. 19, 2025, and took effect immediately. The amendment clarifies the Act’s scope, expands exceptions to the Act and delays the effective date until </w:t>
      </w:r>
      <w:r w:rsidRPr="00DD7BD1">
        <w:rPr>
          <w:rFonts w:ascii="Calibri" w:hAnsi="Calibri" w:cs="Calibri"/>
          <w:b/>
          <w:bCs/>
        </w:rPr>
        <w:t>Feb. 13, 2027</w:t>
      </w:r>
      <w:r w:rsidRPr="00DD7BD1">
        <w:rPr>
          <w:rFonts w:ascii="Calibri" w:hAnsi="Calibri" w:cs="Calibri"/>
        </w:rPr>
        <w:t>.</w:t>
      </w:r>
      <w:r w:rsidRPr="00DD7BD1">
        <w:rPr>
          <w:rFonts w:ascii="Calibri" w:hAnsi="Calibri" w:cs="Calibri"/>
          <w:b/>
          <w:bCs/>
        </w:rPr>
        <w:t xml:space="preserve"> </w:t>
      </w:r>
    </w:p>
    <w:p w14:paraId="5257D887" w14:textId="77777777" w:rsidR="0097746B" w:rsidRPr="00DD7BD1" w:rsidRDefault="0097746B" w:rsidP="0097746B">
      <w:pPr>
        <w:spacing w:after="0" w:line="240" w:lineRule="auto"/>
        <w:ind w:left="90"/>
        <w:rPr>
          <w:rFonts w:ascii="Calibri" w:hAnsi="Calibri" w:cs="Calibri"/>
          <w:b/>
          <w:bCs/>
          <w:sz w:val="16"/>
          <w:szCs w:val="16"/>
        </w:rPr>
      </w:pPr>
    </w:p>
    <w:p w14:paraId="0F1A858B"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Recap</w:t>
      </w:r>
    </w:p>
    <w:p w14:paraId="0781D873"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Under the original Act, employers were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 subject to certain exceptions.</w:t>
      </w:r>
    </w:p>
    <w:p w14:paraId="1B597B09" w14:textId="77777777" w:rsidR="0097746B" w:rsidRPr="00DD7BD1" w:rsidRDefault="0097746B" w:rsidP="0097746B">
      <w:pPr>
        <w:spacing w:after="0" w:line="240" w:lineRule="auto"/>
        <w:ind w:left="90"/>
        <w:rPr>
          <w:rFonts w:ascii="Calibri" w:hAnsi="Calibri" w:cs="Calibri"/>
          <w:sz w:val="16"/>
          <w:szCs w:val="16"/>
        </w:rPr>
      </w:pPr>
    </w:p>
    <w:p w14:paraId="52D1D824"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Enacted Changes</w:t>
      </w:r>
    </w:p>
    <w:p w14:paraId="575DCF0B"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Clarifying Provisions</w:t>
      </w:r>
    </w:p>
    <w:p w14:paraId="44DCBD66" w14:textId="77777777" w:rsidR="0097746B" w:rsidRPr="00DD7BD1" w:rsidRDefault="0097746B">
      <w:pPr>
        <w:pStyle w:val="ListParagraph"/>
        <w:numPr>
          <w:ilvl w:val="0"/>
          <w:numId w:val="323"/>
        </w:numPr>
        <w:spacing w:after="0" w:line="240" w:lineRule="auto"/>
        <w:ind w:left="810"/>
        <w:rPr>
          <w:rFonts w:ascii="Calibri" w:hAnsi="Calibri" w:cs="Calibri"/>
        </w:rPr>
      </w:pPr>
      <w:r w:rsidRPr="00DD7BD1">
        <w:rPr>
          <w:rFonts w:ascii="Calibri" w:hAnsi="Calibri" w:cs="Calibri"/>
        </w:rPr>
        <w:t>The Act is limited to agreements with employees or prospective employees (rather than any worker)</w:t>
      </w:r>
    </w:p>
    <w:p w14:paraId="635ADB2D" w14:textId="77777777" w:rsidR="0097746B" w:rsidRPr="00DD7BD1" w:rsidRDefault="0097746B">
      <w:pPr>
        <w:pStyle w:val="ListParagraph"/>
        <w:numPr>
          <w:ilvl w:val="0"/>
          <w:numId w:val="323"/>
        </w:numPr>
        <w:spacing w:after="0" w:line="240" w:lineRule="auto"/>
        <w:ind w:left="810"/>
        <w:rPr>
          <w:rFonts w:ascii="Calibri" w:hAnsi="Calibri" w:cs="Calibri"/>
        </w:rPr>
      </w:pPr>
      <w:r w:rsidRPr="00DD7BD1">
        <w:rPr>
          <w:rFonts w:ascii="Calibri" w:hAnsi="Calibri" w:cs="Calibri"/>
        </w:rPr>
        <w:t>prohibited stay-or-pay agreements include those that require an employee to pay an employer if their employment terminates before a certain date (regardless of whether the employee or the employer terminates employment)</w:t>
      </w:r>
    </w:p>
    <w:p w14:paraId="2F97477B" w14:textId="77777777" w:rsidR="0097746B" w:rsidRPr="00DD7BD1" w:rsidRDefault="0097746B" w:rsidP="0097746B">
      <w:pPr>
        <w:spacing w:after="0" w:line="240" w:lineRule="auto"/>
        <w:rPr>
          <w:rFonts w:ascii="Calibri" w:hAnsi="Calibri" w:cs="Calibri"/>
          <w:sz w:val="16"/>
          <w:szCs w:val="16"/>
        </w:rPr>
      </w:pPr>
    </w:p>
    <w:p w14:paraId="599E165E"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Expanded Exceptions</w:t>
      </w:r>
    </w:p>
    <w:p w14:paraId="20CD0870"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Permissible agreements (under the amendments) include those that:</w:t>
      </w:r>
    </w:p>
    <w:p w14:paraId="74C986ED"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reimburse the employer for the cost of tuition, fees and required educational materials for a transferable credential if the agreement:</w:t>
      </w:r>
    </w:p>
    <w:p w14:paraId="724A34EB"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Is in a separate written contract;</w:t>
      </w:r>
    </w:p>
    <w:p w14:paraId="23DD2145"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 xml:space="preserve">Does not require the employee to obtain the credit as a condition of employment; </w:t>
      </w:r>
    </w:p>
    <w:p w14:paraId="75521E51"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Specifies the repayment amount before the employee agrees to the contract, and the repayment amount does not exceed the cost to the employee;</w:t>
      </w:r>
    </w:p>
    <w:p w14:paraId="6A6209DA"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Provides for a prorated repayment amount during any required employment period that is proportional to the repayment amount and employment period and does not require accelerated payment if the employee separates from employment; and</w:t>
      </w:r>
    </w:p>
    <w:p w14:paraId="4E20D6EC"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Does not require repayment if the employee is terminated (other than for misconduct);</w:t>
      </w:r>
    </w:p>
    <w:p w14:paraId="5CE1F6B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pay the employer for any property it has sold or leased to the employee, if such sale or lease was voluntary;</w:t>
      </w:r>
    </w:p>
    <w:p w14:paraId="63C1F82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repay a financial bonus, relocation assistance, or other non-educational incentive or other payment or benefit that is not tied to job performance, unless the employee was terminated for any reason other than misconduct or the job duties were misrepresented to the employee;</w:t>
      </w:r>
    </w:p>
    <w:p w14:paraId="235918A7"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2C139284"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 xml:space="preserve">Are entered into as part of a collective bargaining agreement. </w:t>
      </w:r>
    </w:p>
    <w:p w14:paraId="05E88F40" w14:textId="77777777" w:rsidR="0097746B" w:rsidRPr="00DD7BD1" w:rsidRDefault="0097746B" w:rsidP="0097746B">
      <w:pPr>
        <w:spacing w:after="0" w:line="240" w:lineRule="auto"/>
        <w:ind w:left="270"/>
        <w:rPr>
          <w:rFonts w:ascii="Calibri" w:hAnsi="Calibri" w:cs="Calibri"/>
          <w:color w:val="C00000"/>
          <w:sz w:val="16"/>
          <w:szCs w:val="16"/>
          <w:shd w:val="clear" w:color="auto" w:fill="FFFFFF"/>
          <w:lang w:val="en"/>
        </w:rPr>
      </w:pPr>
    </w:p>
    <w:p w14:paraId="45CC2DB1"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Enforcement Provisions</w:t>
      </w:r>
    </w:p>
    <w:p w14:paraId="02755A3F" w14:textId="38FCA430" w:rsidR="0097746B" w:rsidRPr="00DD7BD1" w:rsidRDefault="0097746B" w:rsidP="0097746B">
      <w:pPr>
        <w:spacing w:after="0" w:line="240" w:lineRule="auto"/>
        <w:ind w:left="90"/>
        <w:rPr>
          <w:rFonts w:ascii="Calibri" w:hAnsi="Calibri" w:cs="Calibri"/>
        </w:rPr>
      </w:pPr>
      <w:r w:rsidRPr="00DD7BD1">
        <w:rPr>
          <w:rFonts w:ascii="Calibri" w:hAnsi="Calibri" w:cs="Calibri"/>
        </w:rPr>
        <w:t>Though penalties remain the same (i.e., employers may be subject to fines ranging from $1,000 to $5,000 per violation and employers who sue employees to enforce unenforceable agreements may be required to pay attorney fees), the amendment clarifies that employees or applicants may file complaints directly with the New York State Department of Labor.</w:t>
      </w:r>
    </w:p>
    <w:p w14:paraId="5B75A328" w14:textId="77777777" w:rsidR="00BD18B0" w:rsidRPr="00DD7BD1" w:rsidRDefault="00BD18B0" w:rsidP="00BD18B0">
      <w:pPr>
        <w:rPr>
          <w:rFonts w:ascii="Calibri" w:hAnsi="Calibri" w:cs="Calibri"/>
          <w:sz w:val="16"/>
          <w:szCs w:val="16"/>
        </w:rPr>
      </w:pPr>
    </w:p>
    <w:p w14:paraId="4B010D59" w14:textId="77777777" w:rsidR="00BD18B0" w:rsidRPr="00DD7BD1" w:rsidRDefault="00BD18B0" w:rsidP="00BD18B0">
      <w:pPr>
        <w:spacing w:after="0" w:line="240" w:lineRule="auto"/>
        <w:ind w:left="86"/>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&amp; New Releases: </w:t>
      </w:r>
      <w:r w:rsidRPr="00DD7BD1">
        <w:rPr>
          <w:rFonts w:ascii="Calibri" w:hAnsi="Calibri" w:cs="Calibri"/>
          <w:b/>
          <w:bCs/>
          <w:sz w:val="28"/>
          <w:szCs w:val="28"/>
          <w:shd w:val="clear" w:color="auto" w:fill="FFFFFF"/>
          <w:lang w:val="en"/>
        </w:rPr>
        <w:t>NY</w:t>
      </w:r>
      <w:r w:rsidRPr="00DD7BD1">
        <w:rPr>
          <w:rFonts w:ascii="Calibri" w:hAnsi="Calibri" w:cs="Calibri"/>
          <w:b/>
          <w:bCs/>
          <w:sz w:val="28"/>
          <w:szCs w:val="28"/>
          <w:u w:val="single"/>
          <w:shd w:val="clear" w:color="auto" w:fill="FFFFFF"/>
          <w:lang w:val="en"/>
        </w:rPr>
        <w:t>C</w:t>
      </w:r>
      <w:r w:rsidRPr="00DD7BD1">
        <w:rPr>
          <w:rFonts w:ascii="Calibri" w:hAnsi="Calibri" w:cs="Calibri"/>
          <w:b/>
          <w:bCs/>
          <w:sz w:val="28"/>
          <w:szCs w:val="28"/>
          <w:shd w:val="clear" w:color="auto" w:fill="FFFFFF"/>
          <w:lang w:val="en"/>
        </w:rPr>
        <w:t xml:space="preserve"> Updated Safe &amp; Sick Time Amendments - Eff </w:t>
      </w:r>
      <w:r w:rsidRPr="00DD7BD1">
        <w:rPr>
          <w:rFonts w:ascii="Calibri" w:hAnsi="Calibri" w:cs="Calibri"/>
          <w:b/>
          <w:bCs/>
          <w:color w:val="C00000"/>
          <w:sz w:val="28"/>
          <w:szCs w:val="28"/>
          <w:shd w:val="clear" w:color="auto" w:fill="FFFFFF"/>
          <w:lang w:val="en"/>
        </w:rPr>
        <w:t>Feb 22, 2026</w:t>
      </w:r>
    </w:p>
    <w:p w14:paraId="10B3C412" w14:textId="43792F7F" w:rsidR="00BD18B0" w:rsidRPr="00DD7BD1" w:rsidRDefault="00BD18B0" w:rsidP="00BD18B0">
      <w:pPr>
        <w:spacing w:after="0" w:line="240" w:lineRule="auto"/>
        <w:ind w:left="86"/>
        <w:rPr>
          <w:rFonts w:ascii="Calibri" w:hAnsi="Calibri" w:cs="Calibri"/>
          <w:shd w:val="clear" w:color="auto" w:fill="FFFFFF"/>
        </w:rPr>
      </w:pPr>
      <w:r w:rsidRPr="00DD7BD1">
        <w:rPr>
          <w:rFonts w:ascii="Calibri" w:hAnsi="Calibri" w:cs="Calibri"/>
          <w:shd w:val="clear" w:color="auto" w:fill="FFFFFF"/>
        </w:rPr>
        <w:t>On February 19, 2026, the New York City Department of Consumer and Worker Protection (DCWP) issued an updated set of </w:t>
      </w:r>
      <w:hyperlink r:id="rId839"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as well as an updated</w:t>
      </w:r>
      <w:r w:rsidRPr="00DD7BD1">
        <w:rPr>
          <w:rFonts w:ascii="Calibri" w:hAnsi="Calibri" w:cs="Calibri"/>
          <w:color w:val="C00000"/>
          <w:shd w:val="clear" w:color="auto" w:fill="FFFFFF"/>
        </w:rPr>
        <w:t> </w:t>
      </w:r>
      <w:hyperlink r:id="rId840"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that must be distributed to employees regularly working in New York City. These updates address the new unpaid sick leave and new covered uses for sick leave that took effect on February 22, 2026, pursuant to</w:t>
      </w:r>
      <w:hyperlink r:id="rId841" w:tgtFrame="_blank" w:history="1">
        <w:r w:rsidRPr="00DD7BD1">
          <w:rPr>
            <w:rStyle w:val="Hyperlink"/>
            <w:rFonts w:ascii="Calibri" w:hAnsi="Calibri" w:cs="Calibri"/>
            <w:shd w:val="clear" w:color="auto" w:fill="FFFFFF"/>
          </w:rPr>
          <w:t> amendments to the New York City Earned Safe and Sick Time Act</w:t>
        </w:r>
      </w:hyperlink>
      <w:r w:rsidRPr="00DD7BD1">
        <w:rPr>
          <w:rFonts w:ascii="Calibri" w:hAnsi="Calibri" w:cs="Calibri"/>
          <w:shd w:val="clear" w:color="auto" w:fill="FFFFFF"/>
        </w:rPr>
        <w:t>.</w:t>
      </w:r>
    </w:p>
    <w:p w14:paraId="53403C76" w14:textId="77777777" w:rsidR="00BD18B0" w:rsidRPr="00DD7BD1" w:rsidRDefault="00BD18B0" w:rsidP="00BD18B0">
      <w:pPr>
        <w:spacing w:after="0" w:line="240" w:lineRule="auto"/>
        <w:ind w:left="86"/>
        <w:rPr>
          <w:rFonts w:ascii="Calibri" w:hAnsi="Calibri" w:cs="Calibri"/>
          <w:color w:val="C00000"/>
          <w:shd w:val="clear" w:color="auto" w:fill="FFFFFF"/>
          <w:lang w:val="en"/>
        </w:rPr>
      </w:pPr>
    </w:p>
    <w:p w14:paraId="197328AA" w14:textId="137173D4" w:rsidR="005C4C84" w:rsidRPr="00DD7BD1" w:rsidRDefault="005C4C84" w:rsidP="00E55EB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Restricts Use of Credit History in Employment Decisions Eff </w:t>
      </w:r>
      <w:r w:rsidRPr="00DD7BD1">
        <w:rPr>
          <w:rFonts w:ascii="Calibri" w:hAnsi="Calibri" w:cs="Calibri"/>
          <w:b/>
          <w:bCs/>
          <w:color w:val="C00000"/>
          <w:sz w:val="28"/>
          <w:szCs w:val="28"/>
          <w:shd w:val="clear" w:color="auto" w:fill="FFFFFF"/>
          <w:lang w:val="en"/>
        </w:rPr>
        <w:t>April 18, 2026</w:t>
      </w:r>
    </w:p>
    <w:p w14:paraId="71EBB8D4" w14:textId="77777777" w:rsidR="005C4C84" w:rsidRPr="00DD7BD1" w:rsidRDefault="005C4C84" w:rsidP="00E55EB5">
      <w:pPr>
        <w:spacing w:after="0" w:line="240" w:lineRule="auto"/>
        <w:rPr>
          <w:rFonts w:ascii="Calibri" w:hAnsi="Calibri" w:cs="Calibri"/>
        </w:rPr>
      </w:pPr>
      <w:r w:rsidRPr="00DD7BD1">
        <w:rPr>
          <w:rFonts w:ascii="Calibri" w:hAnsi="Calibri" w:cs="Calibri"/>
        </w:rPr>
        <w:t xml:space="preserve">On Dec. 19, 2025, New York passed a </w:t>
      </w:r>
      <w:hyperlink r:id="rId842" w:history="1">
        <w:r w:rsidRPr="00DD7BD1">
          <w:rPr>
            <w:rStyle w:val="Hyperlink"/>
            <w:rFonts w:ascii="Calibri" w:hAnsi="Calibri" w:cs="Calibri"/>
          </w:rPr>
          <w:t>law</w:t>
        </w:r>
      </w:hyperlink>
      <w:r w:rsidRPr="00DD7BD1">
        <w:rPr>
          <w:rFonts w:ascii="Calibri" w:hAnsi="Calibri" w:cs="Calibri"/>
        </w:rPr>
        <w:t xml:space="preserve"> restricting the use of an employee’s credit history in making employment decisions in most circumstances. The law is scheduled to take effect on April 18, 2026. </w:t>
      </w:r>
    </w:p>
    <w:p w14:paraId="7B1E8A42" w14:textId="77777777" w:rsidR="005C4C84" w:rsidRPr="00DD7BD1" w:rsidRDefault="005C4C84" w:rsidP="00E55EB5">
      <w:pPr>
        <w:spacing w:after="0" w:line="240" w:lineRule="auto"/>
        <w:rPr>
          <w:rFonts w:ascii="Calibri" w:hAnsi="Calibri" w:cs="Calibri"/>
          <w:sz w:val="16"/>
          <w:szCs w:val="16"/>
        </w:rPr>
      </w:pPr>
    </w:p>
    <w:p w14:paraId="04276F53" w14:textId="30D8DBE0" w:rsidR="005C4C84" w:rsidRPr="00DD7BD1" w:rsidRDefault="005C4C84" w:rsidP="00E55EB5">
      <w:pPr>
        <w:spacing w:after="0" w:line="240" w:lineRule="auto"/>
        <w:rPr>
          <w:rFonts w:ascii="Calibri" w:hAnsi="Calibri" w:cs="Calibri"/>
        </w:rPr>
      </w:pPr>
      <w:r w:rsidRPr="00DD7BD1">
        <w:rPr>
          <w:rFonts w:ascii="Calibri" w:hAnsi="Calibri" w:cs="Calibri"/>
        </w:rPr>
        <w:t>Employer Takeaway: Employers are encouraged to review current hiring and onboarding practices to ensure that they do not request or use an applicant’s or employee’s consumer credit history in making employment decisions for positions in New York or with respect to individuals located in New York, unless subject to one of the exceptions. New York City employers are likely already familiar with and in compliance with these requirements, as the new state law largely tracks a similar New York City law.</w:t>
      </w:r>
    </w:p>
    <w:p w14:paraId="50401BE3" w14:textId="77777777" w:rsidR="00E55EB5" w:rsidRPr="00DD7BD1" w:rsidRDefault="00E55EB5" w:rsidP="00E55EB5">
      <w:pPr>
        <w:spacing w:after="0" w:line="240" w:lineRule="auto"/>
        <w:rPr>
          <w:rFonts w:ascii="Calibri" w:hAnsi="Calibri" w:cs="Calibri"/>
          <w:b/>
          <w:bCs/>
          <w:sz w:val="16"/>
          <w:szCs w:val="16"/>
        </w:rPr>
      </w:pPr>
    </w:p>
    <w:p w14:paraId="77E67E0B" w14:textId="3EF4CBED" w:rsidR="005C4C84" w:rsidRPr="00DD7BD1" w:rsidRDefault="005C4C84" w:rsidP="00E55EB5">
      <w:pPr>
        <w:spacing w:after="0" w:line="240" w:lineRule="auto"/>
        <w:rPr>
          <w:rFonts w:ascii="Calibri" w:hAnsi="Calibri" w:cs="Calibri"/>
          <w:b/>
          <w:bCs/>
        </w:rPr>
      </w:pPr>
      <w:r w:rsidRPr="00DD7BD1">
        <w:rPr>
          <w:rFonts w:ascii="Calibri" w:hAnsi="Calibri" w:cs="Calibri"/>
          <w:b/>
          <w:bCs/>
        </w:rPr>
        <w:t>Overview of the New Law</w:t>
      </w:r>
    </w:p>
    <w:p w14:paraId="6BB68188" w14:textId="43147AAB" w:rsidR="005C4C84" w:rsidRPr="00DD7BD1" w:rsidRDefault="005C4C84" w:rsidP="00E55EB5">
      <w:pPr>
        <w:spacing w:after="0" w:line="240" w:lineRule="auto"/>
        <w:rPr>
          <w:rFonts w:ascii="Calibri" w:hAnsi="Calibri" w:cs="Calibri"/>
        </w:rPr>
      </w:pPr>
      <w:r w:rsidRPr="00DD7BD1">
        <w:rPr>
          <w:rFonts w:ascii="Calibri" w:hAnsi="Calibri" w:cs="Calibri"/>
        </w:rPr>
        <w:t>Under the new law, employers are prohibited from requesting or using the consumer credit history of an applicant or employee for employment purposes, or otherwise discriminating against an applicant or employee in regard to hiring, compensation, or the terms, conditions or privileges of employment based on their consumer credit history.</w:t>
      </w:r>
    </w:p>
    <w:p w14:paraId="784FA28F" w14:textId="0C3ED20B" w:rsidR="005C4C84" w:rsidRPr="00DD7BD1" w:rsidRDefault="005C4C84" w:rsidP="00E55EB5">
      <w:pPr>
        <w:spacing w:after="0" w:line="240" w:lineRule="auto"/>
        <w:ind w:left="630" w:right="990"/>
        <w:rPr>
          <w:rFonts w:ascii="Calibri" w:hAnsi="Calibri" w:cs="Calibri"/>
        </w:rPr>
      </w:pPr>
      <w:r w:rsidRPr="00DD7BD1">
        <w:rPr>
          <w:rFonts w:ascii="Calibri" w:hAnsi="Calibri" w:cs="Calibri"/>
          <w:b/>
          <w:bCs/>
        </w:rPr>
        <w:t xml:space="preserve">Consumer credit history </w:t>
      </w:r>
      <w:r w:rsidRPr="00DD7BD1">
        <w:rPr>
          <w:rFonts w:ascii="Calibri" w:hAnsi="Calibri" w:cs="Calibri"/>
        </w:rPr>
        <w:t>means an individual’s creditworthiness, credit standing, credit capacity or payment history, as indicated by a consumer credit report, credit score or information an employer obtains from an individual regarding credit account details, bankruptcies, judgments or liens.</w:t>
      </w:r>
    </w:p>
    <w:p w14:paraId="6CBEAAD7" w14:textId="77777777" w:rsidR="00E55EB5" w:rsidRPr="00DD7BD1" w:rsidRDefault="00E55EB5" w:rsidP="00E55EB5">
      <w:pPr>
        <w:spacing w:after="0" w:line="240" w:lineRule="auto"/>
        <w:rPr>
          <w:rFonts w:ascii="Calibri" w:hAnsi="Calibri" w:cs="Calibri"/>
          <w:b/>
          <w:bCs/>
          <w:sz w:val="16"/>
          <w:szCs w:val="16"/>
        </w:rPr>
      </w:pPr>
    </w:p>
    <w:p w14:paraId="221C33FF" w14:textId="467AB6AB" w:rsidR="005C4C84" w:rsidRPr="00DD7BD1" w:rsidRDefault="005C4C84" w:rsidP="00E55EB5">
      <w:pPr>
        <w:spacing w:after="0" w:line="240" w:lineRule="auto"/>
        <w:rPr>
          <w:rFonts w:ascii="Calibri" w:hAnsi="Calibri" w:cs="Calibri"/>
          <w:b/>
          <w:bCs/>
        </w:rPr>
      </w:pPr>
      <w:r w:rsidRPr="00DD7BD1">
        <w:rPr>
          <w:rFonts w:ascii="Calibri" w:hAnsi="Calibri" w:cs="Calibri"/>
          <w:b/>
          <w:bCs/>
        </w:rPr>
        <w:t>Exceptions</w:t>
      </w:r>
    </w:p>
    <w:p w14:paraId="2F0394C8" w14:textId="77777777" w:rsidR="005C4C84" w:rsidRPr="00DD7BD1" w:rsidRDefault="005C4C84" w:rsidP="00E55EB5">
      <w:pPr>
        <w:spacing w:after="0" w:line="240" w:lineRule="auto"/>
        <w:rPr>
          <w:rFonts w:ascii="Calibri" w:hAnsi="Calibri" w:cs="Calibri"/>
        </w:rPr>
      </w:pPr>
      <w:r w:rsidRPr="00DD7BD1">
        <w:rPr>
          <w:rFonts w:ascii="Calibri" w:hAnsi="Calibri" w:cs="Calibri"/>
        </w:rPr>
        <w:t>However, these requirements do not apply with respect to:</w:t>
      </w:r>
    </w:p>
    <w:p w14:paraId="376F79A6"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Employers, or agents thereof, that are legally required to use an individual’s consumer credit history for employment purposes;</w:t>
      </w:r>
    </w:p>
    <w:p w14:paraId="4A9AA9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Peace officers, police officers, law enforcement positions or positions with an investigative function in a law enforcement agency;</w:t>
      </w:r>
    </w:p>
    <w:p w14:paraId="2A6939A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Appointed positions that are subject to background investigations by a state agency and in which a high degree of public trust has been reposed;</w:t>
      </w:r>
    </w:p>
    <w:p w14:paraId="21D6C605"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required to be bonded under law;</w:t>
      </w:r>
    </w:p>
    <w:p w14:paraId="47776051"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a legally required security clearance;</w:t>
      </w:r>
    </w:p>
    <w:p w14:paraId="49B6ED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Nonclerical positions having regular access to trade secrets, intelligence information or national security information;</w:t>
      </w:r>
    </w:p>
    <w:p w14:paraId="09C5EF30"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signatory authority over third-party funds or assets valued at $10,000 or more or that involve a fiduciary responsibility to the employer with the authority to enter into financial agreements valued at $10,000 or more on behalf of the employer; or</w:t>
      </w:r>
    </w:p>
    <w:p w14:paraId="0975A76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 xml:space="preserve">Positions with regular duties that allow the employee to modify digital security systems established to prevent the unauthorized use of the employer’s or client’s networks or databases. </w:t>
      </w:r>
    </w:p>
    <w:p w14:paraId="01A4FA23" w14:textId="77777777" w:rsidR="005C4C84" w:rsidRPr="00DD7BD1" w:rsidRDefault="005C4C84" w:rsidP="00E55EB5">
      <w:pPr>
        <w:pStyle w:val="Bullet"/>
        <w:numPr>
          <w:ilvl w:val="0"/>
          <w:numId w:val="0"/>
        </w:numPr>
        <w:spacing w:line="240" w:lineRule="auto"/>
        <w:rPr>
          <w:rFonts w:cs="Calibri"/>
          <w:color w:val="auto"/>
          <w:szCs w:val="22"/>
        </w:rPr>
      </w:pPr>
      <w:r w:rsidRPr="00DD7BD1">
        <w:rPr>
          <w:rFonts w:cs="Calibri"/>
          <w:color w:val="auto"/>
          <w:szCs w:val="22"/>
        </w:rPr>
        <w:t>Employers may request or receive consumer credit history information pursuant to a lawful subpoena, court order or law enforcement investigation.</w:t>
      </w:r>
    </w:p>
    <w:p w14:paraId="72F8DFFA" w14:textId="77777777" w:rsidR="0054168A" w:rsidRPr="00DD7BD1" w:rsidRDefault="0054168A" w:rsidP="00E55EB5">
      <w:pPr>
        <w:pStyle w:val="Bullet"/>
        <w:numPr>
          <w:ilvl w:val="0"/>
          <w:numId w:val="0"/>
        </w:numPr>
        <w:spacing w:line="240" w:lineRule="auto"/>
        <w:rPr>
          <w:rFonts w:cs="Calibri"/>
          <w:color w:val="auto"/>
          <w:szCs w:val="22"/>
        </w:rPr>
      </w:pPr>
    </w:p>
    <w:p w14:paraId="246BA5B0" w14:textId="77777777" w:rsidR="0054168A" w:rsidRPr="00DD7BD1" w:rsidRDefault="0054168A" w:rsidP="0054168A">
      <w:pPr>
        <w:pStyle w:val="MainTitle"/>
        <w:spacing w:after="0" w:line="240" w:lineRule="auto"/>
        <w:jc w:val="center"/>
        <w:rPr>
          <w:rFonts w:ascii="Calibri" w:hAnsi="Calibri" w:cs="Calibri"/>
          <w:bCs/>
          <w:color w:val="C00000"/>
          <w:sz w:val="28"/>
          <w:szCs w:val="28"/>
          <w:shd w:val="clear" w:color="auto" w:fill="FFFFFF"/>
          <w:lang w:val="en"/>
        </w:rPr>
      </w:pPr>
      <w:r w:rsidRPr="00DD7BD1">
        <w:rPr>
          <w:rFonts w:ascii="Calibri" w:hAnsi="Calibri" w:cs="Calibri"/>
          <w:bCs/>
          <w:color w:val="auto"/>
          <w:sz w:val="28"/>
          <w:szCs w:val="28"/>
          <w:shd w:val="clear" w:color="auto" w:fill="FFFFFF"/>
          <w:lang w:val="en"/>
        </w:rPr>
        <w:t xml:space="preserve">State Expands Paid Family Leave for </w:t>
      </w:r>
      <w:r w:rsidRPr="00DD7BD1">
        <w:rPr>
          <w:rFonts w:ascii="Calibri" w:hAnsi="Calibri" w:cs="Calibri"/>
          <w:bCs/>
          <w:color w:val="auto"/>
          <w:sz w:val="28"/>
          <w:szCs w:val="28"/>
          <w:u w:val="single"/>
          <w:shd w:val="clear" w:color="auto" w:fill="FFFFFF"/>
          <w:lang w:val="en"/>
        </w:rPr>
        <w:t>Construction Workers</w:t>
      </w:r>
      <w:r w:rsidRPr="00DD7BD1">
        <w:rPr>
          <w:rFonts w:ascii="Calibri" w:hAnsi="Calibri" w:cs="Calibri"/>
          <w:bCs/>
          <w:color w:val="auto"/>
          <w:sz w:val="28"/>
          <w:szCs w:val="28"/>
          <w:shd w:val="clear" w:color="auto" w:fill="FFFFFF"/>
          <w:lang w:val="en"/>
        </w:rPr>
        <w:t xml:space="preserve"> Eff </w:t>
      </w:r>
      <w:r w:rsidRPr="00DD7BD1">
        <w:rPr>
          <w:rFonts w:ascii="Calibri" w:hAnsi="Calibri" w:cs="Calibri"/>
          <w:bCs/>
          <w:color w:val="C00000"/>
          <w:sz w:val="28"/>
          <w:szCs w:val="28"/>
          <w:shd w:val="clear" w:color="auto" w:fill="FFFFFF"/>
          <w:lang w:val="en"/>
        </w:rPr>
        <w:t>January 2027</w:t>
      </w:r>
    </w:p>
    <w:p w14:paraId="50C00563"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New York has enacted a</w:t>
      </w:r>
      <w:r w:rsidRPr="00DD7BD1">
        <w:rPr>
          <w:rFonts w:cs="Calibri"/>
          <w:szCs w:val="22"/>
        </w:rPr>
        <w:t xml:space="preserve"> </w:t>
      </w:r>
      <w:hyperlink r:id="rId843" w:history="1">
        <w:r w:rsidRPr="00DD7BD1">
          <w:rPr>
            <w:rStyle w:val="Hyperlink"/>
            <w:rFonts w:cs="Calibri"/>
            <w:szCs w:val="22"/>
          </w:rPr>
          <w:t>bill</w:t>
        </w:r>
      </w:hyperlink>
      <w:r w:rsidRPr="00DD7BD1">
        <w:rPr>
          <w:rFonts w:cs="Calibri"/>
          <w:szCs w:val="22"/>
        </w:rPr>
        <w:t xml:space="preserve"> </w:t>
      </w:r>
      <w:r w:rsidRPr="00DD7BD1">
        <w:rPr>
          <w:rFonts w:cs="Calibri"/>
          <w:color w:val="auto"/>
          <w:szCs w:val="22"/>
        </w:rPr>
        <w:t xml:space="preserve">amending the state’s </w:t>
      </w:r>
      <w:hyperlink r:id="rId844" w:history="1">
        <w:r w:rsidRPr="00DD7BD1">
          <w:rPr>
            <w:rStyle w:val="Hyperlink"/>
            <w:rFonts w:cs="Calibri"/>
            <w:szCs w:val="22"/>
          </w:rPr>
          <w:t>paid family leave (PFL) law</w:t>
        </w:r>
      </w:hyperlink>
      <w:r w:rsidRPr="00DD7BD1">
        <w:rPr>
          <w:rFonts w:cs="Calibri"/>
          <w:szCs w:val="22"/>
        </w:rPr>
        <w:t xml:space="preserve"> </w:t>
      </w:r>
      <w:r w:rsidRPr="00DD7BD1">
        <w:rPr>
          <w:rFonts w:cs="Calibri"/>
          <w:color w:val="auto"/>
          <w:szCs w:val="22"/>
        </w:rPr>
        <w:t xml:space="preserve">to provide coverage for certain collectively bargained workers in construction and related trades. The amendments do not take effect until </w:t>
      </w:r>
      <w:r w:rsidRPr="00DD7BD1">
        <w:rPr>
          <w:rFonts w:cs="Calibri"/>
          <w:b/>
          <w:bCs/>
          <w:color w:val="auto"/>
          <w:szCs w:val="22"/>
        </w:rPr>
        <w:t>January 2027</w:t>
      </w:r>
      <w:r w:rsidRPr="00DD7BD1">
        <w:rPr>
          <w:rFonts w:cs="Calibri"/>
          <w:color w:val="auto"/>
          <w:szCs w:val="22"/>
        </w:rPr>
        <w:t xml:space="preserve">.  </w:t>
      </w:r>
    </w:p>
    <w:p w14:paraId="719B867F" w14:textId="77777777" w:rsidR="0054168A" w:rsidRPr="00DD7BD1" w:rsidRDefault="0054168A" w:rsidP="0054168A">
      <w:pPr>
        <w:pStyle w:val="BodyText"/>
        <w:spacing w:after="0" w:line="240" w:lineRule="auto"/>
        <w:rPr>
          <w:rFonts w:cs="Calibri"/>
          <w:color w:val="auto"/>
          <w:sz w:val="16"/>
          <w:szCs w:val="16"/>
        </w:rPr>
      </w:pPr>
    </w:p>
    <w:p w14:paraId="7683A6AD" w14:textId="77777777" w:rsidR="0054168A" w:rsidRPr="00DD7BD1" w:rsidRDefault="0054168A" w:rsidP="0054168A">
      <w:pPr>
        <w:pStyle w:val="SubHeader"/>
        <w:spacing w:line="240" w:lineRule="auto"/>
        <w:rPr>
          <w:rFonts w:cs="Calibri"/>
          <w:color w:val="auto"/>
          <w:sz w:val="22"/>
          <w:szCs w:val="22"/>
        </w:rPr>
      </w:pPr>
      <w:r w:rsidRPr="00DD7BD1">
        <w:rPr>
          <w:rFonts w:cs="Calibri"/>
          <w:color w:val="auto"/>
          <w:sz w:val="22"/>
          <w:szCs w:val="22"/>
        </w:rPr>
        <w:t>Assembly Bill A4727</w:t>
      </w:r>
    </w:p>
    <w:p w14:paraId="339E3475"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Assembly Bill A4727, which amends the PFL law, establishes a new eligibility standard for construction employees who work for multiple employers pursuant to a collective bargaining agreement. These employees will become eligible for PFL if they have been in employment for at least 26 of the last 39 weeks with a covered employer that is signatory to a collective bargaining agreement. This means that construction employees may be eligible even if their weeks of work were with different employers and not fully consecutive.</w:t>
      </w:r>
    </w:p>
    <w:p w14:paraId="574F3ED9" w14:textId="77777777" w:rsidR="0054168A" w:rsidRPr="00DD7BD1" w:rsidRDefault="0054168A" w:rsidP="0054168A">
      <w:pPr>
        <w:pStyle w:val="BodyText"/>
        <w:spacing w:after="0" w:line="240" w:lineRule="auto"/>
        <w:rPr>
          <w:rFonts w:cs="Calibri"/>
          <w:color w:val="auto"/>
          <w:sz w:val="16"/>
          <w:szCs w:val="16"/>
        </w:rPr>
      </w:pPr>
    </w:p>
    <w:p w14:paraId="162AFC93" w14:textId="77777777" w:rsidR="0054168A" w:rsidRPr="00DD7BD1" w:rsidRDefault="0054168A" w:rsidP="0054168A">
      <w:pPr>
        <w:pStyle w:val="SubHeader"/>
        <w:spacing w:line="240" w:lineRule="auto"/>
        <w:ind w:left="630" w:right="1080"/>
        <w:rPr>
          <w:rFonts w:cs="Calibri"/>
          <w:color w:val="auto"/>
          <w:sz w:val="22"/>
          <w:szCs w:val="22"/>
        </w:rPr>
      </w:pPr>
      <w:r w:rsidRPr="00DD7BD1">
        <w:rPr>
          <w:rFonts w:cs="Calibri"/>
          <w:color w:val="auto"/>
          <w:sz w:val="22"/>
          <w:szCs w:val="22"/>
        </w:rPr>
        <w:t xml:space="preserve">“Construction Employees” </w:t>
      </w:r>
    </w:p>
    <w:p w14:paraId="0A2862E8" w14:textId="77777777" w:rsidR="0054168A" w:rsidRPr="00DD7BD1" w:rsidRDefault="0054168A" w:rsidP="0054168A">
      <w:pPr>
        <w:pStyle w:val="BodyText"/>
        <w:spacing w:after="0" w:line="240" w:lineRule="auto"/>
        <w:ind w:left="630" w:right="1080"/>
        <w:rPr>
          <w:rFonts w:cs="Calibri"/>
          <w:color w:val="auto"/>
          <w:szCs w:val="22"/>
        </w:rPr>
      </w:pPr>
      <w:r w:rsidRPr="00DD7BD1">
        <w:rPr>
          <w:rFonts w:cs="Calibri"/>
          <w:color w:val="auto"/>
          <w:szCs w:val="22"/>
        </w:rPr>
        <w:t>Construction employees are employees who perform construction, demolition, reconstruction, excavation, rehabilitation, repairs, renovations, alterations or improvements for multiple employers pursuant to a collective bargaining agreement.</w:t>
      </w:r>
    </w:p>
    <w:p w14:paraId="4A67070B" w14:textId="77777777" w:rsidR="0054168A" w:rsidRPr="00DD7BD1" w:rsidRDefault="0054168A" w:rsidP="0054168A">
      <w:pPr>
        <w:pStyle w:val="BodyText"/>
        <w:spacing w:after="0" w:line="240" w:lineRule="auto"/>
        <w:ind w:left="630" w:right="1080"/>
        <w:rPr>
          <w:rFonts w:cs="Calibri"/>
          <w:color w:val="auto"/>
          <w:sz w:val="16"/>
          <w:szCs w:val="16"/>
        </w:rPr>
      </w:pPr>
    </w:p>
    <w:p w14:paraId="373F7B8A" w14:textId="066542EA" w:rsidR="005C4C84" w:rsidRPr="00DD7BD1" w:rsidRDefault="0054168A" w:rsidP="0054168A">
      <w:pPr>
        <w:pStyle w:val="BodyText"/>
        <w:rPr>
          <w:rFonts w:cs="Calibri"/>
          <w:color w:val="auto"/>
          <w:szCs w:val="22"/>
        </w:rPr>
      </w:pPr>
      <w:r w:rsidRPr="00DD7BD1">
        <w:rPr>
          <w:rFonts w:cs="Calibri"/>
          <w:color w:val="auto"/>
          <w:szCs w:val="22"/>
        </w:rPr>
        <w:t>ETC does not typically track or report on industry specific enactments.  Applicable employers are encouraged to make note of this upcoming obligation, track updates and ensure compliance ahead of the effective date.</w:t>
      </w:r>
    </w:p>
    <w:p w14:paraId="07EDC0BB" w14:textId="77777777" w:rsidR="00CA67A5" w:rsidRPr="00DD7BD1" w:rsidRDefault="00CA67A5" w:rsidP="00CA67A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Covered Employers Required to Include Opioid Antagonist in First Aid Kits – Eff </w:t>
      </w:r>
      <w:r w:rsidRPr="00DD7BD1">
        <w:rPr>
          <w:rFonts w:ascii="Calibri" w:hAnsi="Calibri" w:cs="Calibri"/>
          <w:b/>
          <w:bCs/>
          <w:color w:val="C00000"/>
          <w:sz w:val="28"/>
          <w:szCs w:val="28"/>
          <w:shd w:val="clear" w:color="auto" w:fill="FFFFFF"/>
          <w:lang w:val="en"/>
        </w:rPr>
        <w:t>June 10, 2026</w:t>
      </w:r>
    </w:p>
    <w:p w14:paraId="470772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response to the growing number of opioid emergencies, Gov. Kathy Hochul (D) signed </w:t>
      </w:r>
      <w:hyperlink r:id="rId845" w:tgtFrame="_blank" w:history="1">
        <w:r w:rsidRPr="00DD7BD1">
          <w:rPr>
            <w:rStyle w:val="Hyperlink"/>
            <w:rFonts w:ascii="Calibri" w:hAnsi="Calibri" w:cs="Calibri"/>
            <w:shd w:val="clear" w:color="auto" w:fill="FFFFFF"/>
          </w:rPr>
          <w:t>Senate Bill S5922/A2725</w:t>
        </w:r>
      </w:hyperlink>
      <w:r w:rsidRPr="00DD7BD1">
        <w:rPr>
          <w:rFonts w:ascii="Calibri" w:hAnsi="Calibri" w:cs="Calibri"/>
          <w:color w:val="C00000"/>
          <w:shd w:val="clear" w:color="auto" w:fill="FFFFFF"/>
        </w:rPr>
        <w:t> </w:t>
      </w:r>
      <w:r w:rsidRPr="00DD7BD1">
        <w:rPr>
          <w:rFonts w:ascii="Calibri" w:hAnsi="Calibri" w:cs="Calibri"/>
          <w:shd w:val="clear" w:color="auto" w:fill="FFFFFF"/>
        </w:rPr>
        <w:t>into law, requiring private employers to include an opioid antagonist where first aid kits are required by federal law.</w:t>
      </w:r>
    </w:p>
    <w:p w14:paraId="03C3EE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addition, Gov. Hochul secured an agreement with the New York Legislature to </w:t>
      </w:r>
      <w:hyperlink r:id="rId846" w:tgtFrame="_blank" w:history="1">
        <w:r w:rsidRPr="00DD7BD1">
          <w:rPr>
            <w:rStyle w:val="Hyperlink"/>
            <w:rFonts w:ascii="Calibri" w:hAnsi="Calibri" w:cs="Calibri"/>
            <w:shd w:val="clear" w:color="auto" w:fill="FFFFFF"/>
          </w:rPr>
          <w:t>amend the Bill</w:t>
        </w:r>
      </w:hyperlink>
      <w:r w:rsidRPr="00DD7BD1">
        <w:rPr>
          <w:rFonts w:ascii="Calibri" w:hAnsi="Calibri" w:cs="Calibri"/>
          <w:color w:val="C00000"/>
          <w:shd w:val="clear" w:color="auto" w:fill="FFFFFF"/>
        </w:rPr>
        <w:t> </w:t>
      </w:r>
      <w:r w:rsidRPr="00DD7BD1">
        <w:rPr>
          <w:rFonts w:ascii="Calibri" w:hAnsi="Calibri" w:cs="Calibri"/>
          <w:shd w:val="clear" w:color="auto" w:fill="FFFFFF"/>
        </w:rPr>
        <w:t>to:</w:t>
      </w:r>
    </w:p>
    <w:p w14:paraId="0EA4C145"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Clarify that opioid antagonists must be kept in the workplace, but not in </w:t>
      </w:r>
      <w:r w:rsidRPr="00DD7BD1">
        <w:rPr>
          <w:rFonts w:ascii="Calibri" w:hAnsi="Calibri" w:cs="Calibri"/>
          <w:i/>
          <w:iCs/>
          <w:shd w:val="clear" w:color="auto" w:fill="FFFFFF"/>
        </w:rPr>
        <w:t>every</w:t>
      </w:r>
      <w:r w:rsidRPr="00DD7BD1">
        <w:rPr>
          <w:rFonts w:ascii="Calibri" w:hAnsi="Calibri" w:cs="Calibri"/>
          <w:shd w:val="clear" w:color="auto" w:fill="FFFFFF"/>
        </w:rPr>
        <w:t> individual first aid kit.</w:t>
      </w:r>
    </w:p>
    <w:p w14:paraId="61972033"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Ensure consistency between this law and other existing opioid overdose prevention programs.</w:t>
      </w:r>
    </w:p>
    <w:p w14:paraId="7DBB1DD7"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Require the New York State Department of Labor to issue rules addressing workplace training and quantities of the antagonists that must be maintained, and to give employers time to comply.</w:t>
      </w:r>
    </w:p>
    <w:p w14:paraId="0E74AEBB"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The law will go into effect on June 10.</w:t>
      </w:r>
    </w:p>
    <w:p w14:paraId="2D5FE585" w14:textId="77777777" w:rsidR="00CA67A5" w:rsidRPr="00DD7BD1" w:rsidRDefault="00CA67A5" w:rsidP="00CA67A5">
      <w:pPr>
        <w:spacing w:after="0" w:line="240" w:lineRule="auto"/>
        <w:rPr>
          <w:rFonts w:ascii="Calibri" w:hAnsi="Calibri" w:cs="Calibri"/>
          <w:sz w:val="16"/>
          <w:szCs w:val="16"/>
          <w:shd w:val="clear" w:color="auto" w:fill="FFFFFF"/>
        </w:rPr>
      </w:pPr>
    </w:p>
    <w:p w14:paraId="52F4F1E3"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b/>
          <w:bCs/>
          <w:shd w:val="clear" w:color="auto" w:fill="FFFFFF"/>
        </w:rPr>
        <w:t>Who is covered?</w:t>
      </w:r>
    </w:p>
    <w:p w14:paraId="19F071C0"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This law applies to</w:t>
      </w:r>
      <w:r w:rsidRPr="00DD7BD1">
        <w:rPr>
          <w:rFonts w:ascii="Calibri" w:hAnsi="Calibri" w:cs="Calibri"/>
          <w:b/>
          <w:bCs/>
          <w:shd w:val="clear" w:color="auto" w:fill="FFFFFF"/>
        </w:rPr>
        <w:t xml:space="preserve"> private employers</w:t>
      </w:r>
      <w:r w:rsidRPr="00DD7BD1">
        <w:rPr>
          <w:rFonts w:ascii="Calibri" w:hAnsi="Calibri" w:cs="Calibri"/>
          <w:shd w:val="clear" w:color="auto" w:fill="FFFFFF"/>
        </w:rPr>
        <w:t xml:space="preserve"> in the State of New York who are</w:t>
      </w:r>
      <w:r w:rsidRPr="00DD7BD1">
        <w:rPr>
          <w:rFonts w:ascii="Calibri" w:hAnsi="Calibri" w:cs="Calibri"/>
          <w:b/>
          <w:bCs/>
          <w:shd w:val="clear" w:color="auto" w:fill="FFFFFF"/>
        </w:rPr>
        <w:t xml:space="preserve"> mandated by the federal Occupational Safety and Health Administration to have first aid kits</w:t>
      </w:r>
      <w:r w:rsidRPr="00DD7BD1">
        <w:rPr>
          <w:rFonts w:ascii="Calibri" w:hAnsi="Calibri" w:cs="Calibri"/>
          <w:shd w:val="clear" w:color="auto" w:fill="FFFFFF"/>
        </w:rPr>
        <w:t>. “Employer” is defined as “any person, corporation, limited liability company, or association employing any individual in any occupation, industry, trade, business, or service.” </w:t>
      </w:r>
      <w:hyperlink r:id="rId847" w:tgtFrame="_blank" w:history="1">
        <w:r w:rsidRPr="00DD7BD1">
          <w:rPr>
            <w:rStyle w:val="Hyperlink"/>
            <w:rFonts w:ascii="Calibri" w:hAnsi="Calibri" w:cs="Calibri"/>
            <w:shd w:val="clear" w:color="auto" w:fill="FFFFFF"/>
          </w:rPr>
          <w:t>OSHA regulations</w:t>
        </w:r>
      </w:hyperlink>
      <w:r w:rsidRPr="00DD7BD1">
        <w:rPr>
          <w:rFonts w:ascii="Calibri" w:hAnsi="Calibri" w:cs="Calibri"/>
          <w:shd w:val="clear" w:color="auto" w:fill="FFFFFF"/>
        </w:rPr>
        <w:t> provide that, if an infirmary, clinic, or hospital is not close to the workplace, adequate first aid supplies must be readily available.</w:t>
      </w:r>
    </w:p>
    <w:p w14:paraId="384895E3" w14:textId="77777777" w:rsidR="00CA67A5" w:rsidRPr="00DD7BD1" w:rsidRDefault="00CA67A5" w:rsidP="00CA67A5">
      <w:pPr>
        <w:spacing w:after="0" w:line="240" w:lineRule="auto"/>
        <w:rPr>
          <w:rFonts w:ascii="Calibri" w:hAnsi="Calibri" w:cs="Calibri"/>
          <w:sz w:val="16"/>
          <w:szCs w:val="16"/>
          <w:shd w:val="clear" w:color="auto" w:fill="FFFFFF"/>
          <w:lang w:val="en"/>
        </w:rPr>
      </w:pPr>
    </w:p>
    <w:p w14:paraId="53AAF5B6" w14:textId="77777777" w:rsidR="00CA67A5" w:rsidRPr="00DD7BD1" w:rsidRDefault="00CA67A5" w:rsidP="00CA67A5">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protections</w:t>
      </w:r>
    </w:p>
    <w:p w14:paraId="60A1358F"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Addressing the concern about legal implications associated with administering opioid antagonists, New York law provides certain legal protections to employers:</w:t>
      </w:r>
    </w:p>
    <w:p w14:paraId="2390A51D" w14:textId="77777777" w:rsidR="00CA67A5" w:rsidRPr="00DD7BD1" w:rsidRDefault="00CA67A5" w:rsidP="00CA67A5">
      <w:pPr>
        <w:numPr>
          <w:ilvl w:val="0"/>
          <w:numId w:val="311"/>
        </w:numPr>
        <w:spacing w:after="0" w:line="240" w:lineRule="auto"/>
        <w:rPr>
          <w:rFonts w:ascii="Calibri" w:hAnsi="Calibri" w:cs="Calibri"/>
          <w:color w:val="C00000"/>
          <w:shd w:val="clear" w:color="auto" w:fill="FFFFFF"/>
        </w:rPr>
      </w:pPr>
      <w:hyperlink r:id="rId848" w:tgtFrame="_blank" w:history="1">
        <w:r w:rsidRPr="00DD7BD1">
          <w:rPr>
            <w:rStyle w:val="Hyperlink"/>
            <w:rFonts w:ascii="Calibri" w:hAnsi="Calibri" w:cs="Calibri"/>
            <w:shd w:val="clear" w:color="auto" w:fill="FFFFFF"/>
          </w:rPr>
          <w:t>Public Health Law § 3309(4)(b)</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civil, criminal, and professional liability protections for individuals and organizations who administer opioid antagonists reasonably and in good faith.</w:t>
      </w:r>
    </w:p>
    <w:p w14:paraId="198FD430" w14:textId="62FB5B2C" w:rsidR="00CA67A5" w:rsidRPr="00DD7BD1" w:rsidRDefault="00CA67A5" w:rsidP="0054168A">
      <w:pPr>
        <w:numPr>
          <w:ilvl w:val="0"/>
          <w:numId w:val="311"/>
        </w:numPr>
        <w:spacing w:after="0" w:line="240" w:lineRule="auto"/>
        <w:rPr>
          <w:rFonts w:ascii="Calibri" w:hAnsi="Calibri" w:cs="Calibri"/>
          <w:shd w:val="clear" w:color="auto" w:fill="FFFFFF"/>
        </w:rPr>
      </w:pPr>
      <w:hyperlink r:id="rId849" w:tgtFrame="_blank" w:history="1">
        <w:r w:rsidRPr="00DD7BD1">
          <w:rPr>
            <w:rStyle w:val="Hyperlink"/>
            <w:rFonts w:ascii="Calibri" w:hAnsi="Calibri" w:cs="Calibri"/>
            <w:shd w:val="clear" w:color="auto" w:fill="FFFFFF"/>
          </w:rPr>
          <w:t>The New York State 911 Good Samaritan Law</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protections against criminal liability for individuals who call for emergency assistance in the event of a drug or alcohol overdose that requires emergency medical care.</w:t>
      </w:r>
    </w:p>
    <w:p w14:paraId="0596ED48" w14:textId="77777777" w:rsidR="00EA52CC" w:rsidRPr="00DD7BD1" w:rsidRDefault="00EA52CC" w:rsidP="00EA52CC">
      <w:pPr>
        <w:spacing w:after="0" w:line="240" w:lineRule="auto"/>
        <w:ind w:left="720"/>
        <w:rPr>
          <w:rFonts w:ascii="Calibri" w:hAnsi="Calibri" w:cs="Calibri"/>
          <w:shd w:val="clear" w:color="auto" w:fill="FFFFFF"/>
        </w:rPr>
      </w:pPr>
    </w:p>
    <w:p w14:paraId="617E38A2" w14:textId="77777777" w:rsidR="00706B1C" w:rsidRPr="00DD7BD1" w:rsidRDefault="00706B1C" w:rsidP="0071000E">
      <w:pPr>
        <w:spacing w:after="0" w:line="240" w:lineRule="auto"/>
        <w:jc w:val="center"/>
        <w:rPr>
          <w:rFonts w:ascii="Calibri" w:hAnsi="Calibri" w:cs="Calibri"/>
          <w:b/>
          <w:bCs/>
          <w:sz w:val="28"/>
          <w:szCs w:val="28"/>
          <w:shd w:val="clear" w:color="auto" w:fill="FFFFFF"/>
          <w:lang w:val="en"/>
        </w:rPr>
      </w:pPr>
      <w:bookmarkStart w:id="123" w:name="_Hlk212644245"/>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State’s Ban on Stay-or-Pay Agreements Eff </w:t>
      </w:r>
      <w:r w:rsidRPr="00DD7BD1">
        <w:rPr>
          <w:rFonts w:ascii="Calibri" w:hAnsi="Calibri" w:cs="Calibri"/>
          <w:b/>
          <w:bCs/>
          <w:color w:val="C00000"/>
          <w:sz w:val="28"/>
          <w:szCs w:val="28"/>
          <w:shd w:val="clear" w:color="auto" w:fill="FFFFFF"/>
          <w:lang w:val="en"/>
        </w:rPr>
        <w:t>Dec 19, 2025</w:t>
      </w:r>
    </w:p>
    <w:p w14:paraId="424F7D69" w14:textId="77777777" w:rsidR="00706B1C" w:rsidRPr="00DD7BD1" w:rsidRDefault="00706B1C" w:rsidP="0071000E">
      <w:pPr>
        <w:spacing w:after="0" w:line="240" w:lineRule="auto"/>
        <w:rPr>
          <w:rFonts w:ascii="Calibri" w:hAnsi="Calibri" w:cs="Calibri"/>
        </w:rPr>
      </w:pPr>
      <w:r w:rsidRPr="00DD7BD1">
        <w:rPr>
          <w:rFonts w:ascii="Calibri" w:hAnsi="Calibri" w:cs="Calibri"/>
        </w:rPr>
        <w:t xml:space="preserve">As a reminder, on </w:t>
      </w:r>
      <w:r w:rsidRPr="00DD7BD1">
        <w:rPr>
          <w:rFonts w:ascii="Calibri" w:hAnsi="Calibri" w:cs="Calibri"/>
          <w:b/>
          <w:bCs/>
        </w:rPr>
        <w:t>Dec. 19, 2025</w:t>
      </w:r>
      <w:r w:rsidRPr="00DD7BD1">
        <w:rPr>
          <w:rFonts w:ascii="Calibri" w:hAnsi="Calibri" w:cs="Calibri"/>
        </w:rPr>
        <w:t xml:space="preserve">, New York passed the </w:t>
      </w:r>
      <w:hyperlink r:id="rId850" w:history="1">
        <w:r w:rsidRPr="00DD7BD1">
          <w:rPr>
            <w:rStyle w:val="Hyperlink"/>
            <w:rFonts w:ascii="Calibri" w:hAnsi="Calibri" w:cs="Calibri"/>
          </w:rPr>
          <w:t>Trapped at Work Act</w:t>
        </w:r>
      </w:hyperlink>
      <w:r w:rsidRPr="00DD7BD1">
        <w:rPr>
          <w:rFonts w:ascii="Calibri" w:hAnsi="Calibri" w:cs="Calibri"/>
        </w:rPr>
        <w:t xml:space="preserve"> (Act), which bans employers from entering into stay-or-pay agreements with workers. The law went into effect immediately. </w:t>
      </w:r>
    </w:p>
    <w:p w14:paraId="7E8B07D2" w14:textId="77777777" w:rsidR="00706B1C" w:rsidRPr="00DD7BD1" w:rsidRDefault="00706B1C" w:rsidP="0071000E">
      <w:pPr>
        <w:spacing w:after="0" w:line="240" w:lineRule="auto"/>
        <w:rPr>
          <w:rFonts w:ascii="Calibri" w:hAnsi="Calibri" w:cs="Calibri"/>
          <w:sz w:val="16"/>
          <w:szCs w:val="16"/>
        </w:rPr>
      </w:pPr>
    </w:p>
    <w:p w14:paraId="36B80BF6" w14:textId="77777777" w:rsidR="00706B1C" w:rsidRPr="00DD7BD1" w:rsidRDefault="00706B1C" w:rsidP="0071000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Employers are encouraged to review and update existing employment contract templates to ensure they do not contain any unlawful stay-or-pay provisions. Employers may also consider revising any unlawful contracts or repayment programs to comply with one of the law’s enumerated exceptions.</w:t>
      </w:r>
    </w:p>
    <w:p w14:paraId="4DAF9BD5" w14:textId="77777777" w:rsidR="00706B1C" w:rsidRPr="00DD7BD1" w:rsidRDefault="00706B1C" w:rsidP="0071000E">
      <w:pPr>
        <w:spacing w:after="0" w:line="240" w:lineRule="auto"/>
        <w:rPr>
          <w:rFonts w:ascii="Calibri" w:hAnsi="Calibri" w:cs="Calibri"/>
          <w:sz w:val="16"/>
          <w:szCs w:val="16"/>
        </w:rPr>
      </w:pPr>
    </w:p>
    <w:p w14:paraId="64FA0E72"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the Act</w:t>
      </w:r>
    </w:p>
    <w:p w14:paraId="680923F9" w14:textId="77777777" w:rsidR="00706B1C" w:rsidRPr="00DD7BD1" w:rsidRDefault="00706B1C" w:rsidP="0071000E">
      <w:pPr>
        <w:spacing w:after="0" w:line="240" w:lineRule="auto"/>
        <w:rPr>
          <w:rFonts w:ascii="Calibri" w:hAnsi="Calibri" w:cs="Calibri"/>
        </w:rPr>
      </w:pPr>
      <w:r w:rsidRPr="00DD7BD1">
        <w:rPr>
          <w:rFonts w:ascii="Calibri" w:hAnsi="Calibri" w:cs="Calibri"/>
        </w:rPr>
        <w:t>As of Dec. 19, 2025, employers are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w:t>
      </w:r>
    </w:p>
    <w:p w14:paraId="41B5EB43" w14:textId="77777777" w:rsidR="00706B1C" w:rsidRPr="00DD7BD1" w:rsidRDefault="00706B1C" w:rsidP="0071000E">
      <w:pPr>
        <w:spacing w:after="0" w:line="240" w:lineRule="auto"/>
        <w:rPr>
          <w:rFonts w:ascii="Calibri" w:hAnsi="Calibri" w:cs="Calibri"/>
          <w:b/>
          <w:bCs/>
          <w:i/>
          <w:iCs/>
          <w:sz w:val="16"/>
          <w:szCs w:val="16"/>
        </w:rPr>
      </w:pPr>
    </w:p>
    <w:p w14:paraId="7B0F4114" w14:textId="77777777" w:rsidR="00706B1C" w:rsidRPr="00DD7BD1" w:rsidRDefault="00706B1C" w:rsidP="0071000E">
      <w:pPr>
        <w:spacing w:after="0" w:line="240" w:lineRule="auto"/>
        <w:rPr>
          <w:rFonts w:ascii="Calibri" w:hAnsi="Calibri" w:cs="Calibri"/>
          <w:b/>
          <w:bCs/>
          <w:i/>
          <w:iCs/>
        </w:rPr>
      </w:pPr>
      <w:r w:rsidRPr="00DD7BD1">
        <w:rPr>
          <w:rFonts w:ascii="Calibri" w:hAnsi="Calibri" w:cs="Calibri"/>
          <w:b/>
          <w:bCs/>
          <w:i/>
          <w:iCs/>
        </w:rPr>
        <w:t>Exceptions</w:t>
      </w:r>
    </w:p>
    <w:p w14:paraId="13409102" w14:textId="77777777" w:rsidR="00706B1C" w:rsidRPr="00DD7BD1" w:rsidRDefault="00706B1C" w:rsidP="0071000E">
      <w:pPr>
        <w:spacing w:after="0" w:line="240" w:lineRule="auto"/>
        <w:rPr>
          <w:rFonts w:ascii="Calibri" w:hAnsi="Calibri" w:cs="Calibri"/>
        </w:rPr>
      </w:pPr>
      <w:r w:rsidRPr="00DD7BD1">
        <w:rPr>
          <w:rFonts w:ascii="Calibri" w:hAnsi="Calibri" w:cs="Calibri"/>
        </w:rPr>
        <w:t>However, employers and workers may enter into agreements that:</w:t>
      </w:r>
    </w:p>
    <w:p w14:paraId="2F07AD3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the worker to repay to the employer any sums advanced by the employer, unless such sums were used to pay for training related to the worker’s employment with the employer;</w:t>
      </w:r>
    </w:p>
    <w:p w14:paraId="548C7590"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the worker to pay the employer for any property it has sold or leased to the worker;</w:t>
      </w:r>
    </w:p>
    <w:p w14:paraId="2B86EEB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72803D9D"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 xml:space="preserve">Are entered into as part of a collective bargaining agreement. </w:t>
      </w:r>
    </w:p>
    <w:p w14:paraId="3CC8A227" w14:textId="77777777" w:rsidR="00706B1C" w:rsidRPr="00DD7BD1" w:rsidRDefault="00706B1C" w:rsidP="0071000E">
      <w:pPr>
        <w:spacing w:after="0" w:line="240" w:lineRule="auto"/>
        <w:rPr>
          <w:rFonts w:ascii="Calibri" w:hAnsi="Calibri" w:cs="Calibri"/>
          <w:sz w:val="16"/>
          <w:szCs w:val="16"/>
        </w:rPr>
      </w:pPr>
    </w:p>
    <w:p w14:paraId="78017E38"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Penalties</w:t>
      </w:r>
    </w:p>
    <w:p w14:paraId="0AEDD7D8" w14:textId="3D3E83D8" w:rsidR="00706B1C" w:rsidRPr="00DD7BD1" w:rsidRDefault="00706B1C" w:rsidP="0071000E">
      <w:pPr>
        <w:spacing w:after="0" w:line="240" w:lineRule="auto"/>
        <w:rPr>
          <w:rFonts w:ascii="Calibri" w:hAnsi="Calibri" w:cs="Calibri"/>
        </w:rPr>
      </w:pPr>
      <w:r w:rsidRPr="00DD7BD1">
        <w:rPr>
          <w:rFonts w:ascii="Calibri" w:hAnsi="Calibri" w:cs="Calibri"/>
        </w:rPr>
        <w:t>Employers who violate the Act may be subject to fines ranging from $1,000 to $5,000 per violation. In addition, an employee who is sued by an employer to enforce an unenforceable stay-or-pay agreement may be able to recover attorney fees.</w:t>
      </w:r>
    </w:p>
    <w:p w14:paraId="28C790B6" w14:textId="77777777" w:rsidR="0071000E" w:rsidRPr="00DD7BD1" w:rsidRDefault="0071000E" w:rsidP="0071000E">
      <w:pPr>
        <w:spacing w:after="0" w:line="240" w:lineRule="auto"/>
        <w:rPr>
          <w:rFonts w:ascii="Calibri" w:hAnsi="Calibri" w:cs="Calibri"/>
        </w:rPr>
      </w:pPr>
    </w:p>
    <w:p w14:paraId="6F138327" w14:textId="72037D61" w:rsidR="00676358" w:rsidRPr="00DD7BD1" w:rsidRDefault="00676358" w:rsidP="0067635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“Trapped at Work Act” Prohibits Employers from Requiring Certain Repayments for Early Separations</w:t>
      </w:r>
    </w:p>
    <w:p w14:paraId="5A9B569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On Dec. 19, New York Gov. Kathy Hochul signed into law</w:t>
      </w:r>
      <w:r w:rsidRPr="00DD7BD1">
        <w:rPr>
          <w:rFonts w:ascii="Calibri" w:hAnsi="Calibri" w:cs="Calibri"/>
          <w:color w:val="C00000"/>
          <w:shd w:val="clear" w:color="auto" w:fill="FFFFFF"/>
        </w:rPr>
        <w:t> </w:t>
      </w:r>
      <w:hyperlink r:id="rId851" w:tgtFrame="_blank" w:history="1">
        <w:r w:rsidRPr="00DD7BD1">
          <w:rPr>
            <w:rStyle w:val="Hyperlink"/>
            <w:rFonts w:ascii="Calibri" w:hAnsi="Calibri" w:cs="Calibri"/>
            <w:shd w:val="clear" w:color="auto" w:fill="FFFFFF"/>
          </w:rPr>
          <w:t>Assembly Bill A584C</w:t>
        </w:r>
      </w:hyperlink>
      <w:r w:rsidRPr="00DD7BD1">
        <w:rPr>
          <w:rFonts w:ascii="Calibri" w:hAnsi="Calibri" w:cs="Calibri"/>
          <w:shd w:val="clear" w:color="auto" w:fill="FFFFFF"/>
        </w:rPr>
        <w:t>, known as the “</w:t>
      </w:r>
      <w:r w:rsidRPr="00DD7BD1">
        <w:rPr>
          <w:rFonts w:ascii="Calibri" w:hAnsi="Calibri" w:cs="Calibri"/>
          <w:b/>
          <w:bCs/>
          <w:shd w:val="clear" w:color="auto" w:fill="FFFFFF"/>
        </w:rPr>
        <w:t>Trapped at Work Act</w:t>
      </w:r>
      <w:r w:rsidRPr="00DD7BD1">
        <w:rPr>
          <w:rFonts w:ascii="Calibri" w:hAnsi="Calibri" w:cs="Calibri"/>
          <w:shd w:val="clear" w:color="auto" w:fill="FFFFFF"/>
        </w:rPr>
        <w:t>,” which took effect immediately and amends the New York Labor Law to prohibit the use of certain “stay-or-pay” agreements that require workers to pay their employer if they leave their job before a specified date.</w:t>
      </w:r>
    </w:p>
    <w:p w14:paraId="1454EBFE"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Prohibition of Employment Promissory Notes</w:t>
      </w:r>
    </w:p>
    <w:p w14:paraId="18EE37A8"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Trapped at Work Act (which adds Article 37, N.Y. Lab. Law §§ 1050–55) </w:t>
      </w:r>
      <w:r w:rsidRPr="00DD7BD1">
        <w:rPr>
          <w:rFonts w:ascii="Calibri" w:hAnsi="Calibri" w:cs="Calibri"/>
          <w:u w:val="single"/>
          <w:shd w:val="clear" w:color="auto" w:fill="FFFFFF"/>
        </w:rPr>
        <w:t>prohibits</w:t>
      </w:r>
      <w:r w:rsidRPr="00DD7BD1">
        <w:rPr>
          <w:rFonts w:ascii="Calibri" w:hAnsi="Calibri" w:cs="Calibri"/>
          <w:shd w:val="clear" w:color="auto" w:fill="FFFFFF"/>
        </w:rPr>
        <w:t xml:space="preserve"> employers from r</w:t>
      </w:r>
      <w:r w:rsidRPr="00DD7BD1">
        <w:rPr>
          <w:rFonts w:ascii="Calibri" w:hAnsi="Calibri" w:cs="Calibri"/>
          <w:u w:val="single"/>
          <w:shd w:val="clear" w:color="auto" w:fill="FFFFFF"/>
        </w:rPr>
        <w:t>equiring workers</w:t>
      </w:r>
      <w:r w:rsidRPr="00DD7BD1">
        <w:rPr>
          <w:rFonts w:ascii="Calibri" w:hAnsi="Calibri" w:cs="Calibri"/>
          <w:shd w:val="clear" w:color="auto" w:fill="FFFFFF"/>
        </w:rPr>
        <w:t xml:space="preserve"> or prospective workers to execute an </w:t>
      </w:r>
      <w:r w:rsidRPr="00DD7BD1">
        <w:rPr>
          <w:rFonts w:ascii="Calibri" w:hAnsi="Calibri" w:cs="Calibri"/>
          <w:u w:val="single"/>
          <w:shd w:val="clear" w:color="auto" w:fill="FFFFFF"/>
        </w:rPr>
        <w:t>employment promissory note as a condition of employment</w:t>
      </w:r>
      <w:r w:rsidRPr="00DD7BD1">
        <w:rPr>
          <w:rFonts w:ascii="Calibri" w:hAnsi="Calibri" w:cs="Calibri"/>
          <w:shd w:val="clear" w:color="auto" w:fill="FFFFFF"/>
        </w:rPr>
        <w:t xml:space="preserve">. </w:t>
      </w:r>
    </w:p>
    <w:p w14:paraId="05D9ED58" w14:textId="77777777" w:rsidR="00676358" w:rsidRPr="00DD7BD1" w:rsidRDefault="00676358" w:rsidP="00676358">
      <w:pPr>
        <w:spacing w:after="0" w:line="240" w:lineRule="auto"/>
        <w:rPr>
          <w:rFonts w:ascii="Calibri" w:hAnsi="Calibri" w:cs="Calibri"/>
          <w:sz w:val="16"/>
          <w:szCs w:val="16"/>
          <w:shd w:val="clear" w:color="auto" w:fill="FFFFFF"/>
        </w:rPr>
      </w:pPr>
    </w:p>
    <w:p w14:paraId="1472FD1F"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Employment promissory notes are defined to include any agreement that </w:t>
      </w:r>
      <w:r w:rsidRPr="00DD7BD1">
        <w:rPr>
          <w:rFonts w:ascii="Calibri" w:hAnsi="Calibri" w:cs="Calibri"/>
          <w:u w:val="single"/>
          <w:shd w:val="clear" w:color="auto" w:fill="FFFFFF"/>
        </w:rPr>
        <w:t>requires the worker to repay a sum to the employer if the worker leaves before a stated time.</w:t>
      </w:r>
      <w:r w:rsidRPr="00DD7BD1">
        <w:rPr>
          <w:rFonts w:ascii="Calibri" w:hAnsi="Calibri" w:cs="Calibri"/>
          <w:shd w:val="clear" w:color="auto" w:fill="FFFFFF"/>
        </w:rPr>
        <w:t xml:space="preserve"> The statutory definition explicitly identifies training reimbursement agreements as covered but is not limited to such arrangements. The law applies to employees, independent contractors, interns and volunteers. It characterizes employment promissory notes as “unconscionable, against public policy, and unenforceable,” because such repayment agreements may have the effect of “trapping” workers in undesirable work environments they would otherwise leave.</w:t>
      </w:r>
    </w:p>
    <w:p w14:paraId="1A6551ED" w14:textId="77777777" w:rsidR="00676358" w:rsidRPr="00DD7BD1" w:rsidRDefault="00676358" w:rsidP="00676358">
      <w:pPr>
        <w:spacing w:after="0" w:line="240" w:lineRule="auto"/>
        <w:rPr>
          <w:rFonts w:ascii="Calibri" w:hAnsi="Calibri" w:cs="Calibri"/>
          <w:b/>
          <w:bCs/>
          <w:sz w:val="16"/>
          <w:szCs w:val="16"/>
          <w:shd w:val="clear" w:color="auto" w:fill="FFFFFF"/>
        </w:rPr>
      </w:pPr>
    </w:p>
    <w:p w14:paraId="3C04A566"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Exceptions</w:t>
      </w:r>
    </w:p>
    <w:p w14:paraId="194A0BA7"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does </w:t>
      </w:r>
      <w:r w:rsidRPr="00DD7BD1">
        <w:rPr>
          <w:rFonts w:ascii="Calibri" w:hAnsi="Calibri" w:cs="Calibri"/>
          <w:b/>
          <w:bCs/>
          <w:shd w:val="clear" w:color="auto" w:fill="FFFFFF"/>
        </w:rPr>
        <w:t>not apply</w:t>
      </w:r>
      <w:r w:rsidRPr="00DD7BD1">
        <w:rPr>
          <w:rFonts w:ascii="Calibri" w:hAnsi="Calibri" w:cs="Calibri"/>
          <w:shd w:val="clear" w:color="auto" w:fill="FFFFFF"/>
        </w:rPr>
        <w:t xml:space="preserve"> to agreements that require the </w:t>
      </w:r>
      <w:r w:rsidRPr="00DD7BD1">
        <w:rPr>
          <w:rFonts w:ascii="Calibri" w:hAnsi="Calibri" w:cs="Calibri"/>
          <w:u w:val="single"/>
          <w:shd w:val="clear" w:color="auto" w:fill="FFFFFF"/>
        </w:rPr>
        <w:t>repayment of “any sums </w:t>
      </w:r>
      <w:r w:rsidRPr="00DD7BD1">
        <w:rPr>
          <w:rFonts w:ascii="Calibri" w:hAnsi="Calibri" w:cs="Calibri"/>
          <w:i/>
          <w:iCs/>
          <w:u w:val="single"/>
          <w:shd w:val="clear" w:color="auto" w:fill="FFFFFF"/>
        </w:rPr>
        <w:t>advanced</w:t>
      </w:r>
      <w:r w:rsidRPr="00DD7BD1">
        <w:rPr>
          <w:rFonts w:ascii="Calibri" w:hAnsi="Calibri" w:cs="Calibri"/>
          <w:u w:val="single"/>
          <w:shd w:val="clear" w:color="auto" w:fill="FFFFFF"/>
        </w:rPr>
        <w:t xml:space="preserve"> to such worker” </w:t>
      </w:r>
      <w:r w:rsidRPr="00DD7BD1">
        <w:rPr>
          <w:rFonts w:ascii="Calibri" w:hAnsi="Calibri" w:cs="Calibri"/>
          <w:shd w:val="clear" w:color="auto" w:fill="FFFFFF"/>
        </w:rPr>
        <w:t xml:space="preserve">(provided that sums are not advanced to pay for training), among other limited exceptions. </w:t>
      </w:r>
    </w:p>
    <w:p w14:paraId="48ADD817" w14:textId="77777777" w:rsidR="00676358" w:rsidRPr="00DD7BD1" w:rsidRDefault="00676358" w:rsidP="00676358">
      <w:pPr>
        <w:spacing w:after="0" w:line="240" w:lineRule="auto"/>
        <w:rPr>
          <w:rFonts w:ascii="Calibri" w:hAnsi="Calibri" w:cs="Calibri"/>
          <w:shd w:val="clear" w:color="auto" w:fill="FFFFFF"/>
        </w:rPr>
      </w:pPr>
    </w:p>
    <w:p w14:paraId="5047BCB3"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Although the exact meaning of this language is somewhat unclear, “any sums advanced to such worker by the employer” appears to be broader than traditional advances of salary or wages. Thus, the statute appears to permit repayment agreements related to any sum paid to the employee, including sign-on bonuses, unless the money is intended for training. Regulations to be promulgated by the New York Department of Labor may clarify this exception. The law also excludes agreements that require payment for any property sold or leased by the employer to the worker, agreements that require education personnel to comply with the terms and conditions of sabbatical leaves, and agreements entered into as part of a collective bargaining agreement.</w:t>
      </w:r>
    </w:p>
    <w:p w14:paraId="6B1F10C4" w14:textId="77777777" w:rsidR="00676358" w:rsidRPr="00DD7BD1" w:rsidRDefault="00676358" w:rsidP="00676358">
      <w:pPr>
        <w:spacing w:after="0" w:line="240" w:lineRule="auto"/>
        <w:rPr>
          <w:rFonts w:ascii="Calibri" w:hAnsi="Calibri" w:cs="Calibri"/>
          <w:sz w:val="16"/>
          <w:szCs w:val="16"/>
          <w:shd w:val="clear" w:color="auto" w:fill="FFFFFF"/>
        </w:rPr>
      </w:pPr>
    </w:p>
    <w:p w14:paraId="21D3251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Gov. Hochul’s approval memorandum explains that “[t]raining repayment agreement provisions (‘TRAPS’) and other forms of stay-or-pay contracts force employees to stay in jobs they do not want under threat of financial penalties.” She notes the law’s ambiguity, however, and says it is not intended to prohibit “certain voluntary tuition assistance programs that provide real benefits to their participants.” The memorandum adds that there is an agreement with the legislature to address these concerns in the upcoming legislative session.</w:t>
      </w:r>
    </w:p>
    <w:p w14:paraId="3C41CC60" w14:textId="77777777" w:rsidR="00676358" w:rsidRPr="00DD7BD1" w:rsidRDefault="00676358" w:rsidP="00676358">
      <w:pPr>
        <w:spacing w:after="0" w:line="240" w:lineRule="auto"/>
        <w:rPr>
          <w:rFonts w:ascii="Calibri" w:hAnsi="Calibri" w:cs="Calibri"/>
          <w:sz w:val="16"/>
          <w:szCs w:val="16"/>
          <w:shd w:val="clear" w:color="auto" w:fill="FFFFFF"/>
        </w:rPr>
      </w:pPr>
    </w:p>
    <w:p w14:paraId="68D98BE0" w14:textId="1980DEE6" w:rsidR="00441D0D" w:rsidRPr="00DD7BD1" w:rsidRDefault="00676358" w:rsidP="00125178">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 Away:</w:t>
      </w:r>
      <w:r w:rsidRPr="00DD7BD1">
        <w:rPr>
          <w:rFonts w:ascii="Calibri" w:hAnsi="Calibri" w:cs="Calibri"/>
          <w:shd w:val="clear" w:color="auto" w:fill="FFFFFF"/>
        </w:rPr>
        <w:t xml:space="preserve"> New York employers should be cautious when requiring workers to make any repayments because of early departure/separation from the organization as violations carry fines of up to $5,000 for each worker/prospective worker required to execute a prohibited agreement.</w:t>
      </w:r>
    </w:p>
    <w:p w14:paraId="4B7565BC" w14:textId="77777777" w:rsidR="00125178" w:rsidRPr="00DD7BD1" w:rsidRDefault="00125178" w:rsidP="00125178">
      <w:pPr>
        <w:spacing w:after="0" w:line="240" w:lineRule="auto"/>
        <w:rPr>
          <w:rFonts w:ascii="Calibri" w:hAnsi="Calibri" w:cs="Calibri"/>
          <w:shd w:val="clear" w:color="auto" w:fill="FFFFFF"/>
        </w:rPr>
      </w:pPr>
    </w:p>
    <w:p w14:paraId="39B81E79" w14:textId="5DDFAC15" w:rsidR="00441D0D" w:rsidRPr="00DD7BD1" w:rsidRDefault="00441D0D" w:rsidP="0012517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u w:val="single"/>
          <w:shd w:val="clear" w:color="auto" w:fill="FFFFFF"/>
          <w:lang w:val="en"/>
        </w:rPr>
        <w:t xml:space="preserve">NYC </w:t>
      </w:r>
      <w:r w:rsidRPr="00DD7BD1">
        <w:rPr>
          <w:rFonts w:ascii="Calibri" w:hAnsi="Calibri" w:cs="Calibri"/>
          <w:b/>
          <w:bCs/>
          <w:sz w:val="28"/>
          <w:szCs w:val="28"/>
          <w:shd w:val="clear" w:color="auto" w:fill="FFFFFF"/>
          <w:lang w:val="en"/>
        </w:rPr>
        <w:t>Enacts New Pay Data Reporting Requirements-Employer Obligations Years Away</w:t>
      </w:r>
    </w:p>
    <w:p w14:paraId="6775E398"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On Dec. 4, 2025, New York City enacted two pay data reporting laws, </w:t>
      </w:r>
      <w:hyperlink r:id="rId852" w:history="1">
        <w:r w:rsidRPr="00DD7BD1">
          <w:rPr>
            <w:rStyle w:val="Hyperlink"/>
            <w:rFonts w:ascii="Calibri" w:hAnsi="Calibri" w:cs="Calibri"/>
          </w:rPr>
          <w:t>one</w:t>
        </w:r>
      </w:hyperlink>
      <w:r w:rsidRPr="00DD7BD1">
        <w:rPr>
          <w:rFonts w:ascii="Calibri" w:hAnsi="Calibri" w:cs="Calibri"/>
        </w:rPr>
        <w:t xml:space="preserve"> that </w:t>
      </w:r>
      <w:r w:rsidRPr="00DD7BD1">
        <w:rPr>
          <w:rFonts w:ascii="Calibri" w:hAnsi="Calibri" w:cs="Calibri"/>
          <w:u w:val="single"/>
        </w:rPr>
        <w:t>req</w:t>
      </w:r>
      <w:r w:rsidRPr="00DD7BD1">
        <w:rPr>
          <w:rFonts w:ascii="Calibri" w:hAnsi="Calibri" w:cs="Calibri"/>
        </w:rPr>
        <w:t xml:space="preserve">uires covered employers to submit annual pay data reports and </w:t>
      </w:r>
      <w:hyperlink r:id="rId853" w:history="1">
        <w:r w:rsidRPr="00DD7BD1">
          <w:rPr>
            <w:rStyle w:val="Hyperlink"/>
            <w:rFonts w:ascii="Calibri" w:hAnsi="Calibri" w:cs="Calibri"/>
            <w:u w:val="none"/>
          </w:rPr>
          <w:t>another</w:t>
        </w:r>
      </w:hyperlink>
      <w:r w:rsidRPr="00DD7BD1">
        <w:rPr>
          <w:rFonts w:ascii="Calibri" w:hAnsi="Calibri" w:cs="Calibri"/>
        </w:rPr>
        <w:t xml:space="preserve"> that commissions a study of the data to determine pay disparities. The new laws went into effect immediately.</w:t>
      </w:r>
    </w:p>
    <w:p w14:paraId="30A91DAE" w14:textId="77777777" w:rsidR="00441D0D" w:rsidRPr="00DD7BD1" w:rsidRDefault="00441D0D" w:rsidP="00125178">
      <w:pPr>
        <w:pStyle w:val="Heading2"/>
        <w:spacing w:before="0" w:line="240" w:lineRule="auto"/>
        <w:rPr>
          <w:rFonts w:ascii="Calibri" w:hAnsi="Calibri" w:cs="Calibri"/>
          <w:b/>
          <w:bCs/>
          <w:color w:val="auto"/>
          <w:sz w:val="12"/>
          <w:szCs w:val="12"/>
        </w:rPr>
      </w:pPr>
    </w:p>
    <w:p w14:paraId="62E45F6B"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Pay Data Reporting Requirements</w:t>
      </w:r>
    </w:p>
    <w:p w14:paraId="6E2D8973" w14:textId="77777777" w:rsidR="00441D0D" w:rsidRPr="00DD7BD1" w:rsidRDefault="00441D0D" w:rsidP="00125178">
      <w:pPr>
        <w:spacing w:after="0" w:line="240" w:lineRule="auto"/>
        <w:rPr>
          <w:rFonts w:ascii="Calibri" w:hAnsi="Calibri" w:cs="Calibri"/>
        </w:rPr>
      </w:pPr>
      <w:r w:rsidRPr="00DD7BD1">
        <w:rPr>
          <w:rFonts w:ascii="Calibri" w:hAnsi="Calibri" w:cs="Calibri"/>
        </w:rPr>
        <w:t>By Dec. 4, 202</w:t>
      </w:r>
      <w:r w:rsidRPr="00DD7BD1">
        <w:rPr>
          <w:rFonts w:ascii="Calibri" w:hAnsi="Calibri" w:cs="Calibri"/>
          <w:u w:val="single"/>
        </w:rPr>
        <w:t>6</w:t>
      </w:r>
      <w:r w:rsidRPr="00DD7BD1">
        <w:rPr>
          <w:rFonts w:ascii="Calibri" w:hAnsi="Calibri" w:cs="Calibri"/>
        </w:rPr>
        <w:t xml:space="preserve">, New York City’s mayor must </w:t>
      </w:r>
      <w:r w:rsidRPr="00DD7BD1">
        <w:rPr>
          <w:rFonts w:ascii="Calibri" w:hAnsi="Calibri" w:cs="Calibri"/>
          <w:u w:val="single"/>
        </w:rPr>
        <w:t>designate an agency</w:t>
      </w:r>
      <w:r w:rsidRPr="00DD7BD1">
        <w:rPr>
          <w:rFonts w:ascii="Calibri" w:hAnsi="Calibri" w:cs="Calibri"/>
        </w:rPr>
        <w:t xml:space="preserve"> to collect pay data information and conduct a pay equity study. </w:t>
      </w:r>
      <w:r w:rsidRPr="00DD7BD1">
        <w:rPr>
          <w:rFonts w:ascii="Calibri" w:hAnsi="Calibri" w:cs="Calibri"/>
          <w:u w:val="single"/>
        </w:rPr>
        <w:t>Within one year after its designation</w:t>
      </w:r>
      <w:r w:rsidRPr="00DD7BD1">
        <w:rPr>
          <w:rFonts w:ascii="Calibri" w:hAnsi="Calibri" w:cs="Calibri"/>
        </w:rPr>
        <w:t>, the agency must develop a form for covered employers to submit pay reports.</w:t>
      </w:r>
    </w:p>
    <w:p w14:paraId="63FEEB19" w14:textId="77777777" w:rsidR="00441D0D" w:rsidRPr="00DD7BD1" w:rsidRDefault="00441D0D" w:rsidP="00125178">
      <w:pPr>
        <w:spacing w:after="0" w:line="240" w:lineRule="auto"/>
        <w:rPr>
          <w:rFonts w:ascii="Calibri" w:hAnsi="Calibri" w:cs="Calibri"/>
          <w:sz w:val="12"/>
          <w:szCs w:val="12"/>
        </w:rPr>
      </w:pPr>
    </w:p>
    <w:p w14:paraId="458E14B2" w14:textId="77777777" w:rsidR="00441D0D" w:rsidRPr="00DD7BD1" w:rsidRDefault="00441D0D" w:rsidP="00125178">
      <w:pPr>
        <w:spacing w:after="0" w:line="240" w:lineRule="auto"/>
        <w:rPr>
          <w:rFonts w:ascii="Calibri" w:hAnsi="Calibri" w:cs="Calibri"/>
        </w:rPr>
      </w:pPr>
      <w:r w:rsidRPr="00DD7BD1">
        <w:rPr>
          <w:rFonts w:ascii="Calibri" w:hAnsi="Calibri" w:cs="Calibri"/>
          <w:u w:val="single"/>
        </w:rPr>
        <w:t>Within one year of the form’s publication</w:t>
      </w:r>
      <w:r w:rsidRPr="00DD7BD1">
        <w:rPr>
          <w:rFonts w:ascii="Calibri" w:hAnsi="Calibri" w:cs="Calibri"/>
        </w:rPr>
        <w:t>, and annually thereafter, private employers with</w:t>
      </w:r>
      <w:r w:rsidRPr="00DD7BD1">
        <w:rPr>
          <w:rFonts w:ascii="Calibri" w:hAnsi="Calibri" w:cs="Calibri"/>
          <w:u w:val="single"/>
        </w:rPr>
        <w:t xml:space="preserve"> </w:t>
      </w:r>
      <w:r w:rsidRPr="00DD7BD1">
        <w:rPr>
          <w:rFonts w:ascii="Calibri" w:hAnsi="Calibri" w:cs="Calibri"/>
          <w:b/>
          <w:bCs/>
          <w:u w:val="single"/>
        </w:rPr>
        <w:t>200 or more employees</w:t>
      </w:r>
      <w:r w:rsidRPr="00DD7BD1">
        <w:rPr>
          <w:rFonts w:ascii="Calibri" w:hAnsi="Calibri" w:cs="Calibri"/>
          <w:u w:val="single"/>
        </w:rPr>
        <w:t xml:space="preserve"> </w:t>
      </w:r>
      <w:r w:rsidRPr="00DD7BD1">
        <w:rPr>
          <w:rFonts w:ascii="Calibri" w:hAnsi="Calibri" w:cs="Calibri"/>
        </w:rPr>
        <w:t>in New York City must submit a pay report to the designated agency. The pay report must include the information required by the federal EEO-1 Component 2 report for 2017 and 2018 (i.e., pay data by sex, race and ethnicity in 12 different pay bands). However, the agency may modify the form; for example, it may include options for different gender identities. Such information may be submitted anonymously, but employers must include a signed statement confirming the submission’s accuracy. Employers may also include explanatory remarks regarding the data. Employers are not required to include an employee’s personal information.</w:t>
      </w:r>
    </w:p>
    <w:p w14:paraId="76BCB8BE" w14:textId="77777777" w:rsidR="00441D0D" w:rsidRPr="00DD7BD1" w:rsidRDefault="00441D0D" w:rsidP="00125178">
      <w:pPr>
        <w:spacing w:after="0" w:line="240" w:lineRule="auto"/>
        <w:rPr>
          <w:rFonts w:ascii="Calibri" w:hAnsi="Calibri" w:cs="Calibri"/>
          <w:sz w:val="12"/>
          <w:szCs w:val="12"/>
        </w:rPr>
      </w:pPr>
    </w:p>
    <w:p w14:paraId="41084730" w14:textId="77777777" w:rsidR="00441D0D" w:rsidRPr="00DD7BD1" w:rsidRDefault="00441D0D" w:rsidP="00125178">
      <w:pPr>
        <w:spacing w:after="0" w:line="240" w:lineRule="auto"/>
        <w:rPr>
          <w:rFonts w:ascii="Calibri" w:hAnsi="Calibri" w:cs="Calibri"/>
        </w:rPr>
      </w:pPr>
      <w:r w:rsidRPr="00DD7BD1">
        <w:rPr>
          <w:rFonts w:ascii="Calibri" w:hAnsi="Calibri" w:cs="Calibri"/>
        </w:rPr>
        <w:t>Within one year of the submission of pay data and annually thereafter, the agency must conduct a pay equity study to determine any pay disparities based on gender, race or ethnicity and identify industries with prevalent disparities.</w:t>
      </w:r>
    </w:p>
    <w:p w14:paraId="759FC125" w14:textId="77777777" w:rsidR="00441D0D" w:rsidRPr="00DD7BD1" w:rsidRDefault="00441D0D" w:rsidP="00125178">
      <w:pPr>
        <w:pStyle w:val="Heading2"/>
        <w:spacing w:before="0" w:line="240" w:lineRule="auto"/>
        <w:rPr>
          <w:rFonts w:ascii="Calibri" w:hAnsi="Calibri" w:cs="Calibri"/>
          <w:sz w:val="12"/>
          <w:szCs w:val="12"/>
        </w:rPr>
      </w:pPr>
    </w:p>
    <w:p w14:paraId="0CC197F0"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Penalties </w:t>
      </w:r>
    </w:p>
    <w:p w14:paraId="79EE9073"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Employers who violate the law will be subject to a written warning for a first violation if cured within 30 days, a civil penalty of $1,000 for a first violation that is not timely cured, and a civil penalty of $5,000 for each subsequent offense. </w:t>
      </w:r>
    </w:p>
    <w:p w14:paraId="502889CE" w14:textId="77777777" w:rsidR="00441D0D" w:rsidRPr="00DD7BD1" w:rsidRDefault="00441D0D" w:rsidP="009848BE">
      <w:pPr>
        <w:spacing w:after="0" w:line="240" w:lineRule="auto"/>
        <w:rPr>
          <w:rFonts w:ascii="Calibri" w:hAnsi="Calibri" w:cs="Calibri"/>
          <w:sz w:val="12"/>
          <w:szCs w:val="12"/>
          <w:shd w:val="clear" w:color="auto" w:fill="FFFFFF"/>
          <w:lang w:val="en"/>
        </w:rPr>
      </w:pPr>
    </w:p>
    <w:p w14:paraId="3F5D0848" w14:textId="3BA4FDFC" w:rsidR="00676358" w:rsidRPr="00DD7BD1" w:rsidRDefault="00441D0D" w:rsidP="009848BE">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ETC will continue to monitor and provide updates.</w:t>
      </w:r>
    </w:p>
    <w:p w14:paraId="06031C33" w14:textId="77777777" w:rsidR="004E6904" w:rsidRPr="00DD7BD1" w:rsidRDefault="004E6904" w:rsidP="009848BE">
      <w:pPr>
        <w:spacing w:after="0" w:line="240" w:lineRule="auto"/>
        <w:rPr>
          <w:rFonts w:ascii="Calibri" w:hAnsi="Calibri" w:cs="Calibri"/>
          <w:shd w:val="clear" w:color="auto" w:fill="FFFFFF"/>
          <w:lang w:val="en"/>
        </w:rPr>
      </w:pPr>
    </w:p>
    <w:p w14:paraId="2B6486CA" w14:textId="77777777" w:rsidR="004E6904" w:rsidRPr="00DD7BD1" w:rsidRDefault="004E6904" w:rsidP="004E6904">
      <w:pPr>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to Institute Workplace Violence Prevention Program Requirements for </w:t>
      </w:r>
      <w:r w:rsidRPr="00DD7BD1">
        <w:rPr>
          <w:rFonts w:ascii="Calibri" w:hAnsi="Calibri" w:cs="Calibri"/>
          <w:b/>
          <w:bCs/>
          <w:sz w:val="28"/>
          <w:szCs w:val="28"/>
          <w:u w:val="single"/>
          <w:shd w:val="clear" w:color="auto" w:fill="FFFFFF"/>
          <w:lang w:val="en"/>
        </w:rPr>
        <w:t xml:space="preserve">Hospitals &amp; Nursing Homes </w:t>
      </w:r>
    </w:p>
    <w:p w14:paraId="62D33BA8" w14:textId="46429D53" w:rsidR="00A16FB7" w:rsidRPr="00DD7BD1" w:rsidRDefault="004E6904" w:rsidP="004E6904">
      <w:pPr>
        <w:rPr>
          <w:rFonts w:ascii="Calibri" w:hAnsi="Calibri" w:cs="Calibri"/>
          <w:color w:val="C00000"/>
          <w:shd w:val="clear" w:color="auto" w:fill="FFFFFF"/>
          <w:lang w:val="en"/>
        </w:rPr>
      </w:pPr>
      <w:r w:rsidRPr="00DD7BD1">
        <w:rPr>
          <w:rFonts w:ascii="Calibri" w:hAnsi="Calibri" w:cs="Calibri"/>
          <w:color w:val="000000" w:themeColor="text1"/>
          <w:shd w:val="clear" w:color="auto" w:fill="FFFFFF"/>
        </w:rPr>
        <w:t>New York State has mandated new workplace violence compliance standards with Governor Hochul’s December 12</w:t>
      </w:r>
      <w:r w:rsidRPr="00DD7BD1">
        <w:rPr>
          <w:rFonts w:ascii="Calibri" w:hAnsi="Calibri" w:cs="Calibri"/>
          <w:color w:val="000000" w:themeColor="text1"/>
          <w:shd w:val="clear" w:color="auto" w:fill="FFFFFF"/>
          <w:vertAlign w:val="superscript"/>
        </w:rPr>
        <w:t>th</w:t>
      </w:r>
      <w:r w:rsidRPr="00DD7BD1">
        <w:rPr>
          <w:rFonts w:ascii="Calibri" w:hAnsi="Calibri" w:cs="Calibri"/>
          <w:color w:val="000000" w:themeColor="text1"/>
          <w:shd w:val="clear" w:color="auto" w:fill="FFFFFF"/>
        </w:rPr>
        <w:t xml:space="preserve"> signing of</w:t>
      </w:r>
      <w:r w:rsidRPr="00DD7BD1">
        <w:rPr>
          <w:rFonts w:ascii="Calibri" w:hAnsi="Calibri" w:cs="Calibri"/>
          <w:color w:val="C00000"/>
          <w:shd w:val="clear" w:color="auto" w:fill="FFFFFF"/>
        </w:rPr>
        <w:t> </w:t>
      </w:r>
      <w:hyperlink r:id="rId854" w:history="1">
        <w:r w:rsidRPr="00DD7BD1">
          <w:rPr>
            <w:rStyle w:val="Hyperlink"/>
            <w:rFonts w:ascii="Calibri" w:hAnsi="Calibri" w:cs="Calibri"/>
            <w:shd w:val="clear" w:color="auto" w:fill="FFFFFF"/>
          </w:rPr>
          <w:t>Senate Bill S5294A </w:t>
        </w:r>
      </w:hyperlink>
      <w:r w:rsidRPr="00DD7BD1">
        <w:rPr>
          <w:rFonts w:ascii="Calibri" w:hAnsi="Calibri" w:cs="Calibri"/>
          <w:color w:val="000000" w:themeColor="text1"/>
          <w:shd w:val="clear" w:color="auto" w:fill="FFFFFF"/>
        </w:rPr>
        <w:t>into law which will require hospitals and nursing homes to implement comprehensive workplace violence prevention plans (WPVPP).  The new law applies to general hospitals and nursing homes regulated under New York’s Public Health Law and includes employee training to identify, prevent, and mitigate workplace violence. The law takes effect 280 days after enactment, giving facilities less than a year to establish programs.</w:t>
      </w:r>
    </w:p>
    <w:p w14:paraId="781E76D2" w14:textId="77777777" w:rsidR="009848BE" w:rsidRPr="00DD7BD1" w:rsidRDefault="009848BE" w:rsidP="009848BE">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Reminder: </w:t>
      </w: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Eff Jan 1, 2026</w:t>
      </w:r>
    </w:p>
    <w:p w14:paraId="43C13C91"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The following changes to the minimum wage and salary thresholds apply as of January 1, 2026.</w:t>
      </w:r>
    </w:p>
    <w:p w14:paraId="38563D81" w14:textId="36EDDBBC"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New York City and Suffolk, Nassau, and Westchester Counties</w:t>
      </w:r>
      <w:r w:rsidRPr="00DD7BD1">
        <w:rPr>
          <w:rFonts w:ascii="Calibri" w:hAnsi="Calibri" w:cs="Calibri"/>
          <w:shd w:val="clear" w:color="auto" w:fill="FFFFFF"/>
        </w:rPr>
        <w:br/>
        <w:t>The minimum wage will increase to $17.00 per hour.</w:t>
      </w:r>
    </w:p>
    <w:p w14:paraId="5F825FCB"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Industry-specific</w:t>
      </w:r>
      <w:r w:rsidRPr="00DD7BD1">
        <w:rPr>
          <w:rFonts w:ascii="Calibri" w:hAnsi="Calibri" w:cs="Calibri"/>
          <w:shd w:val="clear" w:color="auto" w:fill="FFFFFF"/>
        </w:rPr>
        <w:t xml:space="preserve"> hourly minimum wages will increase as follows:</w:t>
      </w:r>
    </w:p>
    <w:p w14:paraId="27A1D819"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$14.15</w:t>
      </w:r>
    </w:p>
    <w:p w14:paraId="06EBF966"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$11.35</w:t>
      </w:r>
    </w:p>
    <w:p w14:paraId="25CB6804"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$19.65</w:t>
      </w:r>
    </w:p>
    <w:p w14:paraId="07623082" w14:textId="77777777" w:rsidR="009848BE" w:rsidRPr="00DD7BD1" w:rsidRDefault="009848BE" w:rsidP="009848BE">
      <w:pPr>
        <w:spacing w:after="0" w:line="240" w:lineRule="auto"/>
        <w:rPr>
          <w:rFonts w:ascii="Calibri" w:hAnsi="Calibri" w:cs="Calibri"/>
          <w:sz w:val="16"/>
          <w:szCs w:val="16"/>
          <w:shd w:val="clear" w:color="auto" w:fill="FFFFFF"/>
        </w:rPr>
      </w:pPr>
    </w:p>
    <w:p w14:paraId="5414E981" w14:textId="53DD7A11"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$1,275 per week (</w:t>
      </w:r>
      <w:r w:rsidRPr="00DD7BD1">
        <w:rPr>
          <w:rFonts w:ascii="Calibri" w:hAnsi="Calibri" w:cs="Calibri"/>
          <w:b/>
          <w:bCs/>
          <w:shd w:val="clear" w:color="auto" w:fill="FFFFFF"/>
        </w:rPr>
        <w:t>$66,300 annually</w:t>
      </w:r>
      <w:r w:rsidRPr="00DD7BD1">
        <w:rPr>
          <w:rFonts w:ascii="Calibri" w:hAnsi="Calibri" w:cs="Calibri"/>
          <w:shd w:val="clear" w:color="auto" w:fill="FFFFFF"/>
        </w:rPr>
        <w:t>).</w:t>
      </w:r>
    </w:p>
    <w:p w14:paraId="414EDEDE"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The Rest of New York State</w:t>
      </w:r>
      <w:r w:rsidRPr="00DD7BD1">
        <w:rPr>
          <w:rFonts w:ascii="Calibri" w:hAnsi="Calibri" w:cs="Calibri"/>
          <w:shd w:val="clear" w:color="auto" w:fill="FFFFFF"/>
        </w:rPr>
        <w:br/>
        <w:t>The minimum wage in the remainder of New York State (all areas outside of New York City, and Suffolk, Nassau, and Westchester counties) will increase to $16.00 per hour.</w:t>
      </w:r>
    </w:p>
    <w:p w14:paraId="09C8BECC"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Industry-specific hourly minimum wages will increase as follows:</w:t>
      </w:r>
    </w:p>
    <w:p w14:paraId="754C4AE8"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$13.30</w:t>
      </w:r>
    </w:p>
    <w:p w14:paraId="0AE2AC5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$10.70</w:t>
      </w:r>
    </w:p>
    <w:p w14:paraId="34F9EAB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$18.65</w:t>
      </w:r>
    </w:p>
    <w:p w14:paraId="72ADF393" w14:textId="77777777" w:rsidR="009848BE" w:rsidRPr="00DD7BD1" w:rsidRDefault="009848BE" w:rsidP="009848BE">
      <w:pPr>
        <w:spacing w:after="0" w:line="240" w:lineRule="auto"/>
        <w:rPr>
          <w:rFonts w:ascii="Calibri" w:hAnsi="Calibri" w:cs="Calibri"/>
          <w:sz w:val="16"/>
          <w:szCs w:val="16"/>
          <w:shd w:val="clear" w:color="auto" w:fill="FFFFFF"/>
        </w:rPr>
      </w:pPr>
    </w:p>
    <w:p w14:paraId="5A207B3A" w14:textId="471663A3"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$1,199.10 per week (</w:t>
      </w:r>
      <w:r w:rsidRPr="00DD7BD1">
        <w:rPr>
          <w:rFonts w:ascii="Calibri" w:hAnsi="Calibri" w:cs="Calibri"/>
          <w:b/>
          <w:bCs/>
          <w:shd w:val="clear" w:color="auto" w:fill="FFFFFF"/>
        </w:rPr>
        <w:t>$62,353.20 annually</w:t>
      </w:r>
      <w:r w:rsidRPr="00DD7BD1">
        <w:rPr>
          <w:rFonts w:ascii="Calibri" w:hAnsi="Calibri" w:cs="Calibri"/>
          <w:shd w:val="clear" w:color="auto" w:fill="FFFFFF"/>
        </w:rPr>
        <w:t>).</w:t>
      </w:r>
    </w:p>
    <w:p w14:paraId="6AAECDD6" w14:textId="77777777" w:rsidR="009848BE" w:rsidRPr="00DD7BD1" w:rsidRDefault="009848BE" w:rsidP="009848BE">
      <w:pPr>
        <w:spacing w:after="0" w:line="240" w:lineRule="auto"/>
        <w:rPr>
          <w:rFonts w:ascii="Calibri" w:hAnsi="Calibri" w:cs="Calibri"/>
          <w:shd w:val="clear" w:color="auto" w:fill="FFFFFF"/>
        </w:rPr>
      </w:pPr>
    </w:p>
    <w:p w14:paraId="543C66CC" w14:textId="6B2734C6"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3F0682CC" w14:textId="40657EB0"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minimum wage rate in New York will increase to $17.00 per hour for downstate employees and to $16.00 per hour for upstate employees.</w:t>
      </w:r>
    </w:p>
    <w:p w14:paraId="32DB395E" w14:textId="3F721222"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increases to the minimum wage will also impact tip credits and cash wages paid to tipped employees. As a reminder, as defined in the New York Minimum Wage Act, a “food service worker” is any employee primarily engaged in the serving of food or beverages to guests, patrons or customers in the hotel and restaurant industries … who regularly receive tips from such guests, patrons or customers” and who satisfied New York’s 80/20 rule. Accordingly, in New York, the minimum wage and minimum cash wage for tipped food service workers will increase as follows:</w:t>
      </w:r>
    </w:p>
    <w:p w14:paraId="1F348A51"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New York City, Long Island &amp; Westchester County</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67254CE2"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DAAFD9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3D09F7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581945B"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17216F83"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D0374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89A7DF8"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9DF50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$17.00</w:t>
            </w:r>
          </w:p>
        </w:tc>
      </w:tr>
      <w:tr w:rsidR="00082F92" w:rsidRPr="00DD7BD1" w14:paraId="5F4324A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8BFC2F6"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FA757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$24.75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1D18E0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$25.50</w:t>
            </w:r>
          </w:p>
        </w:tc>
      </w:tr>
      <w:tr w:rsidR="00082F92" w:rsidRPr="00DD7BD1" w14:paraId="7879CBFA"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DE2AAD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BBFAD4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$11.00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366593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$11.35</w:t>
            </w:r>
          </w:p>
        </w:tc>
      </w:tr>
      <w:tr w:rsidR="00082F92" w:rsidRPr="00DD7BD1" w14:paraId="6B6DF2B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9321B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E8158E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3C4D4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$19.85</w:t>
            </w:r>
          </w:p>
        </w:tc>
      </w:tr>
      <w:tr w:rsidR="00082F92" w:rsidRPr="00DD7BD1" w14:paraId="06B41BF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5206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3BA26F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775366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$5.65</w:t>
            </w:r>
          </w:p>
        </w:tc>
      </w:tr>
    </w:tbl>
    <w:p w14:paraId="46A21F82" w14:textId="77777777" w:rsidR="00082F92" w:rsidRPr="00DD7BD1" w:rsidRDefault="00082F92" w:rsidP="00082F92">
      <w:pPr>
        <w:jc w:val="both"/>
        <w:rPr>
          <w:rFonts w:ascii="Calibri" w:hAnsi="Calibri" w:cs="Calibri"/>
          <w:color w:val="2E74B5" w:themeColor="accent5" w:themeShade="BF"/>
          <w:shd w:val="clear" w:color="auto" w:fill="FFFFFF"/>
          <w:lang w:val="en"/>
        </w:rPr>
      </w:pPr>
    </w:p>
    <w:p w14:paraId="549FA853"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Remainder of New York State</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2DC4DAA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C0959C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DC6417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9CB77EF"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6265490F"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4EF7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293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CBE7A4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$16.00</w:t>
            </w:r>
          </w:p>
        </w:tc>
      </w:tr>
      <w:tr w:rsidR="00082F92" w:rsidRPr="00DD7BD1" w14:paraId="64225D71"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2B0B3D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FF1294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$23.25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1CA977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$24.00</w:t>
            </w:r>
          </w:p>
        </w:tc>
      </w:tr>
      <w:tr w:rsidR="00082F92" w:rsidRPr="00DD7BD1" w14:paraId="63E88954"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567996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2741C9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$10.35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B78C9F4"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$10.70</w:t>
            </w:r>
          </w:p>
        </w:tc>
      </w:tr>
      <w:tr w:rsidR="00082F92" w:rsidRPr="00DD7BD1" w14:paraId="5999CD29"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AE946B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4B97B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$18.10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908971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$18.70</w:t>
            </w:r>
          </w:p>
        </w:tc>
      </w:tr>
      <w:tr w:rsidR="00082F92" w:rsidRPr="00DD7BD1" w14:paraId="74A83EFD"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07C8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C9630B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$5.15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8D6D4A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$5.30</w:t>
            </w:r>
          </w:p>
        </w:tc>
      </w:tr>
    </w:tbl>
    <w:p w14:paraId="75855E94" w14:textId="77777777" w:rsidR="00082F92" w:rsidRPr="00DD7BD1" w:rsidRDefault="00082F92" w:rsidP="00082F92">
      <w:pPr>
        <w:jc w:val="both"/>
        <w:rPr>
          <w:rFonts w:ascii="Calibri" w:hAnsi="Calibri" w:cs="Calibri"/>
          <w:shd w:val="clear" w:color="auto" w:fill="FFFFFF"/>
        </w:rPr>
      </w:pPr>
    </w:p>
    <w:p w14:paraId="09A8122D" w14:textId="2A1CCA5F"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If an employer maintains a written tip pool or tip sharing agreement, the above changes must be reflected in those agreements. Employers must revise any written tip pool or tip sharing agreements as well as any handbooks that reflect the prior minimum wage, cash wage, and tip credit to reflect the new rates above.</w:t>
      </w:r>
    </w:p>
    <w:p w14:paraId="0FCE0E7C" w14:textId="2D8C604D"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New York PFL Contribution and Benefit Rates to Increase in 2026 – </w:t>
      </w:r>
      <w:r w:rsidRPr="00DD7BD1">
        <w:rPr>
          <w:rFonts w:ascii="Calibri" w:hAnsi="Calibri" w:cs="Calibri"/>
          <w:b/>
          <w:bCs/>
          <w:color w:val="C00000"/>
          <w:sz w:val="28"/>
          <w:szCs w:val="28"/>
          <w:shd w:val="clear" w:color="auto" w:fill="FFFFFF"/>
        </w:rPr>
        <w:t>Jan 1, 2026</w:t>
      </w:r>
    </w:p>
    <w:p w14:paraId="6F0E5F1F" w14:textId="77777777" w:rsidR="00082F92" w:rsidRPr="00DD7BD1" w:rsidRDefault="00082F92" w:rsidP="00082F92">
      <w:pPr>
        <w:pStyle w:val="BodyText"/>
        <w:rPr>
          <w:rFonts w:cs="Calibri"/>
          <w:szCs w:val="22"/>
        </w:rPr>
      </w:pPr>
      <w:r w:rsidRPr="00DD7BD1">
        <w:rPr>
          <w:rFonts w:cs="Calibri"/>
          <w:color w:val="auto"/>
          <w:szCs w:val="22"/>
        </w:rPr>
        <w:t xml:space="preserve">As in line with past years, New York state has published paid family leave (PFL) updates for 2026 on its </w:t>
      </w:r>
      <w:hyperlink r:id="rId855"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 xml:space="preserve">for the program. Both the employee contribution rate and the maximum weekly benefit for the program will see increases over the rates for 2025. New York PFL is fully funded by employees through payroll deductions. Employers are not required to contribute. </w:t>
      </w:r>
    </w:p>
    <w:p w14:paraId="3A13015C" w14:textId="3F6F5445" w:rsidR="00082F92" w:rsidRPr="00DD7BD1" w:rsidRDefault="00082F92" w:rsidP="00082F92">
      <w:pPr>
        <w:jc w:val="both"/>
        <w:rPr>
          <w:rFonts w:ascii="Calibri" w:hAnsi="Calibri" w:cs="Calibri"/>
        </w:rPr>
      </w:pPr>
      <w:r w:rsidRPr="00DD7BD1">
        <w:rPr>
          <w:rFonts w:ascii="Calibri" w:hAnsi="Calibri" w:cs="Calibri"/>
        </w:rPr>
        <w:t xml:space="preserve">Employee compensation for PFL is 67% of the employee’s average weekly wage, up to a cap of 67% of the current New York state average weekly wage (SAWW). The 2026 state average weekly wage has been calculated as $1,833.63, making the maximum weekly benefit for 2026 </w:t>
      </w:r>
      <w:r w:rsidRPr="00DD7BD1">
        <w:rPr>
          <w:rFonts w:ascii="Calibri" w:hAnsi="Calibri" w:cs="Calibri"/>
          <w:b/>
          <w:bCs/>
        </w:rPr>
        <w:t>$1,228.53</w:t>
      </w:r>
      <w:r w:rsidRPr="00DD7BD1">
        <w:rPr>
          <w:rFonts w:ascii="Calibri" w:hAnsi="Calibri" w:cs="Calibri"/>
        </w:rPr>
        <w:t xml:space="preserve">, up from $1,177.32 in 2025. The total possible maximum benefit to an employee is </w:t>
      </w:r>
      <w:r w:rsidRPr="00DD7BD1">
        <w:rPr>
          <w:rFonts w:ascii="Calibri" w:hAnsi="Calibri" w:cs="Calibri"/>
          <w:b/>
          <w:bCs/>
        </w:rPr>
        <w:t xml:space="preserve">$14,742.36 </w:t>
      </w:r>
      <w:r w:rsidRPr="00DD7BD1">
        <w:rPr>
          <w:rFonts w:ascii="Calibri" w:hAnsi="Calibri" w:cs="Calibri"/>
        </w:rPr>
        <w:t>in 2026.</w:t>
      </w:r>
    </w:p>
    <w:p w14:paraId="06280596" w14:textId="77777777" w:rsidR="00082F92" w:rsidRPr="00DD7BD1" w:rsidRDefault="00082F92" w:rsidP="00082F92">
      <w:pPr>
        <w:jc w:val="both"/>
        <w:rPr>
          <w:rFonts w:ascii="Calibri" w:hAnsi="Calibri" w:cs="Calibri"/>
          <w:b/>
          <w:bCs/>
        </w:rPr>
      </w:pPr>
      <w:r w:rsidRPr="00DD7BD1">
        <w:rPr>
          <w:rFonts w:ascii="Calibri" w:hAnsi="Calibri" w:cs="Calibri"/>
          <w:b/>
          <w:bCs/>
        </w:rPr>
        <w:t>Reminder</w:t>
      </w:r>
    </w:p>
    <w:p w14:paraId="486AF2D4" w14:textId="77777777" w:rsidR="00082F92" w:rsidRPr="00DD7BD1" w:rsidRDefault="00082F92" w:rsidP="00082F92">
      <w:pPr>
        <w:pStyle w:val="SubHeader"/>
        <w:rPr>
          <w:rFonts w:cs="Calibri"/>
          <w:color w:val="auto"/>
          <w:sz w:val="22"/>
          <w:szCs w:val="22"/>
        </w:rPr>
      </w:pPr>
      <w:r w:rsidRPr="00DD7BD1">
        <w:rPr>
          <w:rFonts w:cs="Calibri"/>
          <w:color w:val="auto"/>
          <w:sz w:val="22"/>
          <w:szCs w:val="22"/>
        </w:rPr>
        <w:t>Paid Family and Medical Leave</w:t>
      </w:r>
    </w:p>
    <w:p w14:paraId="49F296B7" w14:textId="77777777" w:rsidR="00082F92" w:rsidRPr="00DD7BD1" w:rsidRDefault="00082F92" w:rsidP="00082F92">
      <w:pPr>
        <w:pStyle w:val="BodyText"/>
        <w:rPr>
          <w:rFonts w:cs="Calibri"/>
          <w:color w:val="auto"/>
          <w:szCs w:val="22"/>
        </w:rPr>
      </w:pPr>
      <w:r w:rsidRPr="00DD7BD1">
        <w:rPr>
          <w:rFonts w:cs="Calibri"/>
          <w:noProof/>
          <w:color w:val="auto"/>
          <w:szCs w:val="22"/>
        </w:rPr>
        <w:t xml:space="preserve">New York’s </w:t>
      </w:r>
      <w:hyperlink r:id="rId856" w:history="1">
        <w:r w:rsidRPr="00DD7BD1">
          <w:rPr>
            <w:rStyle w:val="Hyperlink"/>
            <w:rFonts w:cs="Calibri"/>
            <w:noProof/>
            <w:color w:val="auto"/>
            <w:szCs w:val="22"/>
          </w:rPr>
          <w:t>PFL law</w:t>
        </w:r>
      </w:hyperlink>
      <w:r w:rsidRPr="00DD7BD1">
        <w:rPr>
          <w:rFonts w:cs="Calibri"/>
          <w:noProof/>
          <w:color w:val="auto"/>
          <w:szCs w:val="22"/>
        </w:rPr>
        <w:t xml:space="preserve"> </w:t>
      </w:r>
      <w:r w:rsidRPr="00DD7BD1">
        <w:rPr>
          <w:rFonts w:cs="Calibri"/>
          <w:color w:val="auto"/>
          <w:szCs w:val="22"/>
        </w:rPr>
        <w:t>provides eligible employees with up to 12 weeks of PFL. PFL coverage is typically added as a rider on an employer’s existing disability insurance policy. Leave may be used for:</w:t>
      </w:r>
    </w:p>
    <w:p w14:paraId="7A8CD34D" w14:textId="77777777" w:rsidR="00082F92" w:rsidRPr="00DD7BD1" w:rsidRDefault="00082F92" w:rsidP="00082F92">
      <w:pPr>
        <w:pStyle w:val="Bullet"/>
        <w:rPr>
          <w:rFonts w:cs="Calibri"/>
          <w:color w:val="auto"/>
          <w:szCs w:val="22"/>
        </w:rPr>
      </w:pPr>
      <w:r w:rsidRPr="00DD7BD1">
        <w:rPr>
          <w:rFonts w:cs="Calibri"/>
          <w:color w:val="auto"/>
          <w:szCs w:val="22"/>
        </w:rPr>
        <w:t>Caring for a family member with a serious health condition;</w:t>
      </w:r>
    </w:p>
    <w:p w14:paraId="07933599" w14:textId="77777777" w:rsidR="00082F92" w:rsidRPr="00DD7BD1" w:rsidRDefault="00082F92" w:rsidP="00082F92">
      <w:pPr>
        <w:pStyle w:val="Bullet"/>
        <w:rPr>
          <w:rFonts w:cs="Calibri"/>
          <w:color w:val="auto"/>
          <w:szCs w:val="22"/>
        </w:rPr>
      </w:pPr>
      <w:r w:rsidRPr="00DD7BD1">
        <w:rPr>
          <w:rFonts w:cs="Calibri"/>
          <w:color w:val="auto"/>
          <w:szCs w:val="22"/>
        </w:rPr>
        <w:t>Birth, adoption or fostering of a child; or</w:t>
      </w:r>
    </w:p>
    <w:p w14:paraId="1DC61C67" w14:textId="57EADEE6" w:rsidR="00082F92" w:rsidRPr="00DD7BD1" w:rsidRDefault="00082F92" w:rsidP="00B40E3B">
      <w:pPr>
        <w:pStyle w:val="Bullet"/>
        <w:rPr>
          <w:rFonts w:cs="Calibri"/>
          <w:color w:val="auto"/>
          <w:szCs w:val="22"/>
        </w:rPr>
      </w:pPr>
      <w:r w:rsidRPr="00DD7BD1">
        <w:rPr>
          <w:rFonts w:cs="Calibri"/>
          <w:color w:val="auto"/>
          <w:szCs w:val="22"/>
        </w:rPr>
        <w:t>A spouse’s, domestic partner’s, child’s or parent’s active military duty or impending active military duty.</w:t>
      </w:r>
    </w:p>
    <w:p w14:paraId="1155C738" w14:textId="77777777" w:rsidR="00B40E3B" w:rsidRPr="00DD7BD1" w:rsidRDefault="00B40E3B" w:rsidP="00B40E3B">
      <w:pPr>
        <w:pStyle w:val="Bullet"/>
        <w:numPr>
          <w:ilvl w:val="0"/>
          <w:numId w:val="0"/>
        </w:numPr>
        <w:ind w:left="360"/>
        <w:rPr>
          <w:rFonts w:cs="Calibri"/>
          <w:color w:val="auto"/>
          <w:szCs w:val="22"/>
        </w:rPr>
      </w:pPr>
    </w:p>
    <w:p w14:paraId="5FA2C565" w14:textId="2D00B8BA" w:rsidR="00C4571D" w:rsidRPr="00DD7BD1" w:rsidRDefault="00C4571D" w:rsidP="00C4571D">
      <w:pPr>
        <w:jc w:val="center"/>
        <w:rPr>
          <w:rFonts w:ascii="Calibri" w:hAnsi="Calibri" w:cs="Calibri"/>
          <w:b/>
          <w:bCs/>
          <w:color w:val="C00000"/>
          <w:sz w:val="28"/>
          <w:szCs w:val="28"/>
          <w:u w:val="single"/>
          <w:shd w:val="clear" w:color="auto" w:fill="FFFFFF"/>
        </w:rPr>
      </w:pPr>
      <w:r w:rsidRPr="00DD7BD1">
        <w:rPr>
          <w:rFonts w:ascii="Calibri" w:hAnsi="Calibri" w:cs="Calibri"/>
          <w:b/>
          <w:bCs/>
          <w:sz w:val="28"/>
          <w:szCs w:val="28"/>
          <w:u w:val="single"/>
          <w:shd w:val="clear" w:color="auto" w:fill="FFFFFF"/>
          <w:lang w:val="en"/>
        </w:rPr>
        <w:t>NYC</w:t>
      </w:r>
      <w:r w:rsidRPr="00DD7BD1">
        <w:rPr>
          <w:rFonts w:ascii="Calibri" w:hAnsi="Calibri" w:cs="Calibri"/>
          <w:b/>
          <w:bCs/>
          <w:sz w:val="28"/>
          <w:szCs w:val="28"/>
          <w:shd w:val="clear" w:color="auto" w:fill="FFFFFF"/>
          <w:lang w:val="en"/>
        </w:rPr>
        <w:t xml:space="preserve"> </w:t>
      </w:r>
      <w:bookmarkStart w:id="124" w:name="_Hlk213075109"/>
      <w:r w:rsidRPr="00DD7BD1">
        <w:rPr>
          <w:rFonts w:ascii="Calibri" w:hAnsi="Calibri" w:cs="Calibri"/>
          <w:b/>
          <w:bCs/>
          <w:sz w:val="28"/>
          <w:szCs w:val="28"/>
          <w:shd w:val="clear" w:color="auto" w:fill="FFFFFF"/>
        </w:rPr>
        <w:t>Expands Scheduling &amp; Workplace Protections for Service and Delivery Workers</w:t>
      </w:r>
      <w:bookmarkEnd w:id="124"/>
    </w:p>
    <w:p w14:paraId="5C4A058A" w14:textId="01305D9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1EC35814"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Fair Workweek Requirements</w:t>
      </w:r>
    </w:p>
    <w:p w14:paraId="4CD1BEFC" w14:textId="3782656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2598BA7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Retail Employers</w:t>
      </w:r>
    </w:p>
    <w:p w14:paraId="6F3636CD" w14:textId="77777777"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Retail employers must:</w:t>
      </w:r>
    </w:p>
    <w:p w14:paraId="0DE152EF"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Provide work schedules at least 72 hours in advance, both posted at the workplace and distributed to employees via personal message or push notification on a scheduling app.</w:t>
      </w:r>
    </w:p>
    <w:p w14:paraId="18374310"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Obtain written employee consent to add or cancel shifts within 72 hours of a shift start.</w:t>
      </w:r>
    </w:p>
    <w:p w14:paraId="1B14850C"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Avoid on call scheduling, which is prohibited under the law.</w:t>
      </w:r>
    </w:p>
    <w:p w14:paraId="7D40D4BA"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Pay fines of up to $300 per affected employee, with higher penalties for repeat violations.</w:t>
      </w:r>
      <w:r w:rsidRPr="00DD7BD1">
        <w:rPr>
          <w:rFonts w:ascii="Calibri" w:hAnsi="Calibri" w:cs="Calibri"/>
          <w:shd w:val="clear" w:color="auto" w:fill="FFFFFF"/>
        </w:rPr>
        <w:br/>
        <w:t> </w:t>
      </w:r>
    </w:p>
    <w:p w14:paraId="6BDE055C" w14:textId="2078350D" w:rsidR="00C4571D" w:rsidRPr="00DD7BD1" w:rsidRDefault="00C4571D" w:rsidP="00C4571D">
      <w:pPr>
        <w:rPr>
          <w:rFonts w:ascii="Calibri" w:hAnsi="Calibri" w:cs="Calibri"/>
        </w:rPr>
      </w:pPr>
      <w:r w:rsidRPr="00DD7BD1">
        <w:rPr>
          <w:rFonts w:ascii="Calibri" w:hAnsi="Calibri" w:cs="Calibri"/>
          <w:shd w:val="clear" w:color="auto" w:fill="FFFFFF"/>
        </w:rPr>
        <w:t>To read more, including delivery driver implications, access the October 28</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article from Bond Schoeneck &amp; Kind Attorneys </w:t>
      </w:r>
      <w:hyperlink r:id="rId857" w:history="1">
        <w:r w:rsidRPr="00DD7BD1">
          <w:rPr>
            <w:rStyle w:val="Hyperlink"/>
            <w:rFonts w:ascii="Calibri" w:hAnsi="Calibri" w:cs="Calibri"/>
            <w:shd w:val="clear" w:color="auto" w:fill="FFFFFF"/>
          </w:rPr>
          <w:t>HERE</w:t>
        </w:r>
      </w:hyperlink>
    </w:p>
    <w:p w14:paraId="3F808A11" w14:textId="3AC0F1D0" w:rsidR="00C4571D" w:rsidRPr="00DD7BD1" w:rsidRDefault="00C4571D" w:rsidP="00C4571D">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rPr>
        <w:t>NYC</w:t>
      </w:r>
      <w:r w:rsidRPr="00DD7BD1">
        <w:rPr>
          <w:rFonts w:ascii="Calibri" w:hAnsi="Calibri" w:cs="Calibri"/>
          <w:b/>
          <w:bCs/>
          <w:sz w:val="28"/>
          <w:szCs w:val="28"/>
          <w:shd w:val="clear" w:color="auto" w:fill="FFFFFF"/>
        </w:rPr>
        <w:t xml:space="preserve"> </w:t>
      </w:r>
      <w:bookmarkStart w:id="125" w:name="_Hlk213075168"/>
      <w:r w:rsidRPr="00DD7BD1">
        <w:rPr>
          <w:rFonts w:ascii="Calibri" w:hAnsi="Calibri" w:cs="Calibri"/>
          <w:b/>
          <w:bCs/>
          <w:sz w:val="28"/>
          <w:szCs w:val="28"/>
          <w:shd w:val="clear" w:color="auto" w:fill="FFFFFF"/>
        </w:rPr>
        <w:t xml:space="preserve">Updates 2026 Earned Safe and Sick Time Act (ETTS) – </w:t>
      </w:r>
      <w:r w:rsidRPr="00DD7BD1">
        <w:rPr>
          <w:rFonts w:ascii="Calibri" w:hAnsi="Calibri" w:cs="Calibri"/>
          <w:b/>
          <w:bCs/>
          <w:color w:val="C00000"/>
          <w:sz w:val="28"/>
          <w:szCs w:val="28"/>
          <w:shd w:val="clear" w:color="auto" w:fill="FFFFFF"/>
        </w:rPr>
        <w:t>Feb 22, 2026</w:t>
      </w:r>
      <w:bookmarkEnd w:id="125"/>
    </w:p>
    <w:p w14:paraId="6E926A67" w14:textId="1AA34423"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On September 25, 2025, the New York City Council passed significant amendments to the New York City Earned Safe and Sick Time Act (ESSTA or the Act).</w:t>
      </w:r>
    </w:p>
    <w:p w14:paraId="28479F42" w14:textId="0479B52E"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The amendments make significant changes to the existing ESSTA, as well as the New York City Temporary Schedule Change Act (TSCA). A brief summary of some of the key changes include: recognition of additional, new qualifying reasons for use of ESSTA sick/safe leave related to child care, caregiving, workplace violence, subsistence benefits or housing and public disasters, as well as  a new obligation for employers to provide additional unpaid sick time and changes related to the alignment of the TSCA with the ESSTA. </w:t>
      </w:r>
    </w:p>
    <w:p w14:paraId="704D4670" w14:textId="4C285D9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The ESSTA requires covered employers to provide sick/safe leave to employees. The amount and nature of the sick/safe leave that must be provided depends on employer size. Employers with 100 or more employees must provide up to 56 hours of paid sick/safe leave each year; employers with five to 99 employees or employers with four or fewer employees an a net income of $1 million or more must provide up to 40 hours of paid sick/safe leave each year; and employers with four or fewer employees and a net income of less than $1 million must provide up to 40 hours of unpaid sick/safe leave each year. Employers with one to 99 domestic worker(s) must also provide 40 hours of paid sick/safe leave each year. Employees must accrue sick/safe leave at a rate of at least 1 hour for every 30 hours worked, but an employer may choose to front-load the sick/safe leave each year. </w:t>
      </w:r>
    </w:p>
    <w:p w14:paraId="5501CF74" w14:textId="439BF07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Recently, the ESSTA was also amended to require employers of any size or net income to provide a separate bank of 20 hours of paid prenatal leave in a 52-week period. </w:t>
      </w:r>
    </w:p>
    <w:p w14:paraId="76C9C961" w14:textId="50656B1C"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363F84C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Expanded uses</w:t>
      </w:r>
      <w:r w:rsidRPr="00DD7BD1">
        <w:rPr>
          <w:rFonts w:ascii="Calibri" w:hAnsi="Calibri" w:cs="Calibri"/>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3DD5878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direction by a public official to remain indoors or avoid travel during a public disaster that prevents an employee from reporting to their work location.</w:t>
      </w:r>
    </w:p>
    <w:p w14:paraId="43BE3471"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Caregiving Responsibilities – Employees may use ESSTA leave to provide care to a minor child or care recipient when the employee is a caregiver for the minor child or care recipient. </w:t>
      </w:r>
    </w:p>
    <w:p w14:paraId="72EEB56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AB329C2"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Workplace Violence – Employees may use ESSTA leave for certain reasons, including but not limited to seeking legal or social services, meeting with a district attorney or filing a complaint with law enforcement, related to when the employee or the employee’s family member has been the victim of workplace violence. This change specifically adds workplace violence to the “safe leave” provisions of the ESSTA. </w:t>
      </w:r>
      <w:r w:rsidRPr="00DD7BD1">
        <w:rPr>
          <w:rFonts w:ascii="Calibri" w:hAnsi="Calibri" w:cs="Calibri"/>
          <w:shd w:val="clear" w:color="auto" w:fill="FFFFFF"/>
        </w:rPr>
        <w:br/>
        <w:t> </w:t>
      </w:r>
    </w:p>
    <w:p w14:paraId="5655C76D" w14:textId="77777777"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Style w:val="Strong"/>
          <w:rFonts w:ascii="Calibri" w:hAnsi="Calibri" w:cs="Calibri"/>
          <w:color w:val="292929"/>
          <w:spacing w:val="3"/>
          <w:sz w:val="22"/>
          <w:szCs w:val="22"/>
        </w:rPr>
        <w:t>New Additional Unpaid Sick Time</w:t>
      </w:r>
      <w:r w:rsidRPr="00DD7BD1">
        <w:rPr>
          <w:rFonts w:ascii="Calibri" w:hAnsi="Calibri" w:cs="Calibri"/>
          <w:color w:val="292929"/>
          <w:spacing w:val="3"/>
          <w:sz w:val="22"/>
          <w:szCs w:val="22"/>
        </w:rPr>
        <w:t>: The amendments also require employers to provide all employees with an additional thirty-two (32) hours of unpaid sick/safe leave upon hire and on the first day of each benefit year. This leave must be front-loaded, meaning that the full amount must be made immediately available for use and can be used for any qualifying ESSTA purpose. This unpaid ESSTA time does not need to be carried over to the following benefit year. </w:t>
      </w:r>
    </w:p>
    <w:p w14:paraId="33D0732B" w14:textId="77777777" w:rsidR="00C4571D" w:rsidRPr="00DD7BD1" w:rsidRDefault="00C4571D" w:rsidP="00C4571D">
      <w:pPr>
        <w:pStyle w:val="NormalWeb"/>
        <w:shd w:val="clear" w:color="auto" w:fill="FFFFFF"/>
        <w:spacing w:before="0" w:beforeAutospacing="0" w:after="0" w:afterAutospacing="0"/>
        <w:ind w:left="720"/>
        <w:rPr>
          <w:rStyle w:val="Strong"/>
          <w:rFonts w:ascii="Calibri" w:hAnsi="Calibri" w:cs="Calibri"/>
          <w:color w:val="292929"/>
          <w:spacing w:val="3"/>
          <w:sz w:val="22"/>
          <w:szCs w:val="22"/>
        </w:rPr>
      </w:pPr>
    </w:p>
    <w:p w14:paraId="5EDF18E7"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Style w:val="Strong"/>
          <w:rFonts w:ascii="Calibri" w:hAnsi="Calibri" w:cs="Calibri"/>
          <w:color w:val="292929"/>
          <w:spacing w:val="3"/>
          <w:sz w:val="22"/>
          <w:szCs w:val="22"/>
        </w:rPr>
        <w:t>TSCA</w:t>
      </w:r>
      <w:r w:rsidRPr="00DD7BD1">
        <w:rPr>
          <w:rFonts w:ascii="Calibri" w:hAnsi="Calibri" w:cs="Calibri"/>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2FCB3F6B"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p>
    <w:p w14:paraId="234CBC1F"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Fonts w:ascii="Calibri" w:hAnsi="Calibri" w:cs="Calibri"/>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28A834C5" w14:textId="1851AFB3"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However, employers must respond to an employee’s request as soon as practicable. Employers may propose an alternative temporary change, but employees are not required to accept such proposed alternatives. Notably, employees may still request such changes and are protected from retaliation for doing so under the TSCA. </w:t>
      </w:r>
    </w:p>
    <w:p w14:paraId="57FD2E33" w14:textId="77777777" w:rsidR="00C4571D" w:rsidRPr="00DD7BD1" w:rsidRDefault="00C4571D" w:rsidP="00C4571D">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64B160B6" w14:textId="26E2430E" w:rsidR="00C4571D" w:rsidRPr="00DD7BD1" w:rsidRDefault="00C4571D" w:rsidP="00C4571D">
      <w:pPr>
        <w:spacing w:after="0" w:line="240" w:lineRule="auto"/>
        <w:ind w:right="-187"/>
        <w:rPr>
          <w:rFonts w:ascii="Calibri" w:hAnsi="Calibri" w:cs="Calibri"/>
          <w:b/>
          <w:spacing w:val="-4"/>
          <w:sz w:val="28"/>
        </w:rPr>
      </w:pPr>
      <w:r w:rsidRPr="00DD7BD1">
        <w:rPr>
          <w:rFonts w:ascii="Calibri" w:hAnsi="Calibri" w:cs="Calibri"/>
          <w:shd w:val="clear" w:color="auto" w:fill="FFFFFF"/>
        </w:rPr>
        <w:t>In further preparation for compliance, employers should consider providing training to supervisors, managers or human resources professionals that are responsible for attendance enforcement within their organizations</w:t>
      </w:r>
    </w:p>
    <w:p w14:paraId="51D14C33" w14:textId="77777777" w:rsidR="00C4571D" w:rsidRPr="00DD7BD1" w:rsidRDefault="00C4571D" w:rsidP="00B22B5D">
      <w:pPr>
        <w:spacing w:after="0" w:line="240" w:lineRule="auto"/>
        <w:ind w:right="-187"/>
        <w:jc w:val="center"/>
        <w:rPr>
          <w:rFonts w:ascii="Calibri" w:hAnsi="Calibri" w:cs="Calibri"/>
          <w:b/>
          <w:spacing w:val="-4"/>
        </w:rPr>
      </w:pPr>
    </w:p>
    <w:p w14:paraId="60BC7554" w14:textId="10CE34EE"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Passes</w:t>
      </w:r>
      <w:r w:rsidRPr="00DD7BD1">
        <w:rPr>
          <w:rFonts w:ascii="Calibri" w:hAnsi="Calibri" w:cs="Calibri"/>
          <w:b/>
          <w:spacing w:val="-13"/>
          <w:sz w:val="28"/>
        </w:rPr>
        <w:t xml:space="preserve"> </w:t>
      </w:r>
      <w:r w:rsidRPr="00DD7BD1">
        <w:rPr>
          <w:rFonts w:ascii="Calibri" w:hAnsi="Calibri" w:cs="Calibri"/>
          <w:b/>
          <w:spacing w:val="-4"/>
          <w:sz w:val="28"/>
        </w:rPr>
        <w:t>Regulations</w:t>
      </w:r>
      <w:r w:rsidRPr="00DD7BD1">
        <w:rPr>
          <w:rFonts w:ascii="Calibri" w:hAnsi="Calibri" w:cs="Calibri"/>
          <w:b/>
          <w:spacing w:val="-14"/>
          <w:sz w:val="28"/>
        </w:rPr>
        <w:t xml:space="preserve"> </w:t>
      </w:r>
      <w:r w:rsidRPr="00DD7BD1">
        <w:rPr>
          <w:rFonts w:ascii="Calibri" w:hAnsi="Calibri" w:cs="Calibri"/>
          <w:b/>
          <w:spacing w:val="-4"/>
          <w:sz w:val="28"/>
        </w:rPr>
        <w:t>Resulting</w:t>
      </w:r>
      <w:r w:rsidRPr="00DD7BD1">
        <w:rPr>
          <w:rFonts w:ascii="Calibri" w:hAnsi="Calibri" w:cs="Calibri"/>
          <w:b/>
          <w:spacing w:val="-11"/>
          <w:sz w:val="28"/>
        </w:rPr>
        <w:t xml:space="preserve"> </w:t>
      </w:r>
      <w:r w:rsidRPr="00DD7BD1">
        <w:rPr>
          <w:rFonts w:ascii="Calibri" w:hAnsi="Calibri" w:cs="Calibri"/>
          <w:b/>
          <w:spacing w:val="-4"/>
          <w:sz w:val="28"/>
        </w:rPr>
        <w:t>in</w:t>
      </w:r>
      <w:r w:rsidRPr="00DD7BD1">
        <w:rPr>
          <w:rFonts w:ascii="Calibri" w:hAnsi="Calibri" w:cs="Calibri"/>
          <w:b/>
          <w:spacing w:val="-11"/>
          <w:sz w:val="28"/>
        </w:rPr>
        <w:t xml:space="preserve"> </w:t>
      </w:r>
      <w:r w:rsidRPr="00DD7BD1">
        <w:rPr>
          <w:rFonts w:ascii="Calibri" w:hAnsi="Calibri" w:cs="Calibri"/>
          <w:b/>
          <w:spacing w:val="-4"/>
          <w:sz w:val="28"/>
        </w:rPr>
        <w:t>Mini</w:t>
      </w:r>
      <w:r w:rsidRPr="00DD7BD1">
        <w:rPr>
          <w:rFonts w:ascii="Calibri" w:hAnsi="Calibri" w:cs="Calibri"/>
          <w:b/>
          <w:spacing w:val="-13"/>
          <w:sz w:val="28"/>
        </w:rPr>
        <w:t xml:space="preserve"> </w:t>
      </w: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Labor</w:t>
      </w:r>
      <w:r w:rsidRPr="00DD7BD1">
        <w:rPr>
          <w:rFonts w:ascii="Calibri" w:hAnsi="Calibri" w:cs="Calibri"/>
          <w:b/>
          <w:spacing w:val="-7"/>
          <w:sz w:val="28"/>
        </w:rPr>
        <w:t xml:space="preserve"> </w:t>
      </w:r>
      <w:r w:rsidRPr="00DD7BD1">
        <w:rPr>
          <w:rFonts w:ascii="Calibri" w:hAnsi="Calibri" w:cs="Calibri"/>
          <w:b/>
          <w:spacing w:val="-4"/>
          <w:sz w:val="28"/>
        </w:rPr>
        <w:t>Relations</w:t>
      </w:r>
      <w:r w:rsidRPr="00DD7BD1">
        <w:rPr>
          <w:rFonts w:ascii="Calibri" w:hAnsi="Calibri" w:cs="Calibri"/>
          <w:b/>
          <w:spacing w:val="-13"/>
          <w:sz w:val="28"/>
        </w:rPr>
        <w:t xml:space="preserve"> </w:t>
      </w:r>
      <w:r w:rsidRPr="00DD7BD1">
        <w:rPr>
          <w:rFonts w:ascii="Calibri" w:hAnsi="Calibri" w:cs="Calibri"/>
          <w:b/>
          <w:spacing w:val="-4"/>
          <w:sz w:val="28"/>
        </w:rPr>
        <w:t>Boards</w:t>
      </w:r>
      <w:bookmarkEnd w:id="123"/>
    </w:p>
    <w:p w14:paraId="38EDFB19"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In a significant development, New York enacted</w:t>
      </w:r>
      <w:r w:rsidRPr="00DD7BD1">
        <w:rPr>
          <w:rFonts w:cs="Calibri"/>
          <w:color w:val="auto"/>
          <w:spacing w:val="-7"/>
          <w:w w:val="110"/>
          <w:szCs w:val="22"/>
        </w:rPr>
        <w:t xml:space="preserve"> </w:t>
      </w:r>
      <w:hyperlink r:id="rId858">
        <w:r w:rsidRPr="00DD7BD1">
          <w:rPr>
            <w:rFonts w:cs="Calibri"/>
            <w:color w:val="0000FF"/>
            <w:w w:val="110"/>
            <w:szCs w:val="22"/>
            <w:u w:val="single" w:color="0000FF"/>
          </w:rPr>
          <w:t>S.8034A</w:t>
        </w:r>
        <w:r w:rsidRPr="00DD7BD1">
          <w:rPr>
            <w:rFonts w:cs="Calibri"/>
            <w:color w:val="2D74B5"/>
            <w:w w:val="110"/>
            <w:szCs w:val="22"/>
          </w:rPr>
          <w:t>,</w:t>
        </w:r>
      </w:hyperlink>
      <w:r w:rsidRPr="00DD7BD1">
        <w:rPr>
          <w:rFonts w:cs="Calibri"/>
          <w:color w:val="2D74B5"/>
          <w:w w:val="110"/>
          <w:szCs w:val="22"/>
        </w:rPr>
        <w:t xml:space="preserve"> </w:t>
      </w:r>
      <w:r w:rsidRPr="00DD7BD1">
        <w:rPr>
          <w:rFonts w:cs="Calibri"/>
          <w:color w:val="auto"/>
          <w:w w:val="110"/>
          <w:szCs w:val="22"/>
        </w:rPr>
        <w:t>a law that would transform its Public Employment Relations</w:t>
      </w:r>
      <w:r w:rsidRPr="00DD7BD1">
        <w:rPr>
          <w:rFonts w:cs="Calibri"/>
          <w:color w:val="auto"/>
          <w:spacing w:val="-7"/>
          <w:w w:val="110"/>
          <w:szCs w:val="22"/>
        </w:rPr>
        <w:t xml:space="preserve"> </w:t>
      </w:r>
      <w:r w:rsidRPr="00DD7BD1">
        <w:rPr>
          <w:rFonts w:cs="Calibri"/>
          <w:color w:val="auto"/>
          <w:w w:val="110"/>
          <w:szCs w:val="22"/>
        </w:rPr>
        <w:t>Board</w:t>
      </w:r>
      <w:r w:rsidRPr="00DD7BD1">
        <w:rPr>
          <w:rFonts w:cs="Calibri"/>
          <w:color w:val="auto"/>
          <w:spacing w:val="-10"/>
          <w:w w:val="110"/>
          <w:szCs w:val="22"/>
        </w:rPr>
        <w:t xml:space="preserve"> </w:t>
      </w:r>
      <w:r w:rsidRPr="00DD7BD1">
        <w:rPr>
          <w:rFonts w:cs="Calibri"/>
          <w:color w:val="auto"/>
          <w:w w:val="110"/>
          <w:szCs w:val="22"/>
        </w:rPr>
        <w:t>(PERB)</w:t>
      </w:r>
      <w:r w:rsidRPr="00DD7BD1">
        <w:rPr>
          <w:rFonts w:cs="Calibri"/>
          <w:color w:val="auto"/>
          <w:spacing w:val="-8"/>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mini-National</w:t>
      </w:r>
      <w:r w:rsidRPr="00DD7BD1">
        <w:rPr>
          <w:rFonts w:cs="Calibri"/>
          <w:color w:val="auto"/>
          <w:spacing w:val="-10"/>
          <w:w w:val="110"/>
          <w:szCs w:val="22"/>
        </w:rPr>
        <w:t xml:space="preserve"> </w:t>
      </w:r>
      <w:r w:rsidRPr="00DD7BD1">
        <w:rPr>
          <w:rFonts w:cs="Calibri"/>
          <w:color w:val="auto"/>
          <w:w w:val="110"/>
          <w:szCs w:val="22"/>
        </w:rPr>
        <w:t>Labor</w:t>
      </w:r>
      <w:r w:rsidRPr="00DD7BD1">
        <w:rPr>
          <w:rFonts w:cs="Calibri"/>
          <w:color w:val="auto"/>
          <w:spacing w:val="-9"/>
          <w:w w:val="110"/>
          <w:szCs w:val="22"/>
        </w:rPr>
        <w:t xml:space="preserve"> </w:t>
      </w:r>
      <w:r w:rsidRPr="00DD7BD1">
        <w:rPr>
          <w:rFonts w:cs="Calibri"/>
          <w:color w:val="auto"/>
          <w:w w:val="110"/>
          <w:szCs w:val="22"/>
        </w:rPr>
        <w:t>Relations</w:t>
      </w:r>
      <w:r w:rsidRPr="00DD7BD1">
        <w:rPr>
          <w:rFonts w:cs="Calibri"/>
          <w:color w:val="auto"/>
          <w:spacing w:val="-9"/>
          <w:w w:val="110"/>
          <w:szCs w:val="22"/>
        </w:rPr>
        <w:t xml:space="preserve"> </w:t>
      </w:r>
      <w:r w:rsidRPr="00DD7BD1">
        <w:rPr>
          <w:rFonts w:cs="Calibri"/>
          <w:color w:val="auto"/>
          <w:w w:val="110"/>
          <w:szCs w:val="22"/>
        </w:rPr>
        <w:t>Board</w:t>
      </w:r>
      <w:r w:rsidRPr="00DD7BD1">
        <w:rPr>
          <w:rFonts w:cs="Calibri"/>
          <w:color w:val="auto"/>
          <w:spacing w:val="-8"/>
          <w:w w:val="110"/>
          <w:szCs w:val="22"/>
        </w:rPr>
        <w:t xml:space="preserve"> </w:t>
      </w:r>
      <w:r w:rsidRPr="00DD7BD1">
        <w:rPr>
          <w:rFonts w:cs="Calibri"/>
          <w:color w:val="auto"/>
          <w:w w:val="110"/>
          <w:szCs w:val="22"/>
        </w:rPr>
        <w:t>(NLRB).</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new</w:t>
      </w:r>
      <w:r w:rsidRPr="00DD7BD1">
        <w:rPr>
          <w:rFonts w:cs="Calibri"/>
          <w:color w:val="auto"/>
          <w:spacing w:val="-8"/>
          <w:w w:val="110"/>
          <w:szCs w:val="22"/>
        </w:rPr>
        <w:t xml:space="preserve"> </w:t>
      </w:r>
      <w:r w:rsidRPr="00DD7BD1">
        <w:rPr>
          <w:rFonts w:cs="Calibri"/>
          <w:color w:val="auto"/>
          <w:w w:val="110"/>
          <w:szCs w:val="22"/>
        </w:rPr>
        <w:t>law,</w:t>
      </w:r>
      <w:r w:rsidRPr="00DD7BD1">
        <w:rPr>
          <w:rFonts w:cs="Calibri"/>
          <w:color w:val="auto"/>
          <w:spacing w:val="-9"/>
          <w:w w:val="110"/>
          <w:szCs w:val="22"/>
        </w:rPr>
        <w:t xml:space="preserve"> </w:t>
      </w:r>
      <w:r w:rsidRPr="00DD7BD1">
        <w:rPr>
          <w:rFonts w:cs="Calibri"/>
          <w:color w:val="auto"/>
          <w:w w:val="110"/>
          <w:szCs w:val="22"/>
        </w:rPr>
        <w:t>PERB</w:t>
      </w:r>
      <w:r w:rsidRPr="00DD7BD1">
        <w:rPr>
          <w:rFonts w:cs="Calibri"/>
          <w:color w:val="auto"/>
          <w:spacing w:val="-9"/>
          <w:w w:val="110"/>
          <w:szCs w:val="22"/>
        </w:rPr>
        <w:t xml:space="preserve"> </w:t>
      </w:r>
      <w:r w:rsidRPr="00DD7BD1">
        <w:rPr>
          <w:rFonts w:cs="Calibri"/>
          <w:color w:val="auto"/>
          <w:w w:val="110"/>
          <w:szCs w:val="22"/>
        </w:rPr>
        <w:t>would</w:t>
      </w:r>
      <w:r w:rsidRPr="00DD7BD1">
        <w:rPr>
          <w:rFonts w:cs="Calibri"/>
          <w:color w:val="auto"/>
          <w:spacing w:val="-10"/>
          <w:w w:val="110"/>
          <w:szCs w:val="22"/>
        </w:rPr>
        <w:t xml:space="preserve"> </w:t>
      </w:r>
      <w:r w:rsidRPr="00DD7BD1">
        <w:rPr>
          <w:rFonts w:cs="Calibri"/>
          <w:color w:val="auto"/>
          <w:w w:val="110"/>
          <w:szCs w:val="22"/>
        </w:rPr>
        <w:t>have new</w:t>
      </w:r>
      <w:r w:rsidRPr="00DD7BD1">
        <w:rPr>
          <w:rFonts w:cs="Calibri"/>
          <w:color w:val="auto"/>
          <w:spacing w:val="-11"/>
          <w:w w:val="110"/>
          <w:szCs w:val="22"/>
        </w:rPr>
        <w:t xml:space="preserve"> </w:t>
      </w:r>
      <w:r w:rsidRPr="00DD7BD1">
        <w:rPr>
          <w:rFonts w:cs="Calibri"/>
          <w:color w:val="auto"/>
          <w:w w:val="110"/>
          <w:szCs w:val="22"/>
        </w:rPr>
        <w:t>authority</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resolve</w:t>
      </w:r>
      <w:r w:rsidRPr="00DD7BD1">
        <w:rPr>
          <w:rFonts w:cs="Calibri"/>
          <w:color w:val="auto"/>
          <w:spacing w:val="-15"/>
          <w:w w:val="110"/>
          <w:szCs w:val="22"/>
        </w:rPr>
        <w:t xml:space="preserve"> </w:t>
      </w:r>
      <w:r w:rsidRPr="00DD7BD1">
        <w:rPr>
          <w:rFonts w:cs="Calibri"/>
          <w:color w:val="auto"/>
          <w:w w:val="110"/>
          <w:szCs w:val="22"/>
        </w:rPr>
        <w:t>unfair</w:t>
      </w:r>
      <w:r w:rsidRPr="00DD7BD1">
        <w:rPr>
          <w:rFonts w:cs="Calibri"/>
          <w:color w:val="auto"/>
          <w:spacing w:val="-12"/>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practices</w:t>
      </w:r>
      <w:r w:rsidRPr="00DD7BD1">
        <w:rPr>
          <w:rFonts w:cs="Calibri"/>
          <w:color w:val="auto"/>
          <w:spacing w:val="-12"/>
          <w:w w:val="110"/>
          <w:szCs w:val="22"/>
        </w:rPr>
        <w:t xml:space="preserve"> </w:t>
      </w:r>
      <w:r w:rsidRPr="00DD7BD1">
        <w:rPr>
          <w:rFonts w:cs="Calibri"/>
          <w:color w:val="auto"/>
          <w:w w:val="110"/>
          <w:szCs w:val="22"/>
        </w:rPr>
        <w:t>(ULPs),</w:t>
      </w:r>
      <w:r w:rsidRPr="00DD7BD1">
        <w:rPr>
          <w:rFonts w:cs="Calibri"/>
          <w:color w:val="auto"/>
          <w:spacing w:val="-11"/>
          <w:w w:val="110"/>
          <w:szCs w:val="22"/>
        </w:rPr>
        <w:t xml:space="preserve"> </w:t>
      </w:r>
      <w:r w:rsidRPr="00DD7BD1">
        <w:rPr>
          <w:rFonts w:cs="Calibri"/>
          <w:color w:val="auto"/>
          <w:w w:val="110"/>
          <w:szCs w:val="22"/>
        </w:rPr>
        <w:t>enforce</w:t>
      </w:r>
      <w:r w:rsidRPr="00DD7BD1">
        <w:rPr>
          <w:rFonts w:cs="Calibri"/>
          <w:color w:val="auto"/>
          <w:spacing w:val="-10"/>
          <w:w w:val="110"/>
          <w:szCs w:val="22"/>
        </w:rPr>
        <w:t xml:space="preserve"> </w:t>
      </w:r>
      <w:r w:rsidRPr="00DD7BD1">
        <w:rPr>
          <w:rFonts w:cs="Calibri"/>
          <w:color w:val="auto"/>
          <w:w w:val="110"/>
          <w:szCs w:val="22"/>
        </w:rPr>
        <w:t>collective</w:t>
      </w:r>
      <w:r w:rsidRPr="00DD7BD1">
        <w:rPr>
          <w:rFonts w:cs="Calibri"/>
          <w:color w:val="auto"/>
          <w:spacing w:val="-12"/>
          <w:w w:val="110"/>
          <w:szCs w:val="22"/>
        </w:rPr>
        <w:t xml:space="preserve"> </w:t>
      </w:r>
      <w:r w:rsidRPr="00DD7BD1">
        <w:rPr>
          <w:rFonts w:cs="Calibri"/>
          <w:color w:val="auto"/>
          <w:w w:val="110"/>
          <w:szCs w:val="22"/>
        </w:rPr>
        <w:t>bargaining</w:t>
      </w:r>
      <w:r w:rsidRPr="00DD7BD1">
        <w:rPr>
          <w:rFonts w:cs="Calibri"/>
          <w:color w:val="auto"/>
          <w:spacing w:val="-12"/>
          <w:w w:val="110"/>
          <w:szCs w:val="22"/>
        </w:rPr>
        <w:t xml:space="preserve"> </w:t>
      </w:r>
      <w:r w:rsidRPr="00DD7BD1">
        <w:rPr>
          <w:rFonts w:cs="Calibri"/>
          <w:color w:val="auto"/>
          <w:w w:val="110"/>
          <w:szCs w:val="22"/>
        </w:rPr>
        <w:t>agreements,</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certify</w:t>
      </w:r>
      <w:r w:rsidRPr="00DD7BD1">
        <w:rPr>
          <w:rFonts w:cs="Calibri"/>
          <w:color w:val="auto"/>
          <w:spacing w:val="-12"/>
          <w:w w:val="110"/>
          <w:szCs w:val="22"/>
        </w:rPr>
        <w:t xml:space="preserve"> </w:t>
      </w:r>
      <w:r w:rsidRPr="00DD7BD1">
        <w:rPr>
          <w:rFonts w:cs="Calibri"/>
          <w:color w:val="auto"/>
          <w:w w:val="110"/>
          <w:szCs w:val="22"/>
        </w:rPr>
        <w:t>unions operating</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private</w:t>
      </w:r>
      <w:r w:rsidRPr="00DD7BD1">
        <w:rPr>
          <w:rFonts w:cs="Calibri"/>
          <w:color w:val="auto"/>
          <w:spacing w:val="-17"/>
          <w:w w:val="110"/>
          <w:szCs w:val="22"/>
        </w:rPr>
        <w:t xml:space="preserve"> </w:t>
      </w:r>
      <w:r w:rsidRPr="00DD7BD1">
        <w:rPr>
          <w:rFonts w:cs="Calibri"/>
          <w:color w:val="auto"/>
          <w:w w:val="110"/>
          <w:szCs w:val="22"/>
        </w:rPr>
        <w:t>sector.</w:t>
      </w:r>
      <w:r w:rsidRPr="00DD7BD1">
        <w:rPr>
          <w:rFonts w:cs="Calibri"/>
          <w:color w:val="auto"/>
          <w:spacing w:val="2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enacting</w:t>
      </w:r>
      <w:r w:rsidRPr="00DD7BD1">
        <w:rPr>
          <w:rFonts w:cs="Calibri"/>
          <w:color w:val="auto"/>
          <w:spacing w:val="-17"/>
          <w:w w:val="110"/>
          <w:szCs w:val="22"/>
        </w:rPr>
        <w:t xml:space="preserve"> </w:t>
      </w:r>
      <w:r w:rsidRPr="00DD7BD1">
        <w:rPr>
          <w:rFonts w:cs="Calibri"/>
          <w:color w:val="auto"/>
          <w:w w:val="110"/>
          <w:szCs w:val="22"/>
        </w:rPr>
        <w:t>S.8034A,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York</w:t>
      </w:r>
      <w:r w:rsidRPr="00DD7BD1">
        <w:rPr>
          <w:rFonts w:cs="Calibri"/>
          <w:color w:val="auto"/>
          <w:spacing w:val="-17"/>
          <w:w w:val="110"/>
          <w:szCs w:val="22"/>
        </w:rPr>
        <w:t xml:space="preserve"> </w:t>
      </w:r>
      <w:r w:rsidRPr="00DD7BD1">
        <w:rPr>
          <w:rFonts w:cs="Calibri"/>
          <w:color w:val="auto"/>
          <w:w w:val="110"/>
          <w:szCs w:val="22"/>
        </w:rPr>
        <w:t>signals</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state's</w:t>
      </w:r>
      <w:r w:rsidRPr="00DD7BD1">
        <w:rPr>
          <w:rFonts w:cs="Calibri"/>
          <w:color w:val="auto"/>
          <w:spacing w:val="-17"/>
          <w:w w:val="110"/>
          <w:szCs w:val="22"/>
        </w:rPr>
        <w:t xml:space="preserve"> </w:t>
      </w:r>
      <w:r w:rsidRPr="00DD7BD1">
        <w:rPr>
          <w:rFonts w:cs="Calibri"/>
          <w:color w:val="auto"/>
          <w:w w:val="110"/>
          <w:szCs w:val="22"/>
        </w:rPr>
        <w:t>intent</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increase</w:t>
      </w:r>
      <w:r w:rsidRPr="00DD7BD1">
        <w:rPr>
          <w:rFonts w:cs="Calibri"/>
          <w:color w:val="auto"/>
          <w:spacing w:val="-17"/>
          <w:w w:val="110"/>
          <w:szCs w:val="22"/>
        </w:rPr>
        <w:t xml:space="preserve"> </w:t>
      </w:r>
      <w:r w:rsidRPr="00DD7BD1">
        <w:rPr>
          <w:rFonts w:cs="Calibri"/>
          <w:color w:val="auto"/>
          <w:w w:val="110"/>
          <w:szCs w:val="22"/>
        </w:rPr>
        <w:t>protections</w:t>
      </w:r>
      <w:r w:rsidRPr="00DD7BD1">
        <w:rPr>
          <w:rFonts w:cs="Calibri"/>
          <w:color w:val="auto"/>
          <w:spacing w:val="-17"/>
          <w:w w:val="110"/>
          <w:szCs w:val="22"/>
        </w:rPr>
        <w:t xml:space="preserve"> </w:t>
      </w:r>
      <w:r w:rsidRPr="00DD7BD1">
        <w:rPr>
          <w:rFonts w:cs="Calibri"/>
          <w:color w:val="auto"/>
          <w:w w:val="110"/>
          <w:szCs w:val="22"/>
        </w:rPr>
        <w:t>for workers</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NLRB</w:t>
      </w:r>
      <w:r w:rsidRPr="00DD7BD1">
        <w:rPr>
          <w:rFonts w:cs="Calibri"/>
          <w:color w:val="auto"/>
          <w:spacing w:val="-17"/>
          <w:w w:val="110"/>
          <w:szCs w:val="22"/>
        </w:rPr>
        <w:t xml:space="preserve"> </w:t>
      </w:r>
      <w:r w:rsidRPr="00DD7BD1">
        <w:rPr>
          <w:rFonts w:cs="Calibri"/>
          <w:color w:val="auto"/>
          <w:w w:val="110"/>
          <w:szCs w:val="22"/>
        </w:rPr>
        <w:t>continues</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operate</w:t>
      </w:r>
      <w:r w:rsidRPr="00DD7BD1">
        <w:rPr>
          <w:rFonts w:cs="Calibri"/>
          <w:color w:val="auto"/>
          <w:spacing w:val="-14"/>
          <w:w w:val="110"/>
          <w:szCs w:val="22"/>
        </w:rPr>
        <w:t xml:space="preserve"> </w:t>
      </w:r>
      <w:r w:rsidRPr="00DD7BD1">
        <w:rPr>
          <w:rFonts w:cs="Calibri"/>
          <w:color w:val="auto"/>
          <w:w w:val="110"/>
          <w:szCs w:val="22"/>
        </w:rPr>
        <w:t>without</w:t>
      </w:r>
      <w:r w:rsidRPr="00DD7BD1">
        <w:rPr>
          <w:rFonts w:cs="Calibri"/>
          <w:color w:val="auto"/>
          <w:spacing w:val="-15"/>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quorum.</w:t>
      </w:r>
    </w:p>
    <w:p w14:paraId="1CC6B0EC" w14:textId="77777777" w:rsidR="00B22B5D" w:rsidRPr="00DD7BD1" w:rsidRDefault="00B22B5D" w:rsidP="00B22B5D">
      <w:pPr>
        <w:pStyle w:val="BodyText"/>
        <w:spacing w:after="0" w:line="240" w:lineRule="auto"/>
        <w:ind w:right="-187"/>
        <w:jc w:val="left"/>
        <w:rPr>
          <w:rFonts w:cs="Calibri"/>
          <w:color w:val="auto"/>
          <w:sz w:val="16"/>
          <w:szCs w:val="16"/>
        </w:rPr>
      </w:pPr>
    </w:p>
    <w:p w14:paraId="0D7E021D"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spacing w:val="-2"/>
          <w:w w:val="110"/>
          <w:szCs w:val="22"/>
        </w:rPr>
        <w:t>Under</w:t>
      </w:r>
      <w:r w:rsidRPr="00DD7BD1">
        <w:rPr>
          <w:rFonts w:cs="Calibri"/>
          <w:color w:val="auto"/>
          <w:spacing w:val="-6"/>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National</w:t>
      </w:r>
      <w:r w:rsidRPr="00DD7BD1">
        <w:rPr>
          <w:rFonts w:cs="Calibri"/>
          <w:color w:val="auto"/>
          <w:spacing w:val="-7"/>
          <w:w w:val="110"/>
          <w:szCs w:val="22"/>
        </w:rPr>
        <w:t xml:space="preserve"> </w:t>
      </w:r>
      <w:r w:rsidRPr="00DD7BD1">
        <w:rPr>
          <w:rFonts w:cs="Calibri"/>
          <w:color w:val="auto"/>
          <w:spacing w:val="-2"/>
          <w:w w:val="110"/>
          <w:szCs w:val="22"/>
        </w:rPr>
        <w:t>Labor</w:t>
      </w:r>
      <w:r w:rsidRPr="00DD7BD1">
        <w:rPr>
          <w:rFonts w:cs="Calibri"/>
          <w:color w:val="auto"/>
          <w:spacing w:val="-7"/>
          <w:w w:val="110"/>
          <w:szCs w:val="22"/>
        </w:rPr>
        <w:t xml:space="preserve"> </w:t>
      </w:r>
      <w:r w:rsidRPr="00DD7BD1">
        <w:rPr>
          <w:rFonts w:cs="Calibri"/>
          <w:color w:val="auto"/>
          <w:spacing w:val="-2"/>
          <w:w w:val="110"/>
          <w:szCs w:val="22"/>
        </w:rPr>
        <w:t>Relations</w:t>
      </w:r>
      <w:r w:rsidRPr="00DD7BD1">
        <w:rPr>
          <w:rFonts w:cs="Calibri"/>
          <w:color w:val="auto"/>
          <w:spacing w:val="-7"/>
          <w:w w:val="110"/>
          <w:szCs w:val="22"/>
        </w:rPr>
        <w:t xml:space="preserve"> </w:t>
      </w:r>
      <w:r w:rsidRPr="00DD7BD1">
        <w:rPr>
          <w:rFonts w:cs="Calibri"/>
          <w:color w:val="auto"/>
          <w:spacing w:val="-2"/>
          <w:w w:val="110"/>
          <w:szCs w:val="22"/>
        </w:rPr>
        <w:t>Act</w:t>
      </w:r>
      <w:r w:rsidRPr="00DD7BD1">
        <w:rPr>
          <w:rFonts w:cs="Calibri"/>
          <w:color w:val="auto"/>
          <w:spacing w:val="-9"/>
          <w:w w:val="110"/>
          <w:szCs w:val="22"/>
        </w:rPr>
        <w:t xml:space="preserve"> </w:t>
      </w:r>
      <w:r w:rsidRPr="00DD7BD1">
        <w:rPr>
          <w:rFonts w:cs="Calibri"/>
          <w:color w:val="auto"/>
          <w:spacing w:val="-2"/>
          <w:w w:val="110"/>
          <w:szCs w:val="22"/>
        </w:rPr>
        <w:t>("NLRA")</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NLRB</w:t>
      </w:r>
      <w:r w:rsidRPr="00DD7BD1">
        <w:rPr>
          <w:rFonts w:cs="Calibri"/>
          <w:color w:val="auto"/>
          <w:spacing w:val="-9"/>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exclusive</w:t>
      </w:r>
      <w:r w:rsidRPr="00DD7BD1">
        <w:rPr>
          <w:rFonts w:cs="Calibri"/>
          <w:color w:val="auto"/>
          <w:spacing w:val="-6"/>
          <w:w w:val="110"/>
          <w:szCs w:val="22"/>
        </w:rPr>
        <w:t xml:space="preserve"> </w:t>
      </w:r>
      <w:r w:rsidRPr="00DD7BD1">
        <w:rPr>
          <w:rFonts w:cs="Calibri"/>
          <w:color w:val="auto"/>
          <w:spacing w:val="-2"/>
          <w:w w:val="110"/>
          <w:szCs w:val="22"/>
        </w:rPr>
        <w:t>jurisdiction</w:t>
      </w:r>
      <w:r w:rsidRPr="00DD7BD1">
        <w:rPr>
          <w:rFonts w:cs="Calibri"/>
          <w:color w:val="auto"/>
          <w:spacing w:val="-8"/>
          <w:w w:val="110"/>
          <w:szCs w:val="22"/>
        </w:rPr>
        <w:t xml:space="preserve"> </w:t>
      </w:r>
      <w:r w:rsidRPr="00DD7BD1">
        <w:rPr>
          <w:rFonts w:cs="Calibri"/>
          <w:color w:val="auto"/>
          <w:spacing w:val="-2"/>
          <w:w w:val="110"/>
          <w:szCs w:val="22"/>
        </w:rPr>
        <w:t>over</w:t>
      </w:r>
      <w:r w:rsidRPr="00DD7BD1">
        <w:rPr>
          <w:rFonts w:cs="Calibri"/>
          <w:color w:val="auto"/>
          <w:spacing w:val="-6"/>
          <w:w w:val="110"/>
          <w:szCs w:val="22"/>
        </w:rPr>
        <w:t xml:space="preserve"> </w:t>
      </w:r>
      <w:r w:rsidRPr="00DD7BD1">
        <w:rPr>
          <w:rFonts w:cs="Calibri"/>
          <w:color w:val="auto"/>
          <w:spacing w:val="-2"/>
          <w:w w:val="110"/>
          <w:szCs w:val="22"/>
        </w:rPr>
        <w:t>virtually</w:t>
      </w:r>
      <w:r w:rsidRPr="00DD7BD1">
        <w:rPr>
          <w:rFonts w:cs="Calibri"/>
          <w:color w:val="auto"/>
          <w:spacing w:val="-7"/>
          <w:w w:val="110"/>
          <w:szCs w:val="22"/>
        </w:rPr>
        <w:t xml:space="preserve"> </w:t>
      </w:r>
      <w:r w:rsidRPr="00DD7BD1">
        <w:rPr>
          <w:rFonts w:cs="Calibri"/>
          <w:color w:val="auto"/>
          <w:spacing w:val="-2"/>
          <w:w w:val="110"/>
          <w:szCs w:val="22"/>
        </w:rPr>
        <w:t>all</w:t>
      </w:r>
      <w:r w:rsidRPr="00DD7BD1">
        <w:rPr>
          <w:rFonts w:cs="Calibri"/>
          <w:color w:val="auto"/>
          <w:spacing w:val="-7"/>
          <w:w w:val="110"/>
          <w:szCs w:val="22"/>
        </w:rPr>
        <w:t xml:space="preserve"> </w:t>
      </w:r>
      <w:r w:rsidRPr="00DD7BD1">
        <w:rPr>
          <w:rFonts w:cs="Calibri"/>
          <w:color w:val="auto"/>
          <w:spacing w:val="-2"/>
          <w:w w:val="110"/>
          <w:szCs w:val="22"/>
        </w:rPr>
        <w:t>private</w:t>
      </w:r>
      <w:r w:rsidRPr="00DD7BD1">
        <w:rPr>
          <w:rFonts w:cs="Calibri"/>
          <w:color w:val="auto"/>
          <w:spacing w:val="-6"/>
          <w:w w:val="110"/>
          <w:szCs w:val="22"/>
        </w:rPr>
        <w:t xml:space="preserve"> </w:t>
      </w:r>
      <w:r w:rsidRPr="00DD7BD1">
        <w:rPr>
          <w:rFonts w:cs="Calibri"/>
          <w:color w:val="auto"/>
          <w:spacing w:val="-2"/>
          <w:w w:val="110"/>
          <w:szCs w:val="22"/>
        </w:rPr>
        <w:t xml:space="preserve">labor </w:t>
      </w:r>
      <w:r w:rsidRPr="00DD7BD1">
        <w:rPr>
          <w:rFonts w:cs="Calibri"/>
          <w:color w:val="auto"/>
          <w:w w:val="110"/>
          <w:szCs w:val="22"/>
        </w:rPr>
        <w:t>relations</w:t>
      </w:r>
      <w:r w:rsidRPr="00DD7BD1">
        <w:rPr>
          <w:rFonts w:cs="Calibri"/>
          <w:color w:val="auto"/>
          <w:spacing w:val="-3"/>
          <w:w w:val="110"/>
          <w:szCs w:val="22"/>
        </w:rPr>
        <w:t xml:space="preserve"> </w:t>
      </w:r>
      <w:r w:rsidRPr="00DD7BD1">
        <w:rPr>
          <w:rFonts w:cs="Calibri"/>
          <w:color w:val="auto"/>
          <w:w w:val="110"/>
          <w:szCs w:val="22"/>
        </w:rPr>
        <w:t>matters,</w:t>
      </w:r>
      <w:r w:rsidRPr="00DD7BD1">
        <w:rPr>
          <w:rFonts w:cs="Calibri"/>
          <w:color w:val="auto"/>
          <w:spacing w:val="-4"/>
          <w:w w:val="110"/>
          <w:szCs w:val="22"/>
        </w:rPr>
        <w:t xml:space="preserve"> </w:t>
      </w:r>
      <w:r w:rsidRPr="00DD7BD1">
        <w:rPr>
          <w:rFonts w:cs="Calibri"/>
          <w:color w:val="auto"/>
          <w:w w:val="110"/>
          <w:szCs w:val="22"/>
        </w:rPr>
        <w:t>which</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necessary</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ensure</w:t>
      </w:r>
      <w:r w:rsidRPr="00DD7BD1">
        <w:rPr>
          <w:rFonts w:cs="Calibri"/>
          <w:color w:val="auto"/>
          <w:spacing w:val="-3"/>
          <w:w w:val="110"/>
          <w:szCs w:val="22"/>
        </w:rPr>
        <w:t xml:space="preserve"> </w:t>
      </w:r>
      <w:r w:rsidRPr="00DD7BD1">
        <w:rPr>
          <w:rFonts w:cs="Calibri"/>
          <w:color w:val="auto"/>
          <w:w w:val="110"/>
          <w:szCs w:val="22"/>
        </w:rPr>
        <w:t>there</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single</w:t>
      </w:r>
      <w:r w:rsidRPr="00DD7BD1">
        <w:rPr>
          <w:rFonts w:cs="Calibri"/>
          <w:color w:val="auto"/>
          <w:spacing w:val="-3"/>
          <w:w w:val="110"/>
          <w:szCs w:val="22"/>
        </w:rPr>
        <w:t xml:space="preserve"> </w:t>
      </w:r>
      <w:r w:rsidRPr="00DD7BD1">
        <w:rPr>
          <w:rFonts w:cs="Calibri"/>
          <w:color w:val="auto"/>
          <w:w w:val="110"/>
          <w:szCs w:val="22"/>
        </w:rPr>
        <w:t>set</w:t>
      </w:r>
      <w:r w:rsidRPr="00DD7BD1">
        <w:rPr>
          <w:rFonts w:cs="Calibri"/>
          <w:color w:val="auto"/>
          <w:spacing w:val="-3"/>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4"/>
          <w:w w:val="110"/>
          <w:szCs w:val="22"/>
        </w:rPr>
        <w:t xml:space="preserve"> </w:t>
      </w:r>
      <w:r w:rsidRPr="00DD7BD1">
        <w:rPr>
          <w:rFonts w:cs="Calibri"/>
          <w:color w:val="auto"/>
          <w:w w:val="110"/>
          <w:szCs w:val="22"/>
        </w:rPr>
        <w:t>standards</w:t>
      </w:r>
      <w:r w:rsidRPr="00DD7BD1">
        <w:rPr>
          <w:rFonts w:cs="Calibri"/>
          <w:color w:val="auto"/>
          <w:spacing w:val="-5"/>
          <w:w w:val="110"/>
          <w:szCs w:val="22"/>
        </w:rPr>
        <w:t xml:space="preserve"> </w:t>
      </w:r>
      <w:r w:rsidRPr="00DD7BD1">
        <w:rPr>
          <w:rFonts w:cs="Calibri"/>
          <w:color w:val="auto"/>
          <w:w w:val="110"/>
          <w:szCs w:val="22"/>
        </w:rPr>
        <w:t>governing</w:t>
      </w:r>
      <w:r w:rsidRPr="00DD7BD1">
        <w:rPr>
          <w:rFonts w:cs="Calibri"/>
          <w:color w:val="auto"/>
          <w:spacing w:val="-3"/>
          <w:w w:val="110"/>
          <w:szCs w:val="22"/>
        </w:rPr>
        <w:t xml:space="preserve"> </w:t>
      </w:r>
      <w:r w:rsidRPr="00DD7BD1">
        <w:rPr>
          <w:rFonts w:cs="Calibri"/>
          <w:color w:val="auto"/>
          <w:w w:val="110"/>
          <w:szCs w:val="22"/>
        </w:rPr>
        <w:t>labor</w:t>
      </w:r>
      <w:r w:rsidRPr="00DD7BD1">
        <w:rPr>
          <w:rFonts w:cs="Calibri"/>
          <w:color w:val="auto"/>
          <w:spacing w:val="-4"/>
          <w:w w:val="110"/>
          <w:szCs w:val="22"/>
        </w:rPr>
        <w:t xml:space="preserve"> </w:t>
      </w:r>
      <w:r w:rsidRPr="00DD7BD1">
        <w:rPr>
          <w:rFonts w:cs="Calibri"/>
          <w:color w:val="auto"/>
          <w:w w:val="110"/>
          <w:szCs w:val="22"/>
        </w:rPr>
        <w:t>relations for</w:t>
      </w:r>
      <w:r w:rsidRPr="00DD7BD1">
        <w:rPr>
          <w:rFonts w:cs="Calibri"/>
          <w:color w:val="auto"/>
          <w:spacing w:val="-4"/>
          <w:w w:val="110"/>
          <w:szCs w:val="22"/>
        </w:rPr>
        <w:t xml:space="preserve"> </w:t>
      </w:r>
      <w:r w:rsidRPr="00DD7BD1">
        <w:rPr>
          <w:rFonts w:cs="Calibri"/>
          <w:color w:val="auto"/>
          <w:w w:val="110"/>
          <w:szCs w:val="22"/>
        </w:rPr>
        <w:t>all</w:t>
      </w:r>
      <w:r w:rsidRPr="00DD7BD1">
        <w:rPr>
          <w:rFonts w:cs="Calibri"/>
          <w:color w:val="auto"/>
          <w:spacing w:val="-6"/>
          <w:w w:val="110"/>
          <w:szCs w:val="22"/>
        </w:rPr>
        <w:t xml:space="preserve"> </w:t>
      </w:r>
      <w:r w:rsidRPr="00DD7BD1">
        <w:rPr>
          <w:rFonts w:cs="Calibri"/>
          <w:color w:val="auto"/>
          <w:w w:val="110"/>
          <w:szCs w:val="22"/>
        </w:rPr>
        <w:t>50</w:t>
      </w:r>
      <w:r w:rsidRPr="00DD7BD1">
        <w:rPr>
          <w:rFonts w:cs="Calibri"/>
          <w:color w:val="auto"/>
          <w:spacing w:val="-5"/>
          <w:w w:val="110"/>
          <w:szCs w:val="22"/>
        </w:rPr>
        <w:t xml:space="preserve"> </w:t>
      </w:r>
      <w:r w:rsidRPr="00DD7BD1">
        <w:rPr>
          <w:rFonts w:cs="Calibri"/>
          <w:color w:val="auto"/>
          <w:w w:val="110"/>
          <w:szCs w:val="22"/>
        </w:rPr>
        <w:t>states.</w:t>
      </w:r>
      <w:r w:rsidRPr="00DD7BD1">
        <w:rPr>
          <w:rFonts w:cs="Calibri"/>
          <w:color w:val="auto"/>
          <w:spacing w:val="-6"/>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York's</w:t>
      </w:r>
      <w:r w:rsidRPr="00DD7BD1">
        <w:rPr>
          <w:rFonts w:cs="Calibri"/>
          <w:color w:val="auto"/>
          <w:spacing w:val="-4"/>
          <w:w w:val="110"/>
          <w:szCs w:val="22"/>
        </w:rPr>
        <w:t xml:space="preserve"> </w:t>
      </w:r>
      <w:r w:rsidRPr="00DD7BD1">
        <w:rPr>
          <w:rFonts w:cs="Calibri"/>
          <w:color w:val="auto"/>
          <w:w w:val="110"/>
          <w:szCs w:val="22"/>
        </w:rPr>
        <w:t>intrusion</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2"/>
          <w:w w:val="110"/>
          <w:szCs w:val="22"/>
        </w:rPr>
        <w:t xml:space="preserve"> </w:t>
      </w:r>
      <w:r w:rsidRPr="00DD7BD1">
        <w:rPr>
          <w:rFonts w:cs="Calibri"/>
          <w:color w:val="auto"/>
          <w:w w:val="110"/>
          <w:szCs w:val="22"/>
        </w:rPr>
        <w:t>federal</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policy</w:t>
      </w:r>
      <w:r w:rsidRPr="00DD7BD1">
        <w:rPr>
          <w:rFonts w:cs="Calibri"/>
          <w:color w:val="auto"/>
          <w:spacing w:val="-3"/>
          <w:w w:val="110"/>
          <w:szCs w:val="22"/>
        </w:rPr>
        <w:t xml:space="preserve"> </w:t>
      </w:r>
      <w:r w:rsidRPr="00DD7BD1">
        <w:rPr>
          <w:rFonts w:cs="Calibri"/>
          <w:color w:val="auto"/>
          <w:w w:val="110"/>
          <w:szCs w:val="22"/>
        </w:rPr>
        <w:t>risks</w:t>
      </w:r>
      <w:r w:rsidRPr="00DD7BD1">
        <w:rPr>
          <w:rFonts w:cs="Calibri"/>
          <w:color w:val="auto"/>
          <w:spacing w:val="-4"/>
          <w:w w:val="110"/>
          <w:szCs w:val="22"/>
        </w:rPr>
        <w:t xml:space="preserve"> </w:t>
      </w:r>
      <w:r w:rsidRPr="00DD7BD1">
        <w:rPr>
          <w:rFonts w:cs="Calibri"/>
          <w:color w:val="auto"/>
          <w:w w:val="110"/>
          <w:szCs w:val="22"/>
        </w:rPr>
        <w:t>undermining</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3"/>
          <w:w w:val="110"/>
          <w:szCs w:val="22"/>
        </w:rPr>
        <w:t xml:space="preserve"> </w:t>
      </w:r>
      <w:r w:rsidRPr="00DD7BD1">
        <w:rPr>
          <w:rFonts w:cs="Calibri"/>
          <w:color w:val="auto"/>
          <w:w w:val="110"/>
          <w:szCs w:val="22"/>
        </w:rPr>
        <w:t>uniform</w:t>
      </w:r>
      <w:r w:rsidRPr="00DD7BD1">
        <w:rPr>
          <w:rFonts w:cs="Calibri"/>
          <w:color w:val="auto"/>
          <w:spacing w:val="-3"/>
          <w:w w:val="110"/>
          <w:szCs w:val="22"/>
        </w:rPr>
        <w:t xml:space="preserve"> </w:t>
      </w:r>
      <w:r w:rsidRPr="00DD7BD1">
        <w:rPr>
          <w:rFonts w:cs="Calibri"/>
          <w:color w:val="auto"/>
          <w:w w:val="110"/>
          <w:szCs w:val="22"/>
        </w:rPr>
        <w:t>federal</w:t>
      </w:r>
      <w:r w:rsidRPr="00DD7BD1">
        <w:rPr>
          <w:rFonts w:cs="Calibri"/>
          <w:color w:val="auto"/>
          <w:spacing w:val="-7"/>
          <w:w w:val="110"/>
          <w:szCs w:val="22"/>
        </w:rPr>
        <w:t xml:space="preserve"> </w:t>
      </w:r>
      <w:r w:rsidRPr="00DD7BD1">
        <w:rPr>
          <w:rFonts w:cs="Calibri"/>
          <w:color w:val="auto"/>
          <w:w w:val="110"/>
          <w:szCs w:val="22"/>
        </w:rPr>
        <w:t>standards, creating considerable compliance challenges</w:t>
      </w:r>
    </w:p>
    <w:p w14:paraId="3623C4BD" w14:textId="77777777" w:rsidR="00B22B5D" w:rsidRPr="00DD7BD1" w:rsidRDefault="00B22B5D" w:rsidP="00B22B5D">
      <w:pPr>
        <w:pStyle w:val="BodyText"/>
        <w:spacing w:after="0" w:line="240" w:lineRule="auto"/>
        <w:ind w:right="-187"/>
        <w:jc w:val="left"/>
        <w:rPr>
          <w:rFonts w:cs="Calibri"/>
          <w:color w:val="auto"/>
          <w:w w:val="110"/>
          <w:sz w:val="16"/>
          <w:szCs w:val="16"/>
        </w:rPr>
      </w:pPr>
    </w:p>
    <w:p w14:paraId="4E4FA6BD" w14:textId="2B074AB2" w:rsidR="00B22B5D" w:rsidRPr="00DD7BD1" w:rsidRDefault="00B22B5D" w:rsidP="00B22B5D">
      <w:pPr>
        <w:pStyle w:val="BodyText"/>
        <w:spacing w:after="0" w:line="240" w:lineRule="auto"/>
        <w:ind w:right="-187"/>
        <w:rPr>
          <w:rFonts w:cs="Calibri"/>
          <w:color w:val="auto"/>
          <w:w w:val="110"/>
          <w:szCs w:val="22"/>
        </w:rPr>
      </w:pPr>
      <w:r w:rsidRPr="00DD7BD1">
        <w:rPr>
          <w:rFonts w:cs="Calibri"/>
          <w:color w:val="auto"/>
          <w:w w:val="110"/>
          <w:szCs w:val="22"/>
        </w:rPr>
        <w:t>New York's expansion of state labor authority introduces uncharted complexities for employers, potentially altering the playing field for labor relations in New York.</w:t>
      </w:r>
    </w:p>
    <w:p w14:paraId="32D85B48" w14:textId="77777777" w:rsidR="00B22B5D" w:rsidRPr="00DD7BD1" w:rsidRDefault="00B22B5D" w:rsidP="00B22B5D">
      <w:pPr>
        <w:pStyle w:val="BodyText"/>
        <w:spacing w:after="0" w:line="240" w:lineRule="auto"/>
        <w:ind w:right="-187"/>
        <w:rPr>
          <w:rFonts w:cs="Calibri"/>
          <w:color w:val="auto"/>
          <w:w w:val="110"/>
          <w:szCs w:val="22"/>
        </w:rPr>
      </w:pPr>
    </w:p>
    <w:p w14:paraId="36FC5E62" w14:textId="60844B75" w:rsidR="0001411D" w:rsidRPr="00DD7BD1" w:rsidRDefault="00B22B5D" w:rsidP="0001411D">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w:t>
      </w:r>
      <w:r w:rsidR="0001411D" w:rsidRPr="00DD7BD1">
        <w:rPr>
          <w:rFonts w:ascii="Calibri" w:hAnsi="Calibri" w:cs="Calibri"/>
          <w:b/>
          <w:bCs/>
          <w:sz w:val="28"/>
          <w:szCs w:val="28"/>
          <w:shd w:val="clear" w:color="auto" w:fill="FFFFFF"/>
          <w:lang w:val="en"/>
        </w:rPr>
        <w:t xml:space="preserve"> Sunsets Covid-19 Sick Leave – </w:t>
      </w:r>
      <w:r w:rsidR="0001411D" w:rsidRPr="00DD7BD1">
        <w:rPr>
          <w:rFonts w:ascii="Calibri" w:hAnsi="Calibri" w:cs="Calibri"/>
          <w:b/>
          <w:bCs/>
          <w:color w:val="C00000"/>
          <w:sz w:val="28"/>
          <w:szCs w:val="28"/>
          <w:shd w:val="clear" w:color="auto" w:fill="FFFFFF"/>
          <w:lang w:val="en"/>
        </w:rPr>
        <w:t>July 31, 2025</w:t>
      </w:r>
    </w:p>
    <w:p w14:paraId="5401EB9C" w14:textId="658E8482" w:rsidR="0001411D" w:rsidRPr="00DD7BD1" w:rsidRDefault="0001411D" w:rsidP="0001411D">
      <w:pPr>
        <w:jc w:val="both"/>
        <w:rPr>
          <w:rFonts w:ascii="Calibri" w:hAnsi="Calibri" w:cs="Calibri"/>
        </w:rPr>
      </w:pPr>
      <w:r w:rsidRPr="00DD7BD1">
        <w:rPr>
          <w:rFonts w:ascii="Calibri" w:hAnsi="Calibri" w:cs="Calibri"/>
        </w:rPr>
        <w:t>After July 31, 2025, New York employers no longer need to provide COVID-19 sick leave and can do away with any applicable policies.</w:t>
      </w:r>
    </w:p>
    <w:p w14:paraId="712FFB47" w14:textId="20ED8B33"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Jury Duty Pay </w:t>
      </w:r>
      <w:r w:rsidRPr="00DD7BD1">
        <w:rPr>
          <w:rFonts w:ascii="Calibri" w:hAnsi="Calibri" w:cs="Calibri"/>
          <w:b/>
          <w:bCs/>
          <w:color w:val="C00000"/>
          <w:sz w:val="28"/>
          <w:szCs w:val="28"/>
          <w:shd w:val="clear" w:color="auto" w:fill="FFFFFF"/>
          <w:lang w:val="en"/>
        </w:rPr>
        <w:t>– Eff June 8, 2025</w:t>
      </w:r>
    </w:p>
    <w:p w14:paraId="01AEF827" w14:textId="6F14E5D8" w:rsidR="00AD4A8E" w:rsidRPr="00DD7BD1" w:rsidRDefault="00AD4A8E" w:rsidP="00F45F26">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859" w:tgtFrame="_blank" w:history="1">
        <w:r w:rsidRPr="00DD7BD1">
          <w:rPr>
            <w:rStyle w:val="Hyperlink"/>
            <w:rFonts w:ascii="Calibri" w:hAnsi="Calibri" w:cs="Calibri"/>
            <w:shd w:val="clear" w:color="auto" w:fill="FFFFFF"/>
          </w:rPr>
          <w:t>New York’s Jury Duty Information for Employers</w:t>
        </w:r>
      </w:hyperlink>
      <w:r w:rsidRPr="00DD7BD1">
        <w:rPr>
          <w:rFonts w:ascii="Calibri" w:hAnsi="Calibri" w:cs="Calibri"/>
          <w:color w:val="C00000"/>
          <w:shd w:val="clear" w:color="auto" w:fill="FFFFFF"/>
        </w:rPr>
        <w:t> </w:t>
      </w:r>
      <w:r w:rsidRPr="00DD7BD1">
        <w:rPr>
          <w:rFonts w:ascii="Calibri" w:hAnsi="Calibri" w:cs="Calibri"/>
          <w:shd w:val="clear" w:color="auto" w:fill="FFFFFF"/>
        </w:rPr>
        <w:t>and this </w:t>
      </w:r>
      <w:hyperlink r:id="rId860" w:tgtFrame="_blank" w:history="1">
        <w:r w:rsidRPr="00DD7BD1">
          <w:rPr>
            <w:rStyle w:val="Hyperlink"/>
            <w:rFonts w:ascii="Calibri" w:hAnsi="Calibri" w:cs="Calibri"/>
            <w:shd w:val="clear" w:color="auto" w:fill="FFFFFF"/>
          </w:rPr>
          <w:t>flowchart</w:t>
        </w:r>
      </w:hyperlink>
      <w:r w:rsidRPr="00DD7BD1">
        <w:rPr>
          <w:rFonts w:ascii="Calibri" w:hAnsi="Calibri" w:cs="Calibri"/>
          <w:color w:val="C00000"/>
          <w:shd w:val="clear" w:color="auto" w:fill="FFFFFF"/>
        </w:rPr>
        <w:t>.</w:t>
      </w:r>
    </w:p>
    <w:p w14:paraId="5B1C6549" w14:textId="77777777" w:rsidR="00F45F26" w:rsidRPr="00DD7BD1" w:rsidRDefault="00F45F26" w:rsidP="00F45F26">
      <w:pPr>
        <w:spacing w:after="0" w:line="240" w:lineRule="auto"/>
        <w:rPr>
          <w:rFonts w:ascii="Calibri" w:hAnsi="Calibri" w:cs="Calibri"/>
          <w:color w:val="C00000"/>
          <w:shd w:val="clear" w:color="auto" w:fill="FFFFFF"/>
        </w:rPr>
      </w:pPr>
    </w:p>
    <w:p w14:paraId="36538144" w14:textId="515BA8C2"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Exempt employees should be paid their full salary unless they’re gone for an entire workweek and do no work at all during that time, though employers can offset the amount the employee receives from the state.</w:t>
      </w:r>
    </w:p>
    <w:p w14:paraId="27D35350" w14:textId="0242A25E"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With the May HR WIRE, ETC will release an updated New York State Handbook Addendum reflective of the daily payment increase.</w:t>
      </w:r>
    </w:p>
    <w:p w14:paraId="2A0694EF" w14:textId="77777777" w:rsidR="00F45F26" w:rsidRPr="00DD7BD1" w:rsidRDefault="00F45F26" w:rsidP="00F45F26">
      <w:pPr>
        <w:spacing w:after="0" w:line="240" w:lineRule="auto"/>
        <w:jc w:val="center"/>
        <w:rPr>
          <w:rFonts w:ascii="Calibri" w:hAnsi="Calibri" w:cs="Calibri"/>
          <w:b/>
          <w:bCs/>
          <w:sz w:val="28"/>
          <w:szCs w:val="28"/>
          <w:u w:val="single"/>
          <w:shd w:val="clear" w:color="auto" w:fill="FFFFFF"/>
          <w:lang w:val="en"/>
        </w:rPr>
      </w:pPr>
    </w:p>
    <w:p w14:paraId="1C513605" w14:textId="30FA7822" w:rsidR="00F45F26" w:rsidRPr="00DD7BD1" w:rsidRDefault="00F45F26" w:rsidP="00F45F2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New York City</w:t>
      </w:r>
      <w:r w:rsidRPr="00DD7BD1">
        <w:rPr>
          <w:rFonts w:ascii="Calibri" w:hAnsi="Calibri" w:cs="Calibri"/>
          <w:b/>
          <w:bCs/>
          <w:sz w:val="28"/>
          <w:szCs w:val="28"/>
          <w:shd w:val="clear" w:color="auto" w:fill="FFFFFF"/>
          <w:lang w:val="en"/>
        </w:rPr>
        <w:t xml:space="preserve"> Amends Paid Sick Leave Rule for Prenatal Leave – </w:t>
      </w:r>
      <w:r w:rsidRPr="00DD7BD1">
        <w:rPr>
          <w:rFonts w:ascii="Calibri" w:hAnsi="Calibri" w:cs="Calibri"/>
          <w:b/>
          <w:bCs/>
          <w:color w:val="C00000"/>
          <w:sz w:val="28"/>
          <w:szCs w:val="28"/>
          <w:shd w:val="clear" w:color="auto" w:fill="FFFFFF"/>
          <w:lang w:val="en"/>
        </w:rPr>
        <w:t>Eff July 2, 2025</w:t>
      </w:r>
    </w:p>
    <w:p w14:paraId="72921855"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 City has </w:t>
      </w:r>
      <w:hyperlink r:id="rId861"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rules for the city’s Earned Safe and Sick Time Act (ESSTA) to incorporate the</w:t>
      </w:r>
      <w:r w:rsidRPr="00DD7BD1">
        <w:rPr>
          <w:rFonts w:ascii="Calibri" w:hAnsi="Calibri" w:cs="Calibri"/>
          <w:b/>
          <w:bCs/>
          <w:shd w:val="clear" w:color="auto" w:fill="FFFFFF"/>
        </w:rPr>
        <w:t xml:space="preserve"> state law </w:t>
      </w:r>
      <w:hyperlink r:id="rId862" w:history="1">
        <w:r w:rsidRPr="00DD7BD1">
          <w:rPr>
            <w:rStyle w:val="Hyperlink"/>
            <w:rFonts w:ascii="Calibri" w:hAnsi="Calibri" w:cs="Calibri"/>
            <w:shd w:val="clear" w:color="auto" w:fill="FFFFFF"/>
          </w:rPr>
          <w:t>paid prenatal leave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requirement that took effect Jan. 1, 2025. The city also issued an updated paid safe and sick time </w:t>
      </w:r>
      <w:hyperlink r:id="rId863" w:history="1">
        <w:r w:rsidRPr="00DD7BD1">
          <w:rPr>
            <w:rStyle w:val="Hyperlink"/>
            <w:rFonts w:ascii="Calibri" w:hAnsi="Calibri" w:cs="Calibri"/>
            <w:shd w:val="clear" w:color="auto" w:fill="FFFFFF"/>
          </w:rPr>
          <w:t>notice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for employer use.  Additionally, the city has released updated </w:t>
      </w:r>
      <w:hyperlink r:id="rId864" w:tgtFrame="_blank" w:history="1">
        <w:r w:rsidRPr="00DD7BD1">
          <w:rPr>
            <w:rStyle w:val="Hyperlink"/>
            <w:rFonts w:ascii="Calibri" w:hAnsi="Calibri" w:cs="Calibri"/>
            <w:shd w:val="clear" w:color="auto" w:fill="FFFFFF"/>
          </w:rPr>
          <w:t>FAQs</w:t>
        </w:r>
      </w:hyperlink>
    </w:p>
    <w:p w14:paraId="69BC6FC2"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ESSTA rules take effect July 2, 2025.</w:t>
      </w:r>
    </w:p>
    <w:p w14:paraId="7D18617B" w14:textId="77777777" w:rsidR="00F45F26" w:rsidRPr="00DD7BD1" w:rsidRDefault="00F45F26" w:rsidP="00F45F26">
      <w:pPr>
        <w:spacing w:after="0" w:line="240" w:lineRule="auto"/>
        <w:rPr>
          <w:rFonts w:ascii="Calibri" w:hAnsi="Calibri" w:cs="Calibri"/>
          <w:shd w:val="clear" w:color="auto" w:fill="FFFFFF"/>
        </w:rPr>
      </w:pPr>
    </w:p>
    <w:p w14:paraId="2B609D20"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New York </w:t>
      </w:r>
      <w:r w:rsidRPr="00DD7BD1">
        <w:rPr>
          <w:rFonts w:ascii="Calibri" w:hAnsi="Calibri" w:cs="Calibri"/>
          <w:b/>
          <w:u w:val="single"/>
          <w:shd w:val="clear" w:color="auto" w:fill="FFFFFF"/>
        </w:rPr>
        <w:t xml:space="preserve">State </w:t>
      </w:r>
      <w:r w:rsidRPr="00DD7BD1">
        <w:rPr>
          <w:rFonts w:ascii="Calibri" w:hAnsi="Calibri" w:cs="Calibri"/>
          <w:b/>
          <w:shd w:val="clear" w:color="auto" w:fill="FFFFFF"/>
        </w:rPr>
        <w:t>Prenatal Leave Requirement</w:t>
      </w:r>
    </w:p>
    <w:p w14:paraId="3478AEC4"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Pr="00DD7BD1" w:rsidRDefault="00F45F26" w:rsidP="00F45F26">
      <w:pPr>
        <w:spacing w:after="0" w:line="240" w:lineRule="auto"/>
        <w:rPr>
          <w:rFonts w:ascii="Calibri" w:hAnsi="Calibri" w:cs="Calibri"/>
          <w:b/>
          <w:shd w:val="clear" w:color="auto" w:fill="FFFFFF"/>
        </w:rPr>
      </w:pPr>
    </w:p>
    <w:p w14:paraId="58460ADE"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New York City ESSTA</w:t>
      </w:r>
    </w:p>
    <w:p w14:paraId="121BDCBD"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DD7BD1" w:rsidRDefault="00F45F26" w:rsidP="00F45F26">
      <w:pPr>
        <w:spacing w:after="0" w:line="240" w:lineRule="auto"/>
        <w:rPr>
          <w:rFonts w:ascii="Calibri" w:hAnsi="Calibri" w:cs="Calibri"/>
          <w:sz w:val="16"/>
          <w:szCs w:val="16"/>
          <w:shd w:val="clear" w:color="auto" w:fill="FFFFFF"/>
        </w:rPr>
      </w:pPr>
    </w:p>
    <w:p w14:paraId="7EAFE8CB" w14:textId="77777777" w:rsidR="00F45F26" w:rsidRPr="00DD7BD1" w:rsidRDefault="00F45F26" w:rsidP="00F45F26">
      <w:p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Effective </w:t>
      </w:r>
      <w:r w:rsidRPr="00DD7BD1">
        <w:rPr>
          <w:rFonts w:ascii="Calibri" w:hAnsi="Calibri" w:cs="Calibri"/>
          <w:color w:val="C00000"/>
          <w:shd w:val="clear" w:color="auto" w:fill="FFFFFF"/>
        </w:rPr>
        <w:t xml:space="preserve">July 2, 2025, </w:t>
      </w:r>
      <w:r w:rsidRPr="00DD7BD1">
        <w:rPr>
          <w:rFonts w:ascii="Calibri" w:hAnsi="Calibri" w:cs="Calibri"/>
          <w:u w:val="single"/>
          <w:shd w:val="clear" w:color="auto" w:fill="FFFFFF"/>
        </w:rPr>
        <w:t>New York City employers must additionally comply with the amended ESSTA rules</w:t>
      </w:r>
      <w:r w:rsidRPr="00DD7BD1">
        <w:rPr>
          <w:rFonts w:ascii="Calibri" w:hAnsi="Calibri" w:cs="Calibri"/>
          <w:shd w:val="clear" w:color="auto" w:fill="FFFFFF"/>
        </w:rPr>
        <w:t xml:space="preserve">, which </w:t>
      </w:r>
      <w:r w:rsidRPr="00DD7BD1">
        <w:rPr>
          <w:rFonts w:ascii="Calibri" w:hAnsi="Calibri" w:cs="Calibri"/>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Pr="00DD7BD1" w:rsidRDefault="00F45F26" w:rsidP="00F45F26">
      <w:pPr>
        <w:spacing w:after="0" w:line="240" w:lineRule="auto"/>
        <w:rPr>
          <w:rFonts w:ascii="Calibri" w:hAnsi="Calibri" w:cs="Calibri"/>
          <w:u w:val="single"/>
          <w:shd w:val="clear" w:color="auto" w:fill="FFFFFF"/>
        </w:rPr>
      </w:pPr>
    </w:p>
    <w:p w14:paraId="5C6BE9EF"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Beginning July 2, 2025, New York City’s (NYC) Earned Safe and Sick Time Act (ESSTA) rules will be amended to address the state’s</w:t>
      </w:r>
      <w:r w:rsidRPr="00DD7BD1">
        <w:rPr>
          <w:rFonts w:ascii="Calibri" w:hAnsi="Calibri" w:cs="Calibri"/>
          <w:i/>
          <w:iCs/>
          <w:shd w:val="clear" w:color="auto" w:fill="FFFFFF"/>
        </w:rPr>
        <w:t> </w:t>
      </w:r>
      <w:r w:rsidRPr="00DD7BD1">
        <w:rPr>
          <w:rFonts w:ascii="Calibri" w:hAnsi="Calibri" w:cs="Calibri"/>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49B4C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Pay Statement Notices</w:t>
      </w:r>
      <w:r w:rsidRPr="00DD7BD1">
        <w:rPr>
          <w:rFonts w:ascii="Calibri" w:hAnsi="Calibri" w:cs="Calibri"/>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31CC8C30"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Recordkeeping</w:t>
      </w:r>
      <w:r w:rsidRPr="00DD7BD1">
        <w:rPr>
          <w:rFonts w:ascii="Calibri" w:hAnsi="Calibri" w:cs="Calibri"/>
          <w:shd w:val="clear" w:color="auto" w:fill="FFFFFF"/>
        </w:rPr>
        <w:br/>
        <w:t>Employers need to maintain PPL records for each employee, including the date and time the employee used PPL and the amount used during each pay period.</w:t>
      </w:r>
    </w:p>
    <w:p w14:paraId="0F2AEBDA"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7CA6B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Written Policy</w:t>
      </w:r>
      <w:r w:rsidRPr="00DD7BD1">
        <w:rPr>
          <w:rFonts w:ascii="Calibri" w:hAnsi="Calibri" w:cs="Calibri"/>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Pr="00DD7BD1" w:rsidRDefault="00F45F26" w:rsidP="00F45F26">
      <w:pPr>
        <w:spacing w:after="0" w:line="240" w:lineRule="auto"/>
        <w:rPr>
          <w:rFonts w:ascii="Calibri" w:hAnsi="Calibri" w:cs="Calibri"/>
          <w:shd w:val="clear" w:color="auto" w:fill="FFFFFF"/>
        </w:rPr>
      </w:pPr>
    </w:p>
    <w:p w14:paraId="526FF4F9" w14:textId="77777777"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 xml:space="preserve">New York City </w:t>
      </w:r>
      <w:r w:rsidRPr="00DD7BD1">
        <w:rPr>
          <w:rFonts w:ascii="Calibri" w:hAnsi="Calibri" w:cs="Calibri"/>
          <w:b/>
          <w:bCs/>
          <w:sz w:val="28"/>
          <w:szCs w:val="28"/>
          <w:shd w:val="clear" w:color="auto" w:fill="FFFFFF"/>
          <w:lang w:val="en"/>
        </w:rPr>
        <w:t xml:space="preserve">Amends Lactation Accommodation Policy – </w:t>
      </w:r>
      <w:r w:rsidRPr="00DD7BD1">
        <w:rPr>
          <w:rFonts w:ascii="Calibri" w:hAnsi="Calibri" w:cs="Calibri"/>
          <w:b/>
          <w:bCs/>
          <w:color w:val="C00000"/>
          <w:sz w:val="28"/>
          <w:szCs w:val="28"/>
          <w:shd w:val="clear" w:color="auto" w:fill="FFFFFF"/>
          <w:lang w:val="en"/>
        </w:rPr>
        <w:t>Eff May 8, 2025</w:t>
      </w:r>
    </w:p>
    <w:p w14:paraId="5A41FAAB" w14:textId="5C1E1CCA" w:rsidR="00AD4A8E" w:rsidRPr="00DD7BD1" w:rsidRDefault="00AD4A8E" w:rsidP="00AD4A8E">
      <w:pPr>
        <w:rPr>
          <w:rFonts w:ascii="Calibri" w:hAnsi="Calibri" w:cs="Calibri"/>
        </w:rPr>
      </w:pPr>
      <w:r w:rsidRPr="00DD7BD1">
        <w:rPr>
          <w:rFonts w:ascii="Calibri" w:hAnsi="Calibri" w:cs="Calibri"/>
        </w:rPr>
        <w:t xml:space="preserve">In November 2024, New York City (NYC) </w:t>
      </w:r>
      <w:hyperlink r:id="rId865" w:history="1">
        <w:r w:rsidRPr="00DD7BD1">
          <w:rPr>
            <w:rStyle w:val="Hyperlink"/>
            <w:rFonts w:ascii="Calibri" w:hAnsi="Calibri" w:cs="Calibri"/>
          </w:rPr>
          <w:t>amended</w:t>
        </w:r>
      </w:hyperlink>
      <w:r w:rsidRPr="00DD7BD1">
        <w:rPr>
          <w:rFonts w:ascii="Calibri" w:hAnsi="Calibri" w:cs="Calibri"/>
        </w:rPr>
        <w:t xml:space="preserve"> the lactation accommodation policy provisions of the New York City Human Rights Law (NYCHRL). The amendments, effective </w:t>
      </w:r>
      <w:r w:rsidRPr="00DD7BD1">
        <w:rPr>
          <w:rFonts w:ascii="Calibri" w:hAnsi="Calibri" w:cs="Calibri"/>
          <w:b/>
          <w:bCs/>
        </w:rPr>
        <w:t>May 8, 2025</w:t>
      </w:r>
      <w:r w:rsidRPr="00DD7BD1">
        <w:rPr>
          <w:rFonts w:ascii="Calibri" w:hAnsi="Calibri" w:cs="Calibri"/>
        </w:rPr>
        <w:t xml:space="preserve">, add new posting requirements and align the NYC law with New York State’s paid lactation break requirements.  </w:t>
      </w:r>
    </w:p>
    <w:p w14:paraId="4BF05AF4" w14:textId="2D9C315A" w:rsidR="00AD4A8E" w:rsidRPr="00DD7BD1" w:rsidRDefault="00AD4A8E" w:rsidP="00AD4A8E">
      <w:pPr>
        <w:rPr>
          <w:rFonts w:ascii="Calibri" w:hAnsi="Calibri" w:cs="Calibri"/>
        </w:rPr>
      </w:pPr>
      <w:r w:rsidRPr="00DD7BD1">
        <w:rPr>
          <w:rFonts w:ascii="Calibri" w:hAnsi="Calibri" w:cs="Calibri"/>
        </w:rPr>
        <w:t xml:space="preserve">The NYCHRL requires employers with </w:t>
      </w:r>
      <w:r w:rsidRPr="00DD7BD1">
        <w:rPr>
          <w:rFonts w:ascii="Calibri" w:hAnsi="Calibri" w:cs="Calibri"/>
          <w:b/>
          <w:bCs/>
        </w:rPr>
        <w:t>four or more employees</w:t>
      </w:r>
      <w:r w:rsidRPr="00DD7BD1">
        <w:rPr>
          <w:rFonts w:ascii="Calibri" w:hAnsi="Calibri" w:cs="Calibri"/>
        </w:rPr>
        <w:t xml:space="preserve"> to provide employees with lactation accommodations, including a lactation room where employees can pump or express breast milk and reasonable time to do so. Employers must also have a written lactation </w:t>
      </w:r>
      <w:hyperlink r:id="rId866" w:history="1">
        <w:r w:rsidRPr="00DD7BD1">
          <w:rPr>
            <w:rStyle w:val="Hyperlink"/>
            <w:rFonts w:ascii="Calibri" w:hAnsi="Calibri" w:cs="Calibri"/>
          </w:rPr>
          <w:t>policy</w:t>
        </w:r>
      </w:hyperlink>
      <w:r w:rsidRPr="00DD7BD1">
        <w:rPr>
          <w:rFonts w:ascii="Calibri" w:hAnsi="Calibri" w:cs="Calibri"/>
        </w:rPr>
        <w:t xml:space="preserve"> that includes a statement that employees have a right to request a lactation room and identify a process by which employees may request a lactation room.  </w:t>
      </w:r>
    </w:p>
    <w:p w14:paraId="5EDE31D5" w14:textId="77777777" w:rsidR="00AD4A8E" w:rsidRPr="00DD7BD1" w:rsidRDefault="00AD4A8E" w:rsidP="00AD4A8E">
      <w:pPr>
        <w:pStyle w:val="Heading2"/>
        <w:spacing w:before="0"/>
        <w:rPr>
          <w:rFonts w:ascii="Calibri" w:hAnsi="Calibri" w:cs="Calibri"/>
          <w:b/>
          <w:bCs/>
          <w:color w:val="auto"/>
          <w:sz w:val="22"/>
          <w:szCs w:val="22"/>
          <w:u w:val="single"/>
        </w:rPr>
      </w:pPr>
      <w:r w:rsidRPr="00DD7BD1">
        <w:rPr>
          <w:rFonts w:ascii="Calibri" w:hAnsi="Calibri" w:cs="Calibri"/>
          <w:b/>
          <w:bCs/>
          <w:color w:val="auto"/>
          <w:sz w:val="22"/>
          <w:szCs w:val="22"/>
          <w:u w:val="single"/>
        </w:rPr>
        <w:t>Paid Lactation Breaks</w:t>
      </w:r>
    </w:p>
    <w:p w14:paraId="38689B4A" w14:textId="00FAB91D" w:rsidR="00AD4A8E" w:rsidRPr="00DD7BD1" w:rsidRDefault="00AD4A8E" w:rsidP="00AD4A8E">
      <w:pPr>
        <w:rPr>
          <w:rFonts w:ascii="Calibri" w:hAnsi="Calibri" w:cs="Calibri"/>
        </w:rPr>
      </w:pPr>
      <w:r w:rsidRPr="00DD7BD1">
        <w:rPr>
          <w:rFonts w:ascii="Calibri" w:hAnsi="Calibri" w:cs="Calibri"/>
        </w:rPr>
        <w:t xml:space="preserve">Under New York State’s lactation break law, </w:t>
      </w:r>
      <w:r w:rsidRPr="00DD7BD1">
        <w:rPr>
          <w:rFonts w:ascii="Calibri" w:hAnsi="Calibri" w:cs="Calibri"/>
          <w:b/>
          <w:bCs/>
        </w:rPr>
        <w:t>all employers</w:t>
      </w:r>
      <w:r w:rsidRPr="00DD7BD1">
        <w:rPr>
          <w:rFonts w:ascii="Calibri" w:hAnsi="Calibri" w:cs="Calibri"/>
        </w:rPr>
        <w:t xml:space="preserve"> are required to provide employees with </w:t>
      </w:r>
      <w:r w:rsidRPr="00DD7BD1">
        <w:rPr>
          <w:rFonts w:ascii="Calibri" w:hAnsi="Calibri" w:cs="Calibri"/>
          <w:b/>
          <w:bCs/>
        </w:rPr>
        <w:t>30 minutes of paid break time to pump or express milk</w:t>
      </w:r>
      <w:r w:rsidRPr="00DD7BD1">
        <w:rPr>
          <w:rFonts w:ascii="Calibri" w:hAnsi="Calibri" w:cs="Calibri"/>
        </w:rPr>
        <w:t xml:space="preserve"> and permit employees to use existing paid break time or meal time for time in excess of 30 minutes. Under the amended law, covered NYC employers must include in their lactation accommodation policies a statement of the right to paid lactation breaks in accordance with the New York state law.</w:t>
      </w:r>
    </w:p>
    <w:p w14:paraId="201A2BCB" w14:textId="77777777" w:rsidR="00AD4A8E" w:rsidRPr="00DD7BD1" w:rsidRDefault="00AD4A8E" w:rsidP="00AD4A8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Policy Posting Requirement</w:t>
      </w:r>
    </w:p>
    <w:p w14:paraId="7E592335" w14:textId="7AC9AB87" w:rsidR="00AD4A8E" w:rsidRPr="00DD7BD1" w:rsidRDefault="00AD4A8E" w:rsidP="00AD4A8E">
      <w:pPr>
        <w:rPr>
          <w:rFonts w:ascii="Calibri" w:hAnsi="Calibri" w:cs="Calibri"/>
        </w:rPr>
      </w:pPr>
      <w:r w:rsidRPr="00DD7BD1">
        <w:rPr>
          <w:rFonts w:ascii="Calibri" w:hAnsi="Calibri" w:cs="Calibri"/>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DD7BD1" w:rsidRDefault="00AD4A8E" w:rsidP="00AD4A8E">
      <w:pPr>
        <w:rPr>
          <w:rFonts w:ascii="Calibri" w:hAnsi="Calibri" w:cs="Calibri"/>
          <w:b/>
          <w:bCs/>
        </w:rPr>
      </w:pPr>
      <w:r w:rsidRPr="00DD7BD1">
        <w:rPr>
          <w:rFonts w:ascii="Calibri" w:hAnsi="Calibri" w:cs="Calibri"/>
          <w:b/>
          <w:bCs/>
        </w:rPr>
        <w:t>Resources:</w:t>
      </w:r>
    </w:p>
    <w:p w14:paraId="2DE5FBBB" w14:textId="77777777" w:rsidR="00AD4A8E" w:rsidRPr="00DD7BD1" w:rsidRDefault="00AD4A8E">
      <w:pPr>
        <w:pStyle w:val="ListParagraph"/>
        <w:numPr>
          <w:ilvl w:val="0"/>
          <w:numId w:val="178"/>
        </w:numPr>
        <w:spacing w:after="0" w:line="240" w:lineRule="auto"/>
        <w:rPr>
          <w:rFonts w:ascii="Calibri" w:hAnsi="Calibri" w:cs="Calibri"/>
        </w:rPr>
      </w:pPr>
      <w:hyperlink r:id="rId867" w:history="1">
        <w:r w:rsidRPr="00DD7BD1">
          <w:rPr>
            <w:rStyle w:val="Hyperlink"/>
            <w:rFonts w:ascii="Calibri" w:hAnsi="Calibri" w:cs="Calibri"/>
          </w:rPr>
          <w:t>Model Lactation Accommodation Request Form</w:t>
        </w:r>
      </w:hyperlink>
    </w:p>
    <w:p w14:paraId="6AF709E6" w14:textId="77777777" w:rsidR="00AD4A8E" w:rsidRPr="00DD7BD1" w:rsidRDefault="00AD4A8E">
      <w:pPr>
        <w:pStyle w:val="ListParagraph"/>
        <w:numPr>
          <w:ilvl w:val="0"/>
          <w:numId w:val="178"/>
        </w:numPr>
        <w:spacing w:after="0" w:line="240" w:lineRule="auto"/>
        <w:rPr>
          <w:rFonts w:ascii="Calibri" w:hAnsi="Calibri" w:cs="Calibri"/>
        </w:rPr>
      </w:pPr>
      <w:hyperlink r:id="rId868" w:history="1">
        <w:r w:rsidRPr="00DD7BD1">
          <w:rPr>
            <w:rStyle w:val="Hyperlink"/>
            <w:rFonts w:ascii="Calibri" w:hAnsi="Calibri" w:cs="Calibri"/>
          </w:rPr>
          <w:t>Lactation Accommodations:  What NYC Employers Need to Know</w:t>
        </w:r>
      </w:hyperlink>
    </w:p>
    <w:p w14:paraId="2243BC03" w14:textId="77777777" w:rsidR="00AD4A8E" w:rsidRPr="00DD7BD1" w:rsidRDefault="00AD4A8E">
      <w:pPr>
        <w:pStyle w:val="ListParagraph"/>
        <w:numPr>
          <w:ilvl w:val="0"/>
          <w:numId w:val="178"/>
        </w:numPr>
        <w:spacing w:after="0" w:line="240" w:lineRule="auto"/>
        <w:rPr>
          <w:rFonts w:ascii="Calibri" w:hAnsi="Calibri" w:cs="Calibri"/>
        </w:rPr>
      </w:pPr>
      <w:hyperlink r:id="rId869" w:history="1">
        <w:r w:rsidRPr="00DD7BD1">
          <w:rPr>
            <w:rStyle w:val="Hyperlink"/>
            <w:rFonts w:ascii="Calibri" w:hAnsi="Calibri" w:cs="Calibri"/>
          </w:rPr>
          <w:t>Pregnancy Discrimination Legal Enforcement Guidance</w:t>
        </w:r>
      </w:hyperlink>
    </w:p>
    <w:p w14:paraId="6DEB29DD" w14:textId="47057AB7" w:rsidR="00AD4A8E" w:rsidRPr="00DD7BD1" w:rsidRDefault="00AD4A8E">
      <w:pPr>
        <w:pStyle w:val="ListParagraph"/>
        <w:numPr>
          <w:ilvl w:val="0"/>
          <w:numId w:val="178"/>
        </w:numPr>
        <w:spacing w:after="0" w:line="240" w:lineRule="auto"/>
        <w:rPr>
          <w:rFonts w:ascii="Calibri" w:hAnsi="Calibri" w:cs="Calibri"/>
        </w:rPr>
      </w:pPr>
      <w:r w:rsidRPr="00DD7BD1">
        <w:rPr>
          <w:rFonts w:ascii="Calibri" w:hAnsi="Calibri" w:cs="Calibri"/>
        </w:rPr>
        <w:t>Pregnancy Employment Notice:  </w:t>
      </w:r>
      <w:hyperlink r:id="rId870" w:history="1">
        <w:r w:rsidRPr="00DD7BD1">
          <w:rPr>
            <w:rStyle w:val="Hyperlink"/>
            <w:rFonts w:ascii="Calibri" w:hAnsi="Calibri" w:cs="Calibri"/>
          </w:rPr>
          <w:t>English</w:t>
        </w:r>
      </w:hyperlink>
      <w:r w:rsidRPr="00DD7BD1">
        <w:rPr>
          <w:rFonts w:ascii="Calibri" w:hAnsi="Calibri" w:cs="Calibri"/>
        </w:rPr>
        <w:t>   </w:t>
      </w:r>
      <w:hyperlink r:id="rId871" w:history="1">
        <w:r w:rsidRPr="00DD7BD1">
          <w:rPr>
            <w:rStyle w:val="Hyperlink"/>
            <w:rFonts w:ascii="Calibri" w:hAnsi="Calibri" w:cs="Calibri"/>
          </w:rPr>
          <w:t>Spanish</w:t>
        </w:r>
      </w:hyperlink>
      <w:hyperlink r:id="rId872" w:history="1">
        <w:r w:rsidRPr="00DD7BD1">
          <w:rPr>
            <w:rStyle w:val="Hyperlink"/>
            <w:rFonts w:ascii="Calibri" w:hAnsi="Calibri" w:cs="Calibri"/>
          </w:rPr>
          <w:br/>
        </w:r>
      </w:hyperlink>
      <w:hyperlink r:id="rId873" w:history="1">
        <w:r w:rsidRPr="00DD7BD1">
          <w:rPr>
            <w:rStyle w:val="Hyperlink"/>
            <w:rFonts w:ascii="Calibri" w:hAnsi="Calibri" w:cs="Calibri"/>
          </w:rPr>
          <w:t>Frequently Asked Questions</w:t>
        </w:r>
      </w:hyperlink>
    </w:p>
    <w:p w14:paraId="48F8C264" w14:textId="553AD7C0" w:rsidR="00406B06" w:rsidRPr="00DD7BD1" w:rsidRDefault="00406B06" w:rsidP="00406B06">
      <w:pPr>
        <w:spacing w:after="0" w:line="240" w:lineRule="auto"/>
        <w:rPr>
          <w:rFonts w:ascii="Calibri" w:hAnsi="Calibri" w:cs="Calibri"/>
          <w:b/>
          <w:bCs/>
        </w:rPr>
      </w:pPr>
      <w:r w:rsidRPr="00DD7BD1">
        <w:rPr>
          <w:rFonts w:ascii="Calibri" w:hAnsi="Calibri" w:cs="Calibri"/>
          <w:b/>
          <w:bCs/>
        </w:rPr>
        <w:t>ETC published the updated State Handbook Addendum revising NYC applicable policies June 2025.</w:t>
      </w:r>
    </w:p>
    <w:p w14:paraId="7934A587" w14:textId="77777777" w:rsidR="00406B06" w:rsidRPr="00DD7BD1" w:rsidRDefault="00406B06" w:rsidP="00406B06">
      <w:pPr>
        <w:spacing w:after="0" w:line="240" w:lineRule="auto"/>
        <w:rPr>
          <w:rFonts w:ascii="Calibri" w:hAnsi="Calibri" w:cs="Calibri"/>
        </w:rPr>
      </w:pPr>
    </w:p>
    <w:p w14:paraId="7F9D3A9B" w14:textId="77777777" w:rsidR="00AD4A8E" w:rsidRPr="00DD7BD1" w:rsidRDefault="00AD4A8E" w:rsidP="00AD4A8E">
      <w:pPr>
        <w:jc w:val="center"/>
        <w:rPr>
          <w:rFonts w:ascii="Calibri" w:hAnsi="Calibri" w:cs="Calibri"/>
          <w:b/>
          <w:bCs/>
          <w:color w:val="000000" w:themeColor="text1"/>
          <w:sz w:val="28"/>
          <w:szCs w:val="28"/>
          <w:shd w:val="clear" w:color="auto" w:fill="FFFFFF"/>
        </w:rPr>
      </w:pPr>
      <w:r w:rsidRPr="00DD7BD1">
        <w:rPr>
          <w:rFonts w:ascii="Calibri" w:hAnsi="Calibri" w:cs="Calibri"/>
          <w:b/>
          <w:bCs/>
          <w:sz w:val="28"/>
          <w:szCs w:val="28"/>
          <w:shd w:val="clear" w:color="auto" w:fill="FFFFFF"/>
        </w:rPr>
        <w:t xml:space="preserve">Upcoming </w:t>
      </w:r>
      <w:r w:rsidRPr="00DD7BD1">
        <w:rPr>
          <w:rFonts w:ascii="Calibri" w:hAnsi="Calibri" w:cs="Calibri"/>
          <w:b/>
          <w:bCs/>
          <w:color w:val="000000" w:themeColor="text1"/>
          <w:sz w:val="28"/>
          <w:szCs w:val="28"/>
          <w:shd w:val="clear" w:color="auto" w:fill="FFFFFF"/>
        </w:rPr>
        <w:t xml:space="preserve">State Retail Workplace-Violence Prevention Obligations  - </w:t>
      </w:r>
      <w:r w:rsidRPr="00DD7BD1">
        <w:rPr>
          <w:rFonts w:ascii="Calibri" w:hAnsi="Calibri" w:cs="Calibri"/>
          <w:b/>
          <w:bCs/>
          <w:color w:val="C00000"/>
          <w:sz w:val="28"/>
          <w:szCs w:val="28"/>
          <w:shd w:val="clear" w:color="auto" w:fill="FFFFFF"/>
        </w:rPr>
        <w:t>Eff June 2, 2025 &amp; Jan 1, 2027</w:t>
      </w:r>
    </w:p>
    <w:p w14:paraId="61C2EB03" w14:textId="7F97FE94" w:rsidR="00AD4A8E" w:rsidRPr="00DD7BD1" w:rsidRDefault="00AD4A8E" w:rsidP="00AD4A8E">
      <w:pPr>
        <w:rPr>
          <w:rFonts w:ascii="Calibri" w:hAnsi="Calibri" w:cs="Calibri"/>
          <w:shd w:val="clear" w:color="auto" w:fill="FFFFFF"/>
        </w:rPr>
      </w:pPr>
      <w:r w:rsidRPr="00DD7BD1">
        <w:rPr>
          <w:rFonts w:ascii="Calibri" w:hAnsi="Calibri" w:cs="Calibri"/>
          <w:color w:val="000000" w:themeColor="text1"/>
          <w:shd w:val="clear" w:color="auto" w:fill="FFFFFF"/>
        </w:rPr>
        <w:t>New York’s Retail Worker Safety Act (</w:t>
      </w:r>
      <w:hyperlink r:id="rId874" w:tgtFrame="_blank" w:history="1">
        <w:r w:rsidRPr="00DD7BD1">
          <w:rPr>
            <w:rStyle w:val="Hyperlink"/>
            <w:rFonts w:ascii="Calibri" w:hAnsi="Calibri" w:cs="Calibri"/>
            <w:shd w:val="clear" w:color="auto" w:fill="FFFFFF"/>
          </w:rPr>
          <w:t>A 01678</w:t>
        </w:r>
      </w:hyperlink>
      <w:r w:rsidRPr="00DD7BD1">
        <w:rPr>
          <w:rFonts w:ascii="Calibri" w:hAnsi="Calibri" w:cs="Calibri"/>
          <w:color w:val="000000" w:themeColor="text1"/>
          <w:shd w:val="clear" w:color="auto" w:fill="FFFFFF"/>
        </w:rPr>
        <w:t xml:space="preserve">), signed by the governor on February 14. </w:t>
      </w:r>
      <w:r w:rsidRPr="00DD7BD1">
        <w:rPr>
          <w:rFonts w:ascii="Calibri" w:hAnsi="Calibri" w:cs="Calibri"/>
          <w:shd w:val="clear" w:color="auto" w:fill="FFFFFF"/>
        </w:rPr>
        <w:t>The below provisions will take effect on June 2, 2025:</w:t>
      </w:r>
    </w:p>
    <w:p w14:paraId="0DBEB200"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Employer Policy Requirements</w:t>
      </w:r>
    </w:p>
    <w:p w14:paraId="67BF70A8" w14:textId="77777777"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The law requires employers with 10 or more </w:t>
      </w:r>
      <w:r w:rsidRPr="00DD7BD1">
        <w:rPr>
          <w:rFonts w:ascii="Calibri" w:hAnsi="Calibri" w:cs="Calibri"/>
          <w:i/>
          <w:iCs/>
          <w:color w:val="000000" w:themeColor="text1"/>
          <w:shd w:val="clear" w:color="auto" w:fill="FFFFFF"/>
        </w:rPr>
        <w:t>retail employees </w:t>
      </w:r>
      <w:r w:rsidRPr="00DD7BD1">
        <w:rPr>
          <w:rFonts w:ascii="Calibri" w:hAnsi="Calibri" w:cs="Calibri"/>
          <w:color w:val="000000" w:themeColor="text1"/>
          <w:shd w:val="clear" w:color="auto" w:fill="FFFFFF"/>
        </w:rPr>
        <w:t>(defined as those who</w:t>
      </w:r>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 xml:space="preserve">work in retail stores) to adopt a written workplace violence prevention policy and provide employee training. </w:t>
      </w:r>
    </w:p>
    <w:p w14:paraId="7987E7AB" w14:textId="39E41F78"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Employers with 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6DCF92E4"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Training Program Requirements</w:t>
      </w:r>
    </w:p>
    <w:p w14:paraId="4F4313C3"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Under the Act, workplace violence trainings must be interactive and include the following:</w:t>
      </w:r>
    </w:p>
    <w:p w14:paraId="5B59FF1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Information on the requirements of the Act;</w:t>
      </w:r>
    </w:p>
    <w:p w14:paraId="269B509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Examples of measures retail employees can use to protect themselves when faced with workplace violence from customers or other co-workers;</w:t>
      </w:r>
    </w:p>
    <w:p w14:paraId="2F6ED49F"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De-escalation tactics;</w:t>
      </w:r>
    </w:p>
    <w:p w14:paraId="49DF9A99"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Active shooter drills;</w:t>
      </w:r>
    </w:p>
    <w:p w14:paraId="223ABA5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Emergency procedures; </w:t>
      </w:r>
    </w:p>
    <w:p w14:paraId="420AB45B"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Instruction on the use of security alarms, panic buttons and other related emergency devices; and</w:t>
      </w:r>
    </w:p>
    <w:p w14:paraId="2FB5D55C"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 site-specific list of emergency exits and meeting places in case of an emergency. </w:t>
      </w:r>
    </w:p>
    <w:p w14:paraId="05EA3C4D" w14:textId="187A1FEA"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DD7BD1" w:rsidRDefault="00AD4A8E" w:rsidP="00AD4A8E">
      <w:pPr>
        <w:rPr>
          <w:rFonts w:ascii="Calibri" w:hAnsi="Calibri" w:cs="Calibri"/>
          <w:b/>
          <w:bCs/>
          <w:u w:val="single"/>
          <w:shd w:val="clear" w:color="auto" w:fill="FFFFFF"/>
        </w:rPr>
      </w:pPr>
      <w:r w:rsidRPr="00DD7BD1">
        <w:rPr>
          <w:rFonts w:ascii="Calibri" w:hAnsi="Calibri" w:cs="Calibri"/>
          <w:b/>
          <w:bCs/>
          <w:u w:val="single"/>
          <w:shd w:val="clear" w:color="auto" w:fill="FFFFFF"/>
        </w:rPr>
        <w:t>Notice Requirements</w:t>
      </w:r>
    </w:p>
    <w:p w14:paraId="6CB373EB" w14:textId="5499D67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w:t>
      </w:r>
    </w:p>
    <w:p w14:paraId="0884195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DD7BD1" w:rsidRDefault="00AD4A8E">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DD7BD1" w:rsidRDefault="00AD4A8E" w:rsidP="00AD4A8E">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2CBA11AB"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Pr="00DD7BD1" w:rsidRDefault="00F45F26" w:rsidP="00AD4A8E">
      <w:pPr>
        <w:rPr>
          <w:rFonts w:ascii="Calibri" w:hAnsi="Calibri" w:cs="Calibri"/>
          <w:shd w:val="clear" w:color="auto" w:fill="FFFFFF"/>
        </w:rPr>
      </w:pPr>
      <w:r w:rsidRPr="00DD7BD1">
        <w:rPr>
          <w:rFonts w:ascii="Calibri" w:hAnsi="Calibri" w:cs="Calibri"/>
          <w:b/>
          <w:bCs/>
          <w:u w:val="single"/>
          <w:shd w:val="clear" w:color="auto" w:fill="FFFFFF"/>
        </w:rPr>
        <w:t>The model policy, training, and FAQs can be found </w:t>
      </w:r>
      <w:hyperlink r:id="rId875" w:tgtFrame="_blank" w:history="1">
        <w:r w:rsidRPr="00DD7BD1">
          <w:rPr>
            <w:rStyle w:val="Hyperlink"/>
            <w:rFonts w:ascii="Calibri" w:hAnsi="Calibri" w:cs="Calibri"/>
            <w:b/>
            <w:bCs/>
            <w:shd w:val="clear" w:color="auto" w:fill="FFFFFF"/>
          </w:rPr>
          <w:t>here</w:t>
        </w:r>
      </w:hyperlink>
      <w:r w:rsidRPr="00DD7BD1">
        <w:rPr>
          <w:rFonts w:ascii="Calibri" w:hAnsi="Calibri" w:cs="Calibri"/>
          <w:b/>
          <w:bCs/>
          <w:u w:val="single"/>
          <w:shd w:val="clear" w:color="auto" w:fill="FFFFFF"/>
        </w:rPr>
        <w:t>.</w:t>
      </w:r>
    </w:p>
    <w:p w14:paraId="6B10FA4F" w14:textId="77777777"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York Amends the Warehouse Worker Injury Reduction Act - </w:t>
      </w:r>
      <w:r w:rsidRPr="00DD7BD1">
        <w:rPr>
          <w:rFonts w:ascii="Calibri" w:hAnsi="Calibri" w:cs="Calibri"/>
          <w:b/>
          <w:bCs/>
          <w:color w:val="C00000"/>
          <w:sz w:val="28"/>
          <w:szCs w:val="28"/>
          <w:shd w:val="clear" w:color="auto" w:fill="FFFFFF"/>
          <w:lang w:val="en"/>
        </w:rPr>
        <w:t>June 1, 2025</w:t>
      </w:r>
    </w:p>
    <w:p w14:paraId="055FA3BC"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On Feb. 14, 2025, New York amended its </w:t>
      </w:r>
      <w:hyperlink r:id="rId876"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DD7BD1" w:rsidRDefault="00AD4A8E" w:rsidP="00AD4A8E">
      <w:pPr>
        <w:rPr>
          <w:rFonts w:ascii="Calibri" w:hAnsi="Calibri" w:cs="Calibri"/>
          <w:color w:val="C00000"/>
          <w:shd w:val="clear" w:color="auto" w:fill="FFFFFF"/>
        </w:rPr>
      </w:pPr>
      <w:r w:rsidRPr="00DD7BD1">
        <w:rPr>
          <w:rFonts w:ascii="Calibri" w:hAnsi="Calibri" w:cs="Calibri"/>
          <w:shd w:val="clear" w:color="auto" w:fill="FFFFFF"/>
        </w:rPr>
        <w:t xml:space="preserve">The new amendments go into effect on </w:t>
      </w:r>
      <w:r w:rsidRPr="00DD7BD1">
        <w:rPr>
          <w:rFonts w:ascii="Calibri" w:hAnsi="Calibri" w:cs="Calibri"/>
          <w:color w:val="C00000"/>
          <w:shd w:val="clear" w:color="auto" w:fill="FFFFFF"/>
        </w:rPr>
        <w:t xml:space="preserve">June 1, 2025.  </w:t>
      </w:r>
    </w:p>
    <w:p w14:paraId="306035E7"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7600B84E"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 or more employees at a single warehouse distribution center; or</w:t>
      </w:r>
    </w:p>
    <w:p w14:paraId="14AB7CED"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11E45BDA" w14:textId="77777777" w:rsidR="00AD4A8E" w:rsidRPr="00DD7BD1" w:rsidRDefault="00AD4A8E" w:rsidP="00AD4A8E">
      <w:pPr>
        <w:pStyle w:val="SubHeader"/>
        <w:spacing w:line="240" w:lineRule="auto"/>
        <w:rPr>
          <w:rFonts w:cs="Calibri"/>
          <w:sz w:val="16"/>
          <w:szCs w:val="16"/>
        </w:rPr>
      </w:pPr>
    </w:p>
    <w:p w14:paraId="00A4862D" w14:textId="77777777" w:rsidR="00AD4A8E" w:rsidRPr="00DD7BD1" w:rsidRDefault="00AD4A8E" w:rsidP="00AD4A8E">
      <w:pPr>
        <w:pStyle w:val="SubHeader"/>
        <w:spacing w:line="240" w:lineRule="auto"/>
        <w:rPr>
          <w:rFonts w:cs="Calibri"/>
          <w:color w:val="auto"/>
          <w:sz w:val="22"/>
          <w:szCs w:val="22"/>
        </w:rPr>
      </w:pPr>
      <w:r w:rsidRPr="00DD7BD1">
        <w:rPr>
          <w:rFonts w:cs="Calibri"/>
          <w:color w:val="auto"/>
          <w:sz w:val="22"/>
          <w:szCs w:val="22"/>
        </w:rPr>
        <w:t>Warehouse Worker Injury Reduction Program</w:t>
      </w:r>
    </w:p>
    <w:p w14:paraId="42BC26DE" w14:textId="77777777" w:rsidR="00AD4A8E" w:rsidRPr="00DD7BD1" w:rsidRDefault="00AD4A8E" w:rsidP="00AD4A8E">
      <w:pPr>
        <w:rPr>
          <w:rFonts w:ascii="Calibri" w:hAnsi="Calibri" w:cs="Calibri"/>
        </w:rPr>
      </w:pPr>
      <w:r w:rsidRPr="00DD7BD1">
        <w:rPr>
          <w:rFonts w:ascii="Calibri" w:hAnsi="Calibri" w:cs="Calibri"/>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Worksite evaluation;</w:t>
      </w:r>
    </w:p>
    <w:p w14:paraId="7A503DBA"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Control of exposures;</w:t>
      </w:r>
    </w:p>
    <w:p w14:paraId="735CF1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Employee training;</w:t>
      </w:r>
    </w:p>
    <w:p w14:paraId="4FBC8C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On-site medical and first-aid practices; and </w:t>
      </w:r>
    </w:p>
    <w:p w14:paraId="4CB52396" w14:textId="3E8102A8"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Employee involvement. </w:t>
      </w:r>
    </w:p>
    <w:p w14:paraId="6E39C876" w14:textId="77777777" w:rsidR="00406B06" w:rsidRPr="00DD7BD1" w:rsidRDefault="00406B06" w:rsidP="00AD4A8E">
      <w:pPr>
        <w:rPr>
          <w:rFonts w:ascii="Calibri" w:hAnsi="Calibri" w:cs="Calibri"/>
          <w:b/>
          <w:bCs/>
          <w:sz w:val="16"/>
          <w:szCs w:val="16"/>
          <w:highlight w:val="lightGray"/>
          <w:shd w:val="clear" w:color="auto" w:fill="FFFFFF"/>
          <w:lang w:val="en"/>
        </w:rPr>
      </w:pPr>
    </w:p>
    <w:p w14:paraId="67E22E24" w14:textId="4D73CAD9" w:rsidR="00AD4A8E" w:rsidRPr="00DD7BD1" w:rsidRDefault="00AD4A8E" w:rsidP="00AD4A8E">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lang w:val="en"/>
        </w:rPr>
        <w:t xml:space="preserve">Applicable employers </w:t>
      </w:r>
      <w:r w:rsidRPr="00DD7BD1">
        <w:rPr>
          <w:rFonts w:ascii="Calibri" w:hAnsi="Calibri" w:cs="Calibri"/>
          <w:shd w:val="clear" w:color="auto" w:fill="FFFFFF"/>
        </w:rPr>
        <w:t>should review the amended WWPA rules and ensure the new requirements are implemented by the specified effective dates.</w:t>
      </w:r>
    </w:p>
    <w:p w14:paraId="20B2E342" w14:textId="6A29D39B" w:rsidR="00B32963" w:rsidRPr="00DD7BD1" w:rsidRDefault="00B32963" w:rsidP="00B3296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Upcoming State Enacts Retail Workplace Violence Prevention Law – </w:t>
      </w:r>
      <w:r w:rsidRPr="00DD7BD1">
        <w:rPr>
          <w:rFonts w:ascii="Calibri" w:hAnsi="Calibri" w:cs="Calibri"/>
          <w:b/>
          <w:bCs/>
          <w:color w:val="C00000"/>
          <w:sz w:val="28"/>
          <w:szCs w:val="28"/>
          <w:shd w:val="clear" w:color="auto" w:fill="FFFFFF"/>
          <w:lang w:val="en"/>
        </w:rPr>
        <w:t xml:space="preserve">March 25 </w:t>
      </w:r>
    </w:p>
    <w:p w14:paraId="09C50D1B" w14:textId="77777777" w:rsidR="00B32963" w:rsidRPr="00DD7BD1" w:rsidRDefault="00B32963" w:rsidP="00B32963">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877"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878"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DD7BD1" w:rsidRDefault="00B32963" w:rsidP="00B32963">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48D117EB"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188F8038"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5436A2C2" w14:textId="77777777" w:rsidR="00B32963" w:rsidRPr="00DD7BD1" w:rsidRDefault="00B32963" w:rsidP="00B32963">
      <w:pPr>
        <w:spacing w:after="0" w:line="240" w:lineRule="auto"/>
        <w:jc w:val="both"/>
        <w:rPr>
          <w:rFonts w:ascii="Calibri" w:hAnsi="Calibri" w:cs="Calibri"/>
          <w:sz w:val="12"/>
          <w:szCs w:val="12"/>
          <w:shd w:val="clear" w:color="auto" w:fill="FFFFFF"/>
        </w:rPr>
      </w:pPr>
    </w:p>
    <w:p w14:paraId="4F0ED214" w14:textId="77777777" w:rsidR="00B32963" w:rsidRPr="00DD7BD1" w:rsidRDefault="00B32963" w:rsidP="00B3296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069E2ECC"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7D76004D"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3872E2D6" w14:textId="77777777" w:rsidR="00B32963" w:rsidRPr="00DD7BD1" w:rsidRDefault="00B32963" w:rsidP="00B32963">
      <w:pPr>
        <w:spacing w:after="0" w:line="240" w:lineRule="auto"/>
        <w:jc w:val="both"/>
        <w:rPr>
          <w:rFonts w:ascii="Calibri" w:hAnsi="Calibri" w:cs="Calibri"/>
          <w:sz w:val="12"/>
          <w:szCs w:val="12"/>
          <w:shd w:val="clear" w:color="auto" w:fill="FFFFFF"/>
          <w:lang w:val="en"/>
        </w:rPr>
      </w:pPr>
    </w:p>
    <w:p w14:paraId="2A74F22D"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Pr="00DD7BD1" w:rsidRDefault="00B32963" w:rsidP="00B32963">
      <w:pPr>
        <w:spacing w:after="0" w:line="240" w:lineRule="auto"/>
        <w:jc w:val="center"/>
        <w:rPr>
          <w:rFonts w:ascii="Calibri" w:hAnsi="Calibri" w:cs="Calibri"/>
          <w:b/>
          <w:bCs/>
          <w:sz w:val="28"/>
          <w:szCs w:val="28"/>
          <w:shd w:val="clear" w:color="auto" w:fill="FFFFFF"/>
          <w:lang w:val="en"/>
        </w:rPr>
      </w:pPr>
    </w:p>
    <w:p w14:paraId="2C8AB703" w14:textId="70981134" w:rsidR="00B32963" w:rsidRPr="00DD7BD1" w:rsidRDefault="00B32963" w:rsidP="00B3296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Criminal History Records Protection – </w:t>
      </w:r>
      <w:r w:rsidRPr="00DD7BD1">
        <w:rPr>
          <w:rFonts w:ascii="Calibri" w:hAnsi="Calibri" w:cs="Calibri"/>
          <w:b/>
          <w:bCs/>
          <w:color w:val="C00000"/>
          <w:sz w:val="28"/>
          <w:szCs w:val="28"/>
          <w:shd w:val="clear" w:color="auto" w:fill="FFFFFF"/>
          <w:lang w:val="en"/>
        </w:rPr>
        <w:t>March 22, 2025</w:t>
      </w:r>
    </w:p>
    <w:p w14:paraId="609BA948"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DD7BD1" w:rsidRDefault="00B32963" w:rsidP="00B32963">
      <w:pPr>
        <w:spacing w:after="0" w:line="240" w:lineRule="auto"/>
        <w:rPr>
          <w:rFonts w:ascii="Calibri" w:hAnsi="Calibri" w:cs="Calibri"/>
          <w:sz w:val="12"/>
          <w:szCs w:val="12"/>
          <w:shd w:val="clear" w:color="auto" w:fill="FFFFFF"/>
        </w:rPr>
      </w:pPr>
    </w:p>
    <w:p w14:paraId="54D20F75"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DD7BD1" w:rsidRDefault="00B32963" w:rsidP="00B32963">
      <w:pPr>
        <w:spacing w:after="0" w:line="240" w:lineRule="auto"/>
        <w:rPr>
          <w:rFonts w:ascii="Calibri" w:hAnsi="Calibri" w:cs="Calibri"/>
          <w:sz w:val="12"/>
          <w:szCs w:val="12"/>
          <w:shd w:val="clear" w:color="auto" w:fill="FFFFFF"/>
        </w:rPr>
      </w:pPr>
    </w:p>
    <w:p w14:paraId="34B9D33B" w14:textId="6BD2F5F4"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review and, if necessary, update their hiring practices and policies to comply with this change by March 22.</w:t>
      </w:r>
    </w:p>
    <w:p w14:paraId="07181F91" w14:textId="77777777" w:rsidR="00B32963" w:rsidRPr="00DD7BD1" w:rsidRDefault="00B32963" w:rsidP="00B32963">
      <w:pPr>
        <w:spacing w:after="0" w:line="240" w:lineRule="auto"/>
        <w:rPr>
          <w:rFonts w:ascii="Calibri" w:hAnsi="Calibri" w:cs="Calibri"/>
          <w:sz w:val="16"/>
          <w:szCs w:val="16"/>
          <w:shd w:val="clear" w:color="auto" w:fill="FFFFFF"/>
        </w:rPr>
      </w:pPr>
    </w:p>
    <w:p w14:paraId="640E14D8" w14:textId="56ADFD15" w:rsidR="00221F05" w:rsidRPr="00DD7BD1" w:rsidRDefault="00221F05" w:rsidP="00221F05">
      <w:pPr>
        <w:spacing w:after="0" w:line="240" w:lineRule="auto"/>
        <w:jc w:val="center"/>
        <w:rPr>
          <w:rFonts w:ascii="Calibri" w:hAnsi="Calibri" w:cs="Calibri"/>
          <w:b/>
          <w:bCs/>
          <w:color w:val="000000" w:themeColor="text1"/>
          <w:sz w:val="28"/>
          <w:szCs w:val="28"/>
          <w:shd w:val="clear" w:color="auto" w:fill="FFFFFF"/>
        </w:rPr>
      </w:pPr>
      <w:bookmarkStart w:id="126" w:name="_Hlk197516300"/>
      <w:r w:rsidRPr="00DD7BD1">
        <w:rPr>
          <w:rFonts w:ascii="Calibri" w:hAnsi="Calibri" w:cs="Calibri"/>
          <w:b/>
          <w:bCs/>
          <w:sz w:val="28"/>
          <w:szCs w:val="28"/>
          <w:shd w:val="clear" w:color="auto" w:fill="FFFFFF"/>
        </w:rPr>
        <w:t xml:space="preserve">Upcoming </w:t>
      </w:r>
      <w:bookmarkStart w:id="127" w:name="_Hlk193457077"/>
      <w:r w:rsidRPr="00DD7BD1">
        <w:rPr>
          <w:rFonts w:ascii="Calibri" w:hAnsi="Calibri" w:cs="Calibri"/>
          <w:b/>
          <w:bCs/>
          <w:color w:val="000000" w:themeColor="text1"/>
          <w:sz w:val="28"/>
          <w:szCs w:val="28"/>
          <w:shd w:val="clear" w:color="auto" w:fill="FFFFFF"/>
        </w:rPr>
        <w:t xml:space="preserve">State Retail Workplace-Violence Prevention Obligations </w:t>
      </w:r>
    </w:p>
    <w:bookmarkEnd w:id="127"/>
    <w:p w14:paraId="0B428F7E"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color w:val="000000" w:themeColor="text1"/>
          <w:sz w:val="23"/>
          <w:szCs w:val="23"/>
          <w:shd w:val="clear" w:color="auto" w:fill="FFFFFF"/>
        </w:rPr>
        <w:t>New York’s Retail Worker Safety Act (</w:t>
      </w:r>
      <w:hyperlink r:id="rId879" w:tgtFrame="_blank" w:history="1">
        <w:r w:rsidRPr="00DD7BD1">
          <w:rPr>
            <w:rStyle w:val="Hyperlink"/>
            <w:rFonts w:ascii="Calibri" w:hAnsi="Calibri" w:cs="Calibri"/>
            <w:sz w:val="23"/>
            <w:szCs w:val="23"/>
            <w:shd w:val="clear" w:color="auto" w:fill="FFFFFF"/>
          </w:rPr>
          <w:t>A 01678</w:t>
        </w:r>
      </w:hyperlink>
      <w:r w:rsidRPr="00DD7BD1">
        <w:rPr>
          <w:rFonts w:ascii="Calibri" w:hAnsi="Calibri" w:cs="Calibri"/>
          <w:color w:val="000000" w:themeColor="text1"/>
          <w:sz w:val="23"/>
          <w:szCs w:val="23"/>
          <w:shd w:val="clear" w:color="auto" w:fill="FFFFFF"/>
        </w:rPr>
        <w:t>), signed by the governor on February 14, will take effect on June 2, 2025. The law will require employers with 10 or more </w:t>
      </w:r>
      <w:r w:rsidRPr="00DD7BD1">
        <w:rPr>
          <w:rFonts w:ascii="Calibri" w:hAnsi="Calibri" w:cs="Calibri"/>
          <w:i/>
          <w:iCs/>
          <w:color w:val="000000" w:themeColor="text1"/>
          <w:sz w:val="23"/>
          <w:szCs w:val="23"/>
          <w:shd w:val="clear" w:color="auto" w:fill="FFFFFF"/>
        </w:rPr>
        <w:t>retail employees </w:t>
      </w:r>
      <w:r w:rsidRPr="00DD7BD1">
        <w:rPr>
          <w:rFonts w:ascii="Calibri" w:hAnsi="Calibri" w:cs="Calibri"/>
          <w:color w:val="000000" w:themeColor="text1"/>
          <w:sz w:val="23"/>
          <w:szCs w:val="23"/>
          <w:shd w:val="clear" w:color="auto" w:fill="FFFFFF"/>
        </w:rPr>
        <w:t>(defined as those who</w:t>
      </w:r>
      <w:r w:rsidRPr="00DD7BD1">
        <w:rPr>
          <w:rFonts w:ascii="Calibri" w:hAnsi="Calibri" w:cs="Calibri"/>
          <w:i/>
          <w:iCs/>
          <w:color w:val="000000" w:themeColor="text1"/>
          <w:sz w:val="23"/>
          <w:szCs w:val="23"/>
          <w:shd w:val="clear" w:color="auto" w:fill="FFFFFF"/>
        </w:rPr>
        <w:t> </w:t>
      </w:r>
      <w:r w:rsidRPr="00DD7BD1">
        <w:rPr>
          <w:rFonts w:ascii="Calibri" w:hAnsi="Calibri" w:cs="Calibri"/>
          <w:color w:val="000000" w:themeColor="text1"/>
          <w:sz w:val="23"/>
          <w:szCs w:val="23"/>
          <w:shd w:val="clear" w:color="auto" w:fill="FFFFFF"/>
        </w:rPr>
        <w:t xml:space="preserve">work in retail stores) to adopt a written workplace violence prevention policy and provide employee training. Employers with </w:t>
      </w:r>
      <w:r w:rsidRPr="00DD7BD1">
        <w:rPr>
          <w:rFonts w:ascii="Calibri" w:hAnsi="Calibri" w:cs="Calibri"/>
          <w:color w:val="000000" w:themeColor="text1"/>
          <w:shd w:val="clear" w:color="auto" w:fill="FFFFFF"/>
        </w:rPr>
        <w:t>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13879344" w14:textId="77777777" w:rsidR="00221F05" w:rsidRPr="00DD7BD1" w:rsidRDefault="00221F05" w:rsidP="00221F05">
      <w:pPr>
        <w:spacing w:after="0" w:line="240" w:lineRule="auto"/>
        <w:rPr>
          <w:rFonts w:ascii="Calibri" w:hAnsi="Calibri" w:cs="Calibri"/>
          <w:sz w:val="16"/>
          <w:szCs w:val="16"/>
          <w:shd w:val="clear" w:color="auto" w:fill="FFFFFF"/>
        </w:rPr>
      </w:pPr>
    </w:p>
    <w:p w14:paraId="53295DE9"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DD7BD1" w:rsidRDefault="00221F05">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DD7BD1" w:rsidRDefault="00221F05" w:rsidP="00221F05">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681F635F"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DD7BD1" w:rsidRDefault="00221F05" w:rsidP="00221F05">
      <w:pPr>
        <w:spacing w:after="0" w:line="240" w:lineRule="auto"/>
        <w:rPr>
          <w:rFonts w:ascii="Calibri" w:hAnsi="Calibri" w:cs="Calibri"/>
          <w:sz w:val="12"/>
          <w:szCs w:val="12"/>
          <w:shd w:val="clear" w:color="auto" w:fill="FFFFFF"/>
        </w:rPr>
      </w:pPr>
    </w:p>
    <w:p w14:paraId="7976F7D1" w14:textId="79B8FC8E"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The model policy and training are expected to be available on the New York Department of Labor’s website before the effective date of June 2, 2025.</w:t>
      </w:r>
    </w:p>
    <w:bookmarkEnd w:id="126"/>
    <w:p w14:paraId="36B4AFA5" w14:textId="77777777" w:rsidR="00221F05" w:rsidRPr="00DD7BD1" w:rsidRDefault="00221F05" w:rsidP="00221F05">
      <w:pPr>
        <w:spacing w:after="0" w:line="240" w:lineRule="auto"/>
        <w:rPr>
          <w:rFonts w:ascii="Calibri" w:hAnsi="Calibri" w:cs="Calibri"/>
          <w:shd w:val="clear" w:color="auto" w:fill="FFFFFF"/>
        </w:rPr>
      </w:pPr>
    </w:p>
    <w:p w14:paraId="270F7AF4" w14:textId="77777777" w:rsidR="00BD445F" w:rsidRPr="00DD7BD1" w:rsidRDefault="00BD445F" w:rsidP="00BD445F">
      <w:pPr>
        <w:spacing w:after="0" w:line="240" w:lineRule="auto"/>
        <w:jc w:val="center"/>
        <w:rPr>
          <w:rFonts w:ascii="Calibri" w:hAnsi="Calibri" w:cs="Calibri"/>
          <w:sz w:val="28"/>
          <w:szCs w:val="28"/>
          <w:shd w:val="clear" w:color="auto" w:fill="FFFFFF"/>
        </w:rPr>
      </w:pPr>
      <w:r w:rsidRPr="00DD7BD1">
        <w:rPr>
          <w:rFonts w:ascii="Calibri" w:hAnsi="Calibri" w:cs="Calibri"/>
          <w:b/>
          <w:bCs/>
          <w:sz w:val="28"/>
          <w:szCs w:val="28"/>
          <w:shd w:val="clear" w:color="auto" w:fill="FFFFFF"/>
          <w:lang w:val="en"/>
        </w:rPr>
        <w:t xml:space="preserve">State Establishes a Warehouse Worker Injury Reduction Program Act – </w:t>
      </w:r>
      <w:r w:rsidRPr="00DD7BD1">
        <w:rPr>
          <w:rFonts w:ascii="Calibri" w:hAnsi="Calibri" w:cs="Calibri"/>
          <w:b/>
          <w:bCs/>
          <w:color w:val="C00000"/>
          <w:sz w:val="28"/>
          <w:szCs w:val="28"/>
          <w:shd w:val="clear" w:color="auto" w:fill="FFFFFF"/>
          <w:lang w:val="en"/>
        </w:rPr>
        <w:t>June 1, 2025</w:t>
      </w:r>
    </w:p>
    <w:p w14:paraId="17EC9D7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Dec. 21, 2024, New York amended its </w:t>
      </w:r>
      <w:hyperlink r:id="rId880"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new amendment goes into effect on June 1, 2025.  </w:t>
      </w:r>
    </w:p>
    <w:p w14:paraId="16C119B7" w14:textId="77777777" w:rsidR="00BD445F" w:rsidRPr="00DD7BD1" w:rsidRDefault="00BD445F" w:rsidP="00BD445F">
      <w:pPr>
        <w:spacing w:after="0" w:line="240" w:lineRule="auto"/>
        <w:rPr>
          <w:rFonts w:ascii="Calibri" w:hAnsi="Calibri" w:cs="Calibri"/>
          <w:b/>
          <w:sz w:val="16"/>
          <w:szCs w:val="16"/>
          <w:shd w:val="clear" w:color="auto" w:fill="FFFFFF"/>
        </w:rPr>
      </w:pPr>
    </w:p>
    <w:p w14:paraId="09044E23" w14:textId="77777777" w:rsidR="00BD445F" w:rsidRPr="00DD7BD1" w:rsidRDefault="00BD445F" w:rsidP="00BD445F">
      <w:pPr>
        <w:spacing w:after="0" w:line="240" w:lineRule="auto"/>
        <w:rPr>
          <w:rFonts w:ascii="Calibri" w:hAnsi="Calibri" w:cs="Calibri"/>
          <w:b/>
          <w:shd w:val="clear" w:color="auto" w:fill="FFFFFF"/>
        </w:rPr>
      </w:pPr>
      <w:r w:rsidRPr="00DD7BD1">
        <w:rPr>
          <w:rFonts w:ascii="Calibri" w:hAnsi="Calibri" w:cs="Calibri"/>
          <w:b/>
          <w:shd w:val="clear" w:color="auto" w:fill="FFFFFF"/>
        </w:rPr>
        <w:t>Affected Employers</w:t>
      </w:r>
    </w:p>
    <w:p w14:paraId="053641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0D70FD81"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 or more employees at a single warehouse distribution center; or</w:t>
      </w:r>
    </w:p>
    <w:p w14:paraId="42B9F084"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724CC9B2"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DD7BD1" w:rsidRDefault="00BD445F" w:rsidP="00BD445F">
      <w:pPr>
        <w:spacing w:after="0" w:line="240" w:lineRule="auto"/>
        <w:ind w:left="270"/>
        <w:rPr>
          <w:rFonts w:ascii="Calibri" w:hAnsi="Calibri" w:cs="Calibri"/>
          <w:b/>
          <w:sz w:val="16"/>
          <w:szCs w:val="16"/>
          <w:shd w:val="clear" w:color="auto" w:fill="FFFFFF"/>
        </w:rPr>
      </w:pPr>
    </w:p>
    <w:p w14:paraId="42C87838"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Feb. 19, 2025 - </w:t>
      </w:r>
      <w:r w:rsidRPr="00DD7BD1">
        <w:rPr>
          <w:rFonts w:ascii="Calibri" w:hAnsi="Calibri" w:cs="Calibri"/>
          <w:shd w:val="clear" w:color="auto" w:fill="FFFFFF"/>
        </w:rPr>
        <w:t>The commissioner must form a task force and adopt standards and processes for certifying qualified ergonomists.</w:t>
      </w:r>
    </w:p>
    <w:p w14:paraId="1FB8D669"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 2025 - </w:t>
      </w:r>
      <w:r w:rsidRPr="00DD7BD1">
        <w:rPr>
          <w:rFonts w:ascii="Calibri" w:hAnsi="Calibri" w:cs="Calibri"/>
          <w:shd w:val="clear" w:color="auto" w:fill="FFFFFF"/>
        </w:rPr>
        <w:t>The WWPA amendments go into effect.</w:t>
      </w:r>
    </w:p>
    <w:p w14:paraId="11063A5C"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19, 2025  - </w:t>
      </w:r>
      <w:r w:rsidRPr="00DD7BD1">
        <w:rPr>
          <w:rFonts w:ascii="Calibri" w:hAnsi="Calibri" w:cs="Calibri"/>
          <w:shd w:val="clear" w:color="auto" w:fill="FFFFFF"/>
        </w:rPr>
        <w:t>Employers must conduct an initial workplace evaluation.</w:t>
      </w:r>
    </w:p>
    <w:p w14:paraId="36F9A873" w14:textId="77777777" w:rsidR="00BD445F" w:rsidRPr="00DD7BD1" w:rsidRDefault="00BD445F" w:rsidP="00BD445F">
      <w:pPr>
        <w:spacing w:after="0" w:line="240" w:lineRule="auto"/>
        <w:rPr>
          <w:rFonts w:ascii="Calibri" w:hAnsi="Calibri" w:cs="Calibri"/>
          <w:b/>
          <w:sz w:val="16"/>
          <w:szCs w:val="16"/>
          <w:highlight w:val="darkGray"/>
          <w:shd w:val="clear" w:color="auto" w:fill="FFFFFF"/>
        </w:rPr>
      </w:pPr>
    </w:p>
    <w:p w14:paraId="22C01321"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highlight w:val="darkGray"/>
          <w:shd w:val="clear" w:color="auto" w:fill="FFFFFF"/>
        </w:rPr>
        <w:t>Employer Takeaway:</w:t>
      </w:r>
      <w:r w:rsidRPr="00DD7BD1">
        <w:rPr>
          <w:rFonts w:ascii="Calibri" w:hAnsi="Calibri" w:cs="Calibri"/>
          <w:b/>
          <w:shd w:val="clear" w:color="auto" w:fill="FFFFFF"/>
        </w:rPr>
        <w:t xml:space="preserve"> </w:t>
      </w:r>
      <w:r w:rsidRPr="00DD7BD1">
        <w:rPr>
          <w:rFonts w:ascii="Calibri" w:hAnsi="Calibri" w:cs="Calibri"/>
          <w:shd w:val="clear" w:color="auto" w:fill="FFFFFF"/>
        </w:rPr>
        <w:t>Affected employers should review the amended WWPA rules and ensure the new requirements are implemented by the specified effective dates.</w:t>
      </w:r>
    </w:p>
    <w:p w14:paraId="48B60278" w14:textId="77777777" w:rsidR="00BD445F" w:rsidRPr="00DD7BD1" w:rsidRDefault="00BD445F" w:rsidP="00BD445F">
      <w:pPr>
        <w:spacing w:after="0" w:line="240" w:lineRule="auto"/>
        <w:rPr>
          <w:rFonts w:ascii="Calibri" w:hAnsi="Calibri" w:cs="Calibri"/>
          <w:shd w:val="clear" w:color="auto" w:fill="FFFFFF"/>
        </w:rPr>
      </w:pPr>
    </w:p>
    <w:p w14:paraId="647911DE"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bookmarkStart w:id="128" w:name="_Hlk186728558"/>
      <w:r w:rsidRPr="00DD7BD1">
        <w:rPr>
          <w:rFonts w:ascii="Calibri" w:hAnsi="Calibri" w:cs="Calibri"/>
          <w:b/>
          <w:bCs/>
          <w:sz w:val="28"/>
          <w:szCs w:val="28"/>
          <w:shd w:val="clear" w:color="auto" w:fill="FFFFFF"/>
          <w:lang w:val="en"/>
        </w:rPr>
        <w:t xml:space="preserve">State Publishes FAQs for New Paid Prenatal Leave Requirement </w:t>
      </w:r>
      <w:bookmarkEnd w:id="128"/>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2025</w:t>
      </w:r>
    </w:p>
    <w:p w14:paraId="1E720F60" w14:textId="02756B7B" w:rsidR="00360D1C" w:rsidRPr="00DD7BD1" w:rsidRDefault="00360D1C" w:rsidP="00360D1C">
      <w:pPr>
        <w:rPr>
          <w:rFonts w:ascii="Calibri" w:hAnsi="Calibri" w:cs="Calibri"/>
          <w:bCs/>
        </w:rPr>
      </w:pPr>
      <w:r w:rsidRPr="00DD7BD1">
        <w:rPr>
          <w:rFonts w:ascii="Calibri" w:hAnsi="Calibri" w:cs="Calibri"/>
          <w:bCs/>
        </w:rPr>
        <w:t xml:space="preserve">New York has published </w:t>
      </w:r>
      <w:hyperlink r:id="rId881" w:history="1">
        <w:r w:rsidRPr="00DD7BD1">
          <w:rPr>
            <w:rStyle w:val="Hyperlink"/>
            <w:rFonts w:ascii="Calibri" w:hAnsi="Calibri" w:cs="Calibri"/>
            <w:bCs/>
          </w:rPr>
          <w:t>answers to frequently asked questions</w:t>
        </w:r>
      </w:hyperlink>
      <w:r w:rsidRPr="00DD7BD1">
        <w:rPr>
          <w:rFonts w:ascii="Calibri" w:hAnsi="Calibri" w:cs="Calibri"/>
          <w:bCs/>
        </w:rPr>
        <w:t xml:space="preserve"> (FAQs) on its webpage for the state’s new paid prenatal leave mandate, which takes effect Jan. 1, 2025. There are 28 FAQs in all, providing clarity about the requirement. As a reminder, employers must provide 20 hours of paid prenatal leave for use on Jan. 1, 2025</w:t>
      </w:r>
    </w:p>
    <w:p w14:paraId="3398581E" w14:textId="1D74A1DB" w:rsidR="00A33FCC" w:rsidRPr="00DD7BD1" w:rsidRDefault="00A33FCC" w:rsidP="00A33FCC">
      <w:pPr>
        <w:spacing w:after="0" w:line="240" w:lineRule="auto"/>
        <w:jc w:val="center"/>
        <w:rPr>
          <w:rFonts w:ascii="Calibri" w:hAnsi="Calibri" w:cs="Calibri"/>
          <w:shd w:val="clear" w:color="auto" w:fill="FFFFFF"/>
        </w:rPr>
      </w:pPr>
      <w:bookmarkStart w:id="129" w:name="_Hlk212723511"/>
      <w:r w:rsidRPr="00DD7BD1">
        <w:rPr>
          <w:rFonts w:ascii="Calibri" w:hAnsi="Calibri" w:cs="Calibri"/>
          <w:b/>
          <w:bCs/>
          <w:sz w:val="28"/>
          <w:szCs w:val="28"/>
          <w:shd w:val="clear" w:color="auto" w:fill="FFFFFF"/>
          <w:lang w:val="en"/>
        </w:rPr>
        <w:t xml:space="preserve">Clean Slate Act (Expanded Criminal History Protections)– </w:t>
      </w:r>
      <w:r w:rsidRPr="00DD7BD1">
        <w:rPr>
          <w:rFonts w:ascii="Calibri" w:hAnsi="Calibri" w:cs="Calibri"/>
          <w:b/>
          <w:bCs/>
          <w:color w:val="C00000"/>
          <w:sz w:val="28"/>
          <w:szCs w:val="28"/>
          <w:shd w:val="clear" w:color="auto" w:fill="FFFFFF"/>
          <w:lang w:val="en"/>
        </w:rPr>
        <w:t>Nov 16, 2024</w:t>
      </w:r>
    </w:p>
    <w:p w14:paraId="7679335D"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22"/>
          <w:szCs w:val="22"/>
          <w:shd w:val="clear" w:color="auto" w:fill="FFFFFF"/>
        </w:rPr>
      </w:pPr>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7DE15546" w14:textId="77777777" w:rsidR="00A33FCC" w:rsidRPr="00DD7BD1" w:rsidRDefault="00A33FCC" w:rsidP="00A33FCC">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4891678C" w14:textId="77777777" w:rsidR="00A33FCC" w:rsidRPr="00DD7BD1" w:rsidRDefault="00A33FCC" w:rsidP="00A33FCC">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0D3E4F49"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2A746CC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4F7EC0A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4CB27C4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7656519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6884BE42"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4783D101"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26F5E3D7"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employer’s interest in protecting its property and the safety and welfare of specific individuals or the general public.</w:t>
      </w:r>
    </w:p>
    <w:p w14:paraId="423265BA" w14:textId="77777777" w:rsidR="00A33FCC" w:rsidRPr="00DD7BD1" w:rsidRDefault="00A33FCC" w:rsidP="00A33FCC">
      <w:pPr>
        <w:shd w:val="clear" w:color="auto" w:fill="FFFFFF"/>
        <w:spacing w:after="0" w:line="240" w:lineRule="auto"/>
        <w:ind w:left="720"/>
        <w:rPr>
          <w:rStyle w:val="Strong"/>
          <w:rFonts w:ascii="Calibri" w:eastAsia="Times New Roman" w:hAnsi="Calibri" w:cs="Calibri"/>
          <w:b w:val="0"/>
          <w:bCs w:val="0"/>
        </w:rPr>
      </w:pPr>
    </w:p>
    <w:p w14:paraId="22757A5F" w14:textId="77777777" w:rsidR="00A33FCC" w:rsidRPr="00DD7BD1" w:rsidRDefault="00A33FCC" w:rsidP="00A33FCC">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0FE45446" w14:textId="77777777" w:rsidR="00A33FCC" w:rsidRPr="00DD7BD1" w:rsidRDefault="00A33FCC" w:rsidP="00A33FCC">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DD7BD1" w:rsidRDefault="00A33FCC" w:rsidP="00A33FCC">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29"/>
    <w:p w14:paraId="42C25088" w14:textId="77777777" w:rsidR="00A33FCC" w:rsidRPr="00DD7BD1" w:rsidRDefault="00A33FCC" w:rsidP="00A33FCC">
      <w:pPr>
        <w:spacing w:after="0" w:line="240" w:lineRule="auto"/>
        <w:jc w:val="center"/>
        <w:rPr>
          <w:rFonts w:ascii="Calibri" w:hAnsi="Calibri" w:cs="Calibri"/>
          <w:b/>
          <w:bCs/>
          <w:shd w:val="clear" w:color="auto" w:fill="FFFFFF"/>
          <w:lang w:val="en"/>
        </w:rPr>
      </w:pPr>
    </w:p>
    <w:p w14:paraId="58AC6EEB" w14:textId="1647277B" w:rsidR="00A33FCC" w:rsidRPr="00DD7BD1" w:rsidRDefault="00A33FCC" w:rsidP="00A33FCC">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NY </w:t>
      </w:r>
      <w:r w:rsidRPr="00DD7BD1">
        <w:rPr>
          <w:rFonts w:ascii="Calibri" w:hAnsi="Calibri" w:cs="Calibri"/>
          <w:b/>
          <w:bCs/>
          <w:sz w:val="28"/>
          <w:szCs w:val="28"/>
          <w:shd w:val="clear" w:color="auto" w:fill="FFFFFF"/>
        </w:rPr>
        <w:t xml:space="preserve">Expands Protections for National Guard Service – </w:t>
      </w:r>
      <w:r w:rsidRPr="00DD7BD1">
        <w:rPr>
          <w:rFonts w:ascii="Calibri" w:hAnsi="Calibri" w:cs="Calibri"/>
          <w:b/>
          <w:bCs/>
          <w:color w:val="C00000"/>
          <w:sz w:val="28"/>
          <w:szCs w:val="28"/>
          <w:shd w:val="clear" w:color="auto" w:fill="FFFFFF"/>
        </w:rPr>
        <w:t>Sept 27, 2024</w:t>
      </w:r>
    </w:p>
    <w:p w14:paraId="6A28055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New York now provides employment protections for employees who have been away from work on state active duty with the National Guard pursuant to a call of the governor of New York </w:t>
      </w:r>
      <w:r w:rsidRPr="00DD7BD1">
        <w:rPr>
          <w:rFonts w:ascii="Calibri" w:hAnsi="Calibri" w:cs="Calibri"/>
          <w:i/>
          <w:iCs/>
          <w:shd w:val="clear" w:color="auto" w:fill="FFFFFF"/>
        </w:rPr>
        <w:t>or any other state</w:t>
      </w:r>
      <w:r w:rsidRPr="00DD7BD1">
        <w:rPr>
          <w:rFonts w:ascii="Calibri" w:hAnsi="Calibri" w:cs="Calibri"/>
          <w:shd w:val="clear" w:color="auto" w:fill="FFFFFF"/>
        </w:rPr>
        <w:t xml:space="preserve">. This law </w:t>
      </w:r>
      <w:hyperlink r:id="rId882" w:tgtFrame="_blank" w:history="1">
        <w:r w:rsidRPr="00DD7BD1">
          <w:rPr>
            <w:rStyle w:val="Hyperlink"/>
            <w:rFonts w:ascii="Calibri" w:hAnsi="Calibri" w:cs="Calibri"/>
            <w:shd w:val="clear" w:color="auto" w:fill="FFFFFF"/>
          </w:rPr>
          <w:t>NY 3710</w:t>
        </w:r>
      </w:hyperlink>
      <w:r w:rsidRPr="00DD7BD1">
        <w:rPr>
          <w:rFonts w:ascii="Calibri" w:hAnsi="Calibri" w:cs="Calibri"/>
          <w:shd w:val="clear" w:color="auto" w:fill="FFFFFF"/>
        </w:rPr>
        <w:t>  took effect immediately upon signing on September 27, 2024, and applies to employers of all sizes.</w:t>
      </w:r>
    </w:p>
    <w:p w14:paraId="1C61978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highlight w:val="lightGray"/>
          <w:shd w:val="clear" w:color="auto" w:fill="FFFFFF"/>
        </w:rPr>
        <w:t>Employer Takeaway:</w:t>
      </w:r>
      <w:r w:rsidRPr="00DD7BD1">
        <w:rPr>
          <w:rFonts w:ascii="Calibri" w:hAnsi="Calibri" w:cs="Calibri"/>
          <w:shd w:val="clear" w:color="auto" w:fill="FFFFFF"/>
        </w:rPr>
        <w:t xml:space="preserve"> If your handbook policy related to protected military and National Guard leave is not already expansive enough to cover this type of use, update it as needed.</w:t>
      </w:r>
    </w:p>
    <w:p w14:paraId="6A00C837" w14:textId="77777777" w:rsidR="003B29FD" w:rsidRPr="00DD7BD1" w:rsidRDefault="003B29FD" w:rsidP="00A33FCC">
      <w:pPr>
        <w:spacing w:after="0" w:line="240" w:lineRule="auto"/>
        <w:jc w:val="center"/>
        <w:rPr>
          <w:rFonts w:ascii="Calibri" w:hAnsi="Calibri" w:cs="Calibri"/>
          <w:b/>
          <w:bCs/>
          <w:color w:val="C00000"/>
          <w:shd w:val="clear" w:color="auto" w:fill="FFFFFF"/>
          <w:lang w:val="en"/>
        </w:rPr>
      </w:pPr>
    </w:p>
    <w:p w14:paraId="55A5BA96" w14:textId="610077CC" w:rsidR="00A33FCC" w:rsidRPr="00DD7BD1" w:rsidRDefault="00A33FCC" w:rsidP="00A33F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New </w:t>
      </w:r>
      <w:r w:rsidRPr="00DD7BD1">
        <w:rPr>
          <w:rFonts w:ascii="Calibri" w:hAnsi="Calibri" w:cs="Calibri"/>
          <w:b/>
          <w:bCs/>
          <w:sz w:val="28"/>
          <w:szCs w:val="28"/>
          <w:shd w:val="clear" w:color="auto" w:fill="FFFFFF"/>
        </w:rPr>
        <w:t>York PFL Contribution and Benefit Rates to Increase in 2025</w:t>
      </w:r>
    </w:p>
    <w:p w14:paraId="51F3E38F" w14:textId="77777777" w:rsidR="00A33FCC" w:rsidRPr="00DD7BD1" w:rsidRDefault="00A33FCC" w:rsidP="00A33FCC">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New York state has published paid family leave (PFL) updates for 2025 on </w:t>
      </w:r>
      <w:r w:rsidRPr="00DD7BD1">
        <w:rPr>
          <w:rFonts w:ascii="Calibri" w:hAnsi="Calibri" w:cs="Calibri"/>
          <w:color w:val="C00000"/>
          <w:shd w:val="clear" w:color="auto" w:fill="FFFFFF"/>
        </w:rPr>
        <w:t xml:space="preserve">its </w:t>
      </w:r>
      <w:hyperlink r:id="rId883" w:history="1">
        <w:r w:rsidRPr="00DD7BD1">
          <w:rPr>
            <w:rStyle w:val="Hyperlink"/>
            <w:rFonts w:ascii="Calibri" w:hAnsi="Calibri" w:cs="Calibri"/>
            <w:shd w:val="clear" w:color="auto" w:fill="FFFFFF"/>
          </w:rPr>
          <w:t>website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weekly employee benefit  for New York state PFL leave will be capped at $1,177.32 in 2025, an increase from 2024. </w:t>
      </w:r>
    </w:p>
    <w:p w14:paraId="519ED8A8"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2025 employee contribution rate for PFL will be 0.388% of gross wages, also increased from 2024.</w:t>
      </w:r>
    </w:p>
    <w:p w14:paraId="55EA8BC2"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maximum annual employee contribution for PFL in 2025 will be $354.53.</w:t>
      </w:r>
    </w:p>
    <w:p w14:paraId="22006C71"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Recap:</w:t>
      </w:r>
    </w:p>
    <w:p w14:paraId="054CF229"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York’s </w:t>
      </w:r>
      <w:hyperlink r:id="rId884" w:history="1">
        <w:r w:rsidRPr="00DD7BD1">
          <w:rPr>
            <w:rStyle w:val="Hyperlink"/>
            <w:rFonts w:ascii="Calibri" w:hAnsi="Calibri" w:cs="Calibri"/>
            <w:shd w:val="clear" w:color="auto" w:fill="FFFFFF"/>
          </w:rPr>
          <w:t>PFL law</w:t>
        </w:r>
      </w:hyperlink>
      <w:r w:rsidRPr="00DD7BD1">
        <w:rPr>
          <w:rFonts w:ascii="Calibri" w:hAnsi="Calibri" w:cs="Calibri"/>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Caring for a family member with a serious health condition;</w:t>
      </w:r>
    </w:p>
    <w:p w14:paraId="45424F39"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 xml:space="preserve">Birth, adoption or fostering of a child; </w:t>
      </w:r>
    </w:p>
    <w:p w14:paraId="1BE62170"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A spouse’s, domestic partner’s, child’s or parent’s active military duty or impending active military duty; or</w:t>
      </w:r>
    </w:p>
    <w:p w14:paraId="669D9675"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Certain COVID-19-related reasons.</w:t>
      </w:r>
    </w:p>
    <w:p w14:paraId="46A1FF5D" w14:textId="77777777" w:rsidR="00A33FCC" w:rsidRPr="00DD7BD1" w:rsidRDefault="00A33FCC" w:rsidP="00A33FCC">
      <w:pPr>
        <w:pStyle w:val="ListParagraph"/>
        <w:spacing w:after="0" w:line="240" w:lineRule="auto"/>
        <w:ind w:left="0"/>
        <w:rPr>
          <w:rFonts w:ascii="Calibri" w:hAnsi="Calibri" w:cs="Calibri"/>
          <w:shd w:val="clear" w:color="auto" w:fill="FFFFFF"/>
        </w:rPr>
      </w:pPr>
      <w:r w:rsidRPr="00DD7BD1">
        <w:rPr>
          <w:rFonts w:ascii="Calibri" w:hAnsi="Calibri" w:cs="Calibri"/>
          <w:shd w:val="clear" w:color="auto" w:fill="FFFFFF"/>
        </w:rPr>
        <w:br/>
        <w:t xml:space="preserve">“Family member” is defined expansively and includes siblings. </w:t>
      </w:r>
    </w:p>
    <w:p w14:paraId="2144358B" w14:textId="77777777" w:rsidR="00221F05" w:rsidRPr="00DD7BD1" w:rsidRDefault="00221F05" w:rsidP="00A33FCC">
      <w:pPr>
        <w:spacing w:after="0" w:line="240" w:lineRule="auto"/>
        <w:jc w:val="both"/>
        <w:rPr>
          <w:rFonts w:ascii="Calibri" w:hAnsi="Calibri" w:cs="Calibri"/>
          <w:color w:val="2E74B5" w:themeColor="accent5" w:themeShade="BF"/>
          <w:shd w:val="clear" w:color="auto" w:fill="FFFFFF"/>
          <w:lang w:val="en"/>
        </w:rPr>
      </w:pPr>
    </w:p>
    <w:p w14:paraId="232A0922" w14:textId="7AC3EF5F" w:rsidR="00837139" w:rsidRPr="00DD7BD1" w:rsidRDefault="00837139" w:rsidP="00CC231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Retail Workplace Violence Prevention Law – </w:t>
      </w:r>
      <w:r w:rsidRPr="00DD7BD1">
        <w:rPr>
          <w:rFonts w:ascii="Calibri" w:hAnsi="Calibri" w:cs="Calibri"/>
          <w:b/>
          <w:bCs/>
          <w:color w:val="C00000"/>
          <w:sz w:val="28"/>
          <w:szCs w:val="28"/>
          <w:shd w:val="clear" w:color="auto" w:fill="FFFFFF"/>
          <w:lang w:val="en"/>
        </w:rPr>
        <w:t>March 25 &amp; Jan 2027</w:t>
      </w:r>
    </w:p>
    <w:p w14:paraId="1EAD2C67" w14:textId="77777777" w:rsidR="00837139" w:rsidRPr="00DD7BD1" w:rsidRDefault="00837139" w:rsidP="00837139">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885"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886"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DD7BD1" w:rsidRDefault="00837139" w:rsidP="00837139">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68877F17"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31237A6F"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391CCF70" w14:textId="77777777" w:rsidR="00837139" w:rsidRPr="00DD7BD1" w:rsidRDefault="00837139" w:rsidP="00837139">
      <w:pPr>
        <w:spacing w:after="0" w:line="240" w:lineRule="auto"/>
        <w:jc w:val="both"/>
        <w:rPr>
          <w:rFonts w:ascii="Calibri" w:hAnsi="Calibri" w:cs="Calibri"/>
          <w:shd w:val="clear" w:color="auto" w:fill="FFFFFF"/>
        </w:rPr>
      </w:pPr>
    </w:p>
    <w:p w14:paraId="214ED0BC" w14:textId="77777777" w:rsidR="00837139" w:rsidRPr="00DD7BD1" w:rsidRDefault="00837139" w:rsidP="00837139">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67AA75FD"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117D65DF"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7DC41B4B" w14:textId="77777777" w:rsidR="00837139" w:rsidRPr="00DD7BD1" w:rsidRDefault="00837139" w:rsidP="00837139">
      <w:pPr>
        <w:spacing w:after="0" w:line="240" w:lineRule="auto"/>
        <w:jc w:val="both"/>
        <w:rPr>
          <w:rFonts w:ascii="Calibri" w:hAnsi="Calibri" w:cs="Calibri"/>
          <w:shd w:val="clear" w:color="auto" w:fill="FFFFFF"/>
          <w:lang w:val="en"/>
        </w:rPr>
      </w:pPr>
    </w:p>
    <w:p w14:paraId="67580CF9"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DD7BD1" w:rsidRDefault="00837139" w:rsidP="004B7569">
      <w:pPr>
        <w:pStyle w:val="Heading1"/>
        <w:shd w:val="clear" w:color="auto" w:fill="FFFFFF"/>
        <w:spacing w:before="0" w:beforeAutospacing="0" w:after="0" w:afterAutospacing="0"/>
        <w:jc w:val="center"/>
        <w:rPr>
          <w:rFonts w:ascii="Calibri" w:hAnsi="Calibri" w:cs="Calibri"/>
          <w:sz w:val="22"/>
          <w:szCs w:val="22"/>
        </w:rPr>
      </w:pPr>
    </w:p>
    <w:p w14:paraId="1F46F7E5" w14:textId="4B183F56" w:rsidR="004B7569" w:rsidRPr="00DD7BD1" w:rsidRDefault="004B7569" w:rsidP="004B756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New York Requires</w:t>
      </w:r>
      <w:r w:rsidRPr="00DD7BD1">
        <w:rPr>
          <w:rFonts w:ascii="Calibri" w:hAnsi="Calibri" w:cs="Calibri"/>
          <w:sz w:val="28"/>
          <w:szCs w:val="28"/>
          <w:u w:val="single"/>
        </w:rPr>
        <w:t xml:space="preserve"> Paid</w:t>
      </w:r>
      <w:r w:rsidRPr="00DD7BD1">
        <w:rPr>
          <w:rFonts w:ascii="Calibri" w:hAnsi="Calibri" w:cs="Calibri"/>
          <w:sz w:val="28"/>
          <w:szCs w:val="28"/>
        </w:rPr>
        <w:t xml:space="preserve"> Lactation Breaks - June 19</w:t>
      </w:r>
    </w:p>
    <w:p w14:paraId="00A0CD7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Paid Lactation Breaks</w:t>
      </w:r>
    </w:p>
    <w:p w14:paraId="33F6BCFF"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Effective </w:t>
      </w:r>
      <w:hyperlink r:id="rId887" w:tgtFrame="_blank" w:history="1">
        <w:r w:rsidRPr="00DD7BD1">
          <w:rPr>
            <w:rStyle w:val="Hyperlink"/>
            <w:rFonts w:ascii="Calibri" w:eastAsiaTheme="majorEastAsia" w:hAnsi="Calibri" w:cs="Calibri"/>
            <w:sz w:val="22"/>
            <w:szCs w:val="22"/>
          </w:rPr>
          <w:t>June 19, 2024</w:t>
        </w:r>
      </w:hyperlink>
      <w:r w:rsidRPr="00DD7BD1">
        <w:rPr>
          <w:rFonts w:ascii="Calibri" w:hAnsi="Calibri" w:cs="Calibri"/>
          <w:color w:val="333333"/>
          <w:sz w:val="22"/>
          <w:szCs w:val="22"/>
        </w:rPr>
        <w:t xml:space="preserve">, </w:t>
      </w:r>
      <w:r w:rsidRPr="00DD7BD1">
        <w:rPr>
          <w:rFonts w:ascii="Calibri" w:hAnsi="Calibri" w:cs="Calibri"/>
          <w:sz w:val="22"/>
          <w:szCs w:val="22"/>
        </w:rPr>
        <w:t>all private sector employers (</w:t>
      </w:r>
      <w:r w:rsidRPr="00DD7BD1">
        <w:rPr>
          <w:rFonts w:ascii="Calibri" w:hAnsi="Calibri" w:cs="Calibri"/>
          <w:sz w:val="22"/>
          <w:szCs w:val="22"/>
          <w:u w:val="single"/>
        </w:rPr>
        <w:t>regardless of size</w:t>
      </w:r>
      <w:r w:rsidRPr="00DD7BD1">
        <w:rPr>
          <w:rFonts w:ascii="Calibri" w:hAnsi="Calibri" w:cs="Calibri"/>
          <w:sz w:val="22"/>
          <w:szCs w:val="22"/>
        </w:rPr>
        <w:t>) will be required to provide 30 minutes of </w:t>
      </w:r>
      <w:r w:rsidRPr="00DD7BD1">
        <w:rPr>
          <w:rStyle w:val="Emphasis"/>
          <w:rFonts w:ascii="Calibri" w:hAnsi="Calibri" w:cs="Calibri"/>
          <w:b/>
          <w:bCs/>
          <w:sz w:val="22"/>
          <w:szCs w:val="22"/>
        </w:rPr>
        <w:t>paid </w:t>
      </w:r>
      <w:r w:rsidRPr="00DD7BD1">
        <w:rPr>
          <w:rFonts w:ascii="Calibri" w:hAnsi="Calibri" w:cs="Calibri"/>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DD7BD1" w:rsidRDefault="004B7569" w:rsidP="004B7569">
      <w:pPr>
        <w:pStyle w:val="Heading1"/>
        <w:shd w:val="clear" w:color="auto" w:fill="FFFFFF"/>
        <w:spacing w:before="0" w:beforeAutospacing="0" w:after="0" w:afterAutospacing="0" w:line="264" w:lineRule="atLeast"/>
        <w:rPr>
          <w:rFonts w:ascii="Calibri" w:hAnsi="Calibri" w:cs="Calibri"/>
          <w:sz w:val="20"/>
          <w:szCs w:val="20"/>
          <w:shd w:val="clear" w:color="auto" w:fill="FFFFFF"/>
          <w:lang w:val="en"/>
        </w:rPr>
      </w:pPr>
    </w:p>
    <w:p w14:paraId="23DE5AE3" w14:textId="5F950AFF" w:rsidR="00AF4ED7" w:rsidRPr="00DD7BD1" w:rsidRDefault="00AF4ED7" w:rsidP="00AF4ED7">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lang w:val="en"/>
        </w:rPr>
      </w:pPr>
      <w:bookmarkStart w:id="130" w:name="_Hlk183520420"/>
      <w:r w:rsidRPr="00DD7BD1">
        <w:rPr>
          <w:rFonts w:ascii="Calibri" w:hAnsi="Calibri" w:cs="Calibri"/>
          <w:sz w:val="28"/>
          <w:szCs w:val="28"/>
          <w:shd w:val="clear" w:color="auto" w:fill="FFFFFF"/>
          <w:lang w:val="en"/>
        </w:rPr>
        <w:t xml:space="preserve">Mandated </w:t>
      </w:r>
      <w:r w:rsidRPr="00DD7BD1">
        <w:rPr>
          <w:rFonts w:ascii="Calibri" w:hAnsi="Calibri" w:cs="Calibri"/>
          <w:sz w:val="28"/>
          <w:szCs w:val="28"/>
          <w:u w:val="single"/>
          <w:shd w:val="clear" w:color="auto" w:fill="FFFFFF"/>
          <w:lang w:val="en"/>
        </w:rPr>
        <w:t xml:space="preserve">Paid </w:t>
      </w:r>
      <w:r w:rsidRPr="00DD7BD1">
        <w:rPr>
          <w:rFonts w:ascii="Calibri" w:hAnsi="Calibri" w:cs="Calibri"/>
          <w:sz w:val="28"/>
          <w:szCs w:val="28"/>
          <w:shd w:val="clear" w:color="auto" w:fill="FFFFFF"/>
          <w:lang w:val="en"/>
        </w:rPr>
        <w:t>Prenatal Leave</w:t>
      </w:r>
    </w:p>
    <w:bookmarkEnd w:id="130"/>
    <w:p w14:paraId="24516A64"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spacing w:val="3"/>
          <w:sz w:val="22"/>
          <w:szCs w:val="22"/>
          <w:shd w:val="clear" w:color="auto" w:fill="FFFFFF"/>
        </w:rPr>
      </w:pPr>
      <w:r w:rsidRPr="00DD7BD1">
        <w:rPr>
          <w:rFonts w:ascii="Calibri" w:hAnsi="Calibri" w:cs="Calibri"/>
          <w:b w:val="0"/>
          <w:bCs w:val="0"/>
          <w:sz w:val="22"/>
          <w:szCs w:val="22"/>
        </w:rPr>
        <w:t xml:space="preserve">The State of New York has become the first state to mandate </w:t>
      </w:r>
      <w:r w:rsidRPr="00DD7BD1">
        <w:rPr>
          <w:rFonts w:ascii="Calibri" w:hAnsi="Calibri" w:cs="Calibri"/>
          <w:b w:val="0"/>
          <w:bCs w:val="0"/>
          <w:spacing w:val="3"/>
          <w:sz w:val="22"/>
          <w:szCs w:val="22"/>
          <w:shd w:val="clear" w:color="auto" w:fill="FFFFFF"/>
        </w:rPr>
        <w:t>paid prenatal leave.  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888" w:tgtFrame="_blank" w:history="1">
        <w:r w:rsidRPr="00DD7BD1">
          <w:rPr>
            <w:rStyle w:val="Hyperlink"/>
            <w:rFonts w:ascii="Calibri" w:hAnsi="Calibri" w:cs="Calibri"/>
            <w:b w:val="0"/>
            <w:bCs w:val="0"/>
            <w:color w:val="3052DA"/>
            <w:kern w:val="0"/>
            <w:sz w:val="22"/>
            <w:szCs w:val="22"/>
          </w:rPr>
          <w:t>New York’s final budget for fiscal 202</w:t>
        </w:r>
        <w:r w:rsidRPr="00DD7BD1">
          <w:rPr>
            <w:rStyle w:val="Hyperlink"/>
            <w:rFonts w:ascii="Calibri" w:hAnsi="Calibri" w:cs="Calibri"/>
            <w:b w:val="0"/>
            <w:bCs w:val="0"/>
            <w:color w:val="1B517C"/>
            <w:spacing w:val="3"/>
            <w:sz w:val="22"/>
            <w:szCs w:val="22"/>
            <w:shd w:val="clear" w:color="auto" w:fill="FFFFFF"/>
          </w:rPr>
          <w:t>5</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color w:val="292929"/>
          <w:spacing w:val="3"/>
          <w:sz w:val="16"/>
          <w:szCs w:val="16"/>
          <w:shd w:val="clear" w:color="auto" w:fill="FFFFFF"/>
        </w:rPr>
      </w:pPr>
    </w:p>
    <w:p w14:paraId="4A6D237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b/>
          <w:bCs/>
          <w:spacing w:val="3"/>
          <w:sz w:val="22"/>
          <w:szCs w:val="22"/>
          <w:highlight w:val="lightGray"/>
          <w:shd w:val="clear" w:color="auto" w:fill="FFFFFF"/>
        </w:rPr>
        <w:t>Employer Takeaway:</w:t>
      </w:r>
      <w:r w:rsidRPr="00DD7BD1">
        <w:rPr>
          <w:rFonts w:ascii="Calibri" w:hAnsi="Calibri" w:cs="Calibri"/>
          <w:spacing w:val="3"/>
          <w:sz w:val="22"/>
          <w:szCs w:val="22"/>
          <w:shd w:val="clear" w:color="auto" w:fill="FFFFFF"/>
        </w:rPr>
        <w:t xml:space="preserve"> </w:t>
      </w:r>
      <w:r w:rsidRPr="00DD7BD1">
        <w:rPr>
          <w:rFonts w:ascii="Calibri" w:hAnsi="Calibri" w:cs="Calibri"/>
          <w:spacing w:val="3"/>
          <w:sz w:val="22"/>
          <w:szCs w:val="22"/>
        </w:rPr>
        <w:t>This amendment takes effect </w:t>
      </w:r>
      <w:r w:rsidRPr="00DD7BD1">
        <w:rPr>
          <w:rStyle w:val="Strong"/>
          <w:rFonts w:ascii="Calibri" w:hAnsi="Calibri" w:cs="Calibri"/>
          <w:b w:val="0"/>
          <w:bCs w:val="0"/>
          <w:color w:val="C00000"/>
          <w:spacing w:val="3"/>
          <w:sz w:val="22"/>
          <w:szCs w:val="22"/>
        </w:rPr>
        <w:t>January 1, 2025</w:t>
      </w:r>
      <w:r w:rsidRPr="00DD7BD1">
        <w:rPr>
          <w:rFonts w:ascii="Calibri" w:hAnsi="Calibri" w:cs="Calibri"/>
          <w:color w:val="292929"/>
          <w:spacing w:val="3"/>
          <w:sz w:val="22"/>
          <w:szCs w:val="22"/>
        </w:rPr>
        <w:t xml:space="preserve">. </w:t>
      </w:r>
      <w:r w:rsidRPr="00DD7BD1">
        <w:rPr>
          <w:rFonts w:ascii="Calibri" w:hAnsi="Calibri" w:cs="Calibri"/>
          <w:spacing w:val="3"/>
          <w:sz w:val="22"/>
          <w:szCs w:val="22"/>
        </w:rPr>
        <w:t>ETC will release an updated State Handbook Addendum in advance of the effective date.</w:t>
      </w:r>
    </w:p>
    <w:p w14:paraId="57F5768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16"/>
          <w:szCs w:val="16"/>
        </w:rPr>
      </w:pPr>
    </w:p>
    <w:p w14:paraId="7ED0CFAA"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pacing w:val="3"/>
          <w:sz w:val="22"/>
          <w:szCs w:val="22"/>
        </w:rPr>
      </w:pPr>
      <w:r w:rsidRPr="00DD7BD1">
        <w:rPr>
          <w:rFonts w:ascii="Calibri" w:hAnsi="Calibri" w:cs="Calibri"/>
          <w:b/>
          <w:bCs/>
          <w:spacing w:val="3"/>
          <w:sz w:val="22"/>
          <w:szCs w:val="22"/>
          <w:highlight w:val="lightGray"/>
        </w:rPr>
        <w:t>Learn More:</w:t>
      </w:r>
    </w:p>
    <w:p w14:paraId="2BBB968F"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82D4AB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Note that</w:t>
      </w:r>
      <w:r w:rsidRPr="00DD7BD1">
        <w:rPr>
          <w:rFonts w:ascii="Calibri" w:hAnsi="Calibri" w:cs="Calibri"/>
          <w:i/>
          <w:iCs/>
          <w:spacing w:val="3"/>
          <w:sz w:val="22"/>
          <w:szCs w:val="22"/>
        </w:rPr>
        <w:t xml:space="preserve"> </w:t>
      </w:r>
      <w:r w:rsidRPr="00DD7BD1">
        <w:rPr>
          <w:rFonts w:ascii="Calibri" w:hAnsi="Calibri" w:cs="Calibri"/>
          <w:spacing w:val="3"/>
          <w:sz w:val="22"/>
          <w:szCs w:val="22"/>
        </w:rPr>
        <w:t>under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307F234"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10405E1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p>
    <w:p w14:paraId="31338469" w14:textId="0A0F1F81"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RESOURCE: The state’s recently released </w:t>
      </w:r>
      <w:hyperlink r:id="rId889" w:tgtFrame="_blank" w:history="1">
        <w:r w:rsidRPr="00DD7BD1">
          <w:rPr>
            <w:rStyle w:val="Hyperlink"/>
            <w:rFonts w:ascii="Calibri" w:hAnsi="Calibri" w:cs="Calibri"/>
            <w:spacing w:val="3"/>
            <w:sz w:val="22"/>
            <w:szCs w:val="22"/>
          </w:rPr>
          <w:t>FAQs</w:t>
        </w:r>
      </w:hyperlink>
      <w:r w:rsidRPr="00DD7BD1">
        <w:rPr>
          <w:rFonts w:ascii="Calibri" w:hAnsi="Calibri" w:cs="Calibri"/>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29A14942" w14:textId="74811B40" w:rsidR="00AF4ED7" w:rsidRPr="00DD7BD1" w:rsidRDefault="00AF4ED7" w:rsidP="00AF4ED7">
      <w:pPr>
        <w:pStyle w:val="NormalWeb"/>
        <w:shd w:val="clear" w:color="auto" w:fill="FFFFFF"/>
        <w:spacing w:before="0" w:beforeAutospacing="0" w:after="0" w:afterAutospacing="0"/>
        <w:jc w:val="center"/>
        <w:rPr>
          <w:rStyle w:val="Strong"/>
          <w:rFonts w:ascii="Calibri" w:hAnsi="Calibri" w:cs="Calibri"/>
          <w:kern w:val="36"/>
          <w:sz w:val="28"/>
          <w:szCs w:val="28"/>
        </w:rPr>
      </w:pPr>
      <w:r w:rsidRPr="00DD7BD1">
        <w:rPr>
          <w:rStyle w:val="Strong"/>
          <w:rFonts w:ascii="Calibri" w:hAnsi="Calibri" w:cs="Calibri"/>
          <w:sz w:val="28"/>
          <w:szCs w:val="28"/>
        </w:rPr>
        <w:t>Expanded</w:t>
      </w:r>
      <w:r w:rsidRPr="00DD7BD1">
        <w:rPr>
          <w:rStyle w:val="Strong"/>
          <w:rFonts w:ascii="Calibri" w:hAnsi="Calibri" w:cs="Calibri"/>
          <w:kern w:val="36"/>
          <w:sz w:val="28"/>
          <w:szCs w:val="28"/>
        </w:rPr>
        <w:t xml:space="preserve"> Criminal History Protections</w:t>
      </w:r>
    </w:p>
    <w:p w14:paraId="2B8421D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22"/>
          <w:szCs w:val="22"/>
          <w:shd w:val="clear" w:color="auto" w:fill="FFFFFF"/>
        </w:rPr>
      </w:pPr>
      <w:bookmarkStart w:id="131" w:name="_Hlk181117528"/>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xml:space="preserve">, called the </w:t>
      </w:r>
      <w:bookmarkStart w:id="132" w:name="_Hlk181117499"/>
      <w:r w:rsidRPr="00DD7BD1">
        <w:rPr>
          <w:rFonts w:ascii="Calibri" w:hAnsi="Calibri" w:cs="Calibri"/>
          <w:sz w:val="22"/>
          <w:szCs w:val="22"/>
          <w:shd w:val="clear" w:color="auto" w:fill="FFFFFF"/>
        </w:rPr>
        <w:t>Clean Slate Act </w:t>
      </w:r>
      <w:bookmarkEnd w:id="132"/>
      <w:r w:rsidRPr="00DD7BD1">
        <w:rPr>
          <w:rFonts w:ascii="Calibri" w:hAnsi="Calibri" w:cs="Calibri"/>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0BEA5015" w14:textId="77777777" w:rsidR="00AF4ED7" w:rsidRPr="00DD7BD1" w:rsidRDefault="00AF4ED7" w:rsidP="00AF4ED7">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370EF877"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545EC7F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532A4DA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18F21AB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1AF6F16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0E972AD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58529B8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74261AD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6907A3BE" w14:textId="475544C5" w:rsidR="002006C2"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employer’s interest in protecting its property and the safety and welfare of specific individuals or the general public.</w:t>
      </w:r>
    </w:p>
    <w:p w14:paraId="76C6B72C" w14:textId="77777777" w:rsidR="004B7569" w:rsidRPr="00DD7BD1" w:rsidRDefault="004B7569" w:rsidP="004B7569">
      <w:pPr>
        <w:shd w:val="clear" w:color="auto" w:fill="FFFFFF"/>
        <w:spacing w:after="0" w:line="240" w:lineRule="auto"/>
        <w:ind w:left="720"/>
        <w:rPr>
          <w:rStyle w:val="Strong"/>
          <w:rFonts w:ascii="Calibri" w:eastAsia="Times New Roman" w:hAnsi="Calibri" w:cs="Calibri"/>
          <w:b w:val="0"/>
          <w:bCs w:val="0"/>
        </w:rPr>
      </w:pPr>
    </w:p>
    <w:p w14:paraId="322BCE3F" w14:textId="026147AF" w:rsidR="00AF4ED7" w:rsidRPr="00DD7BD1" w:rsidRDefault="00AF4ED7" w:rsidP="00AF4ED7">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5594133D" w14:textId="77777777"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31"/>
    <w:p w14:paraId="1AA0ED34" w14:textId="014D545F" w:rsidR="00472E17" w:rsidRPr="00DD7BD1" w:rsidRDefault="00472E17" w:rsidP="00472E17">
      <w:pPr>
        <w:spacing w:after="0" w:line="240" w:lineRule="auto"/>
        <w:jc w:val="center"/>
        <w:rPr>
          <w:rStyle w:val="Strong"/>
          <w:rFonts w:ascii="Calibri" w:eastAsia="Times New Roman" w:hAnsi="Calibri" w:cs="Calibri"/>
          <w:b w:val="0"/>
          <w:bCs w:val="0"/>
          <w:sz w:val="28"/>
          <w:szCs w:val="28"/>
        </w:rPr>
      </w:pPr>
      <w:r w:rsidRPr="00DD7BD1">
        <w:rPr>
          <w:rStyle w:val="Strong"/>
          <w:rFonts w:ascii="Calibri" w:eastAsia="Times New Roman" w:hAnsi="Calibri" w:cs="Calibri"/>
          <w:sz w:val="28"/>
          <w:szCs w:val="28"/>
        </w:rPr>
        <w:t>State’s Expanded Privacy and Wage Protections</w:t>
      </w:r>
    </w:p>
    <w:p w14:paraId="2AB8AAB3" w14:textId="77777777" w:rsidR="00472E17" w:rsidRPr="00DD7BD1" w:rsidRDefault="00472E17" w:rsidP="00472E17">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following changes to New York’s employment laws apply to employers of all sizes.</w:t>
      </w:r>
    </w:p>
    <w:p w14:paraId="09796175" w14:textId="77777777" w:rsidR="00472E17" w:rsidRPr="00DD7BD1" w:rsidRDefault="00472E17" w:rsidP="00472E17">
      <w:pPr>
        <w:spacing w:after="0" w:line="240" w:lineRule="auto"/>
        <w:jc w:val="both"/>
        <w:rPr>
          <w:rFonts w:ascii="Calibri" w:hAnsi="Calibri" w:cs="Calibri"/>
          <w:color w:val="282828"/>
          <w:sz w:val="12"/>
          <w:szCs w:val="12"/>
          <w:shd w:val="clear" w:color="auto" w:fill="FFFFFF"/>
        </w:rPr>
      </w:pPr>
    </w:p>
    <w:p w14:paraId="109C8379"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shd w:val="clear" w:color="auto" w:fill="FFFFFF"/>
        </w:rPr>
        <w:t>P</w:t>
      </w:r>
      <w:r w:rsidRPr="00DD7BD1">
        <w:rPr>
          <w:rStyle w:val="Strong"/>
          <w:rFonts w:ascii="Calibri" w:hAnsi="Calibri" w:cs="Calibri"/>
          <w:sz w:val="22"/>
          <w:szCs w:val="22"/>
        </w:rPr>
        <w:t>ERSONAL ACCOUNT PRIVACY PROTECTIONS</w:t>
      </w:r>
    </w:p>
    <w:p w14:paraId="5F6C74C0"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w:t>
      </w:r>
      <w:r w:rsidRPr="00DD7BD1">
        <w:rPr>
          <w:rFonts w:ascii="Calibri" w:hAnsi="Calibri" w:cs="Calibri"/>
          <w:b/>
          <w:bCs/>
          <w:color w:val="C00000"/>
          <w:sz w:val="22"/>
          <w:szCs w:val="22"/>
        </w:rPr>
        <w:t>March 12, 2024</w:t>
      </w:r>
      <w:r w:rsidRPr="00DD7BD1">
        <w:rPr>
          <w:rFonts w:ascii="Calibri" w:hAnsi="Calibri" w:cs="Calibri"/>
          <w:sz w:val="22"/>
          <w:szCs w:val="22"/>
        </w:rPr>
        <w:t xml:space="preserve">, employers will be prohibited from </w:t>
      </w:r>
      <w:r w:rsidRPr="00DD7BD1">
        <w:rPr>
          <w:rFonts w:ascii="Calibri" w:hAnsi="Calibri" w:cs="Calibri"/>
          <w:sz w:val="22"/>
          <w:szCs w:val="22"/>
          <w:u w:val="single"/>
        </w:rPr>
        <w:t>electronically accessing employees’ and applicants’ personal accounts</w:t>
      </w:r>
      <w:r w:rsidRPr="00DD7BD1">
        <w:rPr>
          <w:rFonts w:ascii="Calibri" w:hAnsi="Calibri" w:cs="Calibri"/>
          <w:sz w:val="22"/>
          <w:szCs w:val="22"/>
        </w:rPr>
        <w:t xml:space="preserve">. </w:t>
      </w:r>
    </w:p>
    <w:p w14:paraId="5EC7C1A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12"/>
          <w:szCs w:val="12"/>
        </w:rPr>
      </w:pPr>
    </w:p>
    <w:p w14:paraId="305C8CE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b/>
          <w:bCs/>
          <w:sz w:val="22"/>
          <w:szCs w:val="22"/>
        </w:rPr>
      </w:pPr>
      <w:r w:rsidRPr="00DD7BD1">
        <w:rPr>
          <w:rFonts w:ascii="Calibri" w:hAnsi="Calibri" w:cs="Calibri"/>
          <w:b/>
          <w:bCs/>
          <w:sz w:val="22"/>
          <w:szCs w:val="22"/>
        </w:rPr>
        <w:t>What is a </w:t>
      </w:r>
      <w:r w:rsidRPr="00DD7BD1">
        <w:rPr>
          <w:rFonts w:ascii="Calibri" w:hAnsi="Calibri" w:cs="Calibri"/>
          <w:b/>
          <w:bCs/>
          <w:i/>
          <w:iCs/>
          <w:sz w:val="22"/>
          <w:szCs w:val="22"/>
        </w:rPr>
        <w:t>personal account</w:t>
      </w:r>
      <w:r w:rsidRPr="00DD7BD1">
        <w:rPr>
          <w:rFonts w:ascii="Calibri" w:hAnsi="Calibri" w:cs="Calibri"/>
          <w:b/>
          <w:bCs/>
          <w:sz w:val="22"/>
          <w:szCs w:val="22"/>
        </w:rPr>
        <w:t xml:space="preserve">, you ask? </w:t>
      </w:r>
    </w:p>
    <w:p w14:paraId="6995D846"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w:t>
      </w:r>
      <w:r w:rsidRPr="00DD7BD1">
        <w:rPr>
          <w:rFonts w:ascii="Calibri" w:hAnsi="Calibri" w:cs="Calibri"/>
          <w:i/>
          <w:iCs/>
          <w:sz w:val="22"/>
          <w:szCs w:val="22"/>
        </w:rPr>
        <w:t>personal account</w:t>
      </w:r>
      <w:r w:rsidRPr="00DD7BD1">
        <w:rPr>
          <w:rFonts w:ascii="Calibri" w:hAnsi="Calibri" w:cs="Calibri"/>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D7BD1" w:rsidRDefault="00472E17" w:rsidP="00472E17">
      <w:pPr>
        <w:pStyle w:val="NormalWeb"/>
        <w:shd w:val="clear" w:color="auto" w:fill="FFFFFF"/>
        <w:spacing w:before="0" w:beforeAutospacing="0" w:after="0" w:afterAutospacing="0"/>
        <w:jc w:val="both"/>
        <w:rPr>
          <w:rStyle w:val="Strong"/>
          <w:rFonts w:ascii="Calibri" w:hAnsi="Calibri" w:cs="Calibri"/>
          <w:sz w:val="12"/>
          <w:szCs w:val="12"/>
        </w:rPr>
      </w:pPr>
    </w:p>
    <w:p w14:paraId="2D974DFA"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Fonts w:ascii="Calibri" w:hAnsi="Calibri" w:cs="Calibri"/>
          <w:sz w:val="22"/>
          <w:szCs w:val="22"/>
        </w:rPr>
        <w:br/>
        <w:t>Make sure those involved in the hiring process, as well as all in supervisory roles, are aware of these prohibitions.  Check your social media and electronic device policies to make sure they’re compliant.</w:t>
      </w:r>
    </w:p>
    <w:p w14:paraId="209741CB"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65C3D7A5"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rPr>
      </w:pPr>
      <w:r w:rsidRPr="00DD7BD1">
        <w:rPr>
          <w:rStyle w:val="Strong"/>
          <w:rFonts w:ascii="Calibri" w:hAnsi="Calibri" w:cs="Calibri"/>
          <w:sz w:val="22"/>
          <w:szCs w:val="22"/>
        </w:rPr>
        <w:t>WAGE PAYMENT PROTECTION CHANGES</w:t>
      </w:r>
      <w:r w:rsidRPr="00DD7BD1">
        <w:rPr>
          <w:rFonts w:ascii="Calibri" w:hAnsi="Calibri" w:cs="Calibri"/>
          <w:sz w:val="22"/>
          <w:szCs w:val="22"/>
        </w:rPr>
        <w:br/>
        <w:t xml:space="preserve">As of </w:t>
      </w:r>
      <w:r w:rsidRPr="00DD7BD1">
        <w:rPr>
          <w:rFonts w:ascii="Calibri" w:hAnsi="Calibri" w:cs="Calibri"/>
          <w:b/>
          <w:bCs/>
          <w:color w:val="C00000"/>
          <w:sz w:val="22"/>
          <w:szCs w:val="22"/>
        </w:rPr>
        <w:t>March 13, 2024</w:t>
      </w:r>
      <w:r w:rsidRPr="00DD7BD1">
        <w:rPr>
          <w:rFonts w:ascii="Calibri" w:hAnsi="Calibri" w:cs="Calibri"/>
          <w:sz w:val="22"/>
          <w:szCs w:val="22"/>
        </w:rPr>
        <w:t>, the state’s earnings threshold for the applicability of </w:t>
      </w:r>
      <w:r w:rsidRPr="00DD7BD1">
        <w:rPr>
          <w:rFonts w:ascii="Calibri" w:hAnsi="Calibri" w:cs="Calibri"/>
          <w:b/>
          <w:bCs/>
          <w:i/>
          <w:iCs/>
          <w:sz w:val="22"/>
          <w:szCs w:val="22"/>
        </w:rPr>
        <w:t xml:space="preserve">wage payment </w:t>
      </w:r>
      <w:r w:rsidRPr="00DD7BD1">
        <w:rPr>
          <w:rFonts w:ascii="Calibri" w:hAnsi="Calibri" w:cs="Calibri"/>
          <w:b/>
          <w:bCs/>
          <w:i/>
          <w:iCs/>
          <w:sz w:val="22"/>
          <w:szCs w:val="22"/>
          <w:u w:val="single"/>
        </w:rPr>
        <w:t>protections</w:t>
      </w:r>
      <w:r w:rsidRPr="00DD7BD1">
        <w:rPr>
          <w:rFonts w:ascii="Calibri" w:hAnsi="Calibri" w:cs="Calibri"/>
          <w:sz w:val="22"/>
          <w:szCs w:val="22"/>
        </w:rPr>
        <w:t> for those employed in a bona fide executive, administrative, or professional capacity will increase from $900 per week to $1,300 per week</w:t>
      </w:r>
      <w:r w:rsidRPr="00DD7BD1">
        <w:rPr>
          <w:rFonts w:ascii="Calibri" w:hAnsi="Calibri" w:cs="Calibri"/>
          <w:i/>
          <w:iCs/>
          <w:sz w:val="22"/>
          <w:szCs w:val="22"/>
        </w:rPr>
        <w:t xml:space="preserve">. </w:t>
      </w:r>
    </w:p>
    <w:p w14:paraId="2534B90C"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i/>
          <w:iCs/>
          <w:sz w:val="22"/>
          <w:szCs w:val="22"/>
          <w:u w:val="single"/>
        </w:rPr>
        <w:t>This law does </w:t>
      </w:r>
      <w:r w:rsidRPr="00DD7BD1">
        <w:rPr>
          <w:rStyle w:val="Strong"/>
          <w:rFonts w:ascii="Calibri" w:hAnsi="Calibri" w:cs="Calibri"/>
          <w:i/>
          <w:iCs/>
          <w:sz w:val="22"/>
          <w:szCs w:val="22"/>
          <w:u w:val="single"/>
        </w:rPr>
        <w:t>not </w:t>
      </w:r>
      <w:r w:rsidRPr="00DD7BD1">
        <w:rPr>
          <w:rFonts w:ascii="Calibri" w:hAnsi="Calibri" w:cs="Calibri"/>
          <w:i/>
          <w:iCs/>
          <w:sz w:val="22"/>
          <w:szCs w:val="22"/>
          <w:u w:val="single"/>
        </w:rPr>
        <w:t>change the minimum salary for exempt employees</w:t>
      </w:r>
      <w:r w:rsidRPr="00DD7BD1">
        <w:rPr>
          <w:rFonts w:ascii="Calibri" w:hAnsi="Calibri" w:cs="Calibri"/>
          <w:i/>
          <w:iCs/>
          <w:sz w:val="22"/>
          <w:szCs w:val="22"/>
        </w:rPr>
        <w:t>—</w:t>
      </w:r>
      <w:r w:rsidRPr="00DD7BD1">
        <w:rPr>
          <w:rFonts w:ascii="Calibri" w:hAnsi="Calibri" w:cs="Calibri"/>
          <w:sz w:val="22"/>
          <w:szCs w:val="22"/>
        </w:rPr>
        <w:t xml:space="preserve">it simply </w:t>
      </w:r>
      <w:r w:rsidRPr="00DD7BD1">
        <w:rPr>
          <w:rFonts w:ascii="Calibri" w:hAnsi="Calibri" w:cs="Calibri"/>
          <w:sz w:val="22"/>
          <w:szCs w:val="22"/>
          <w:u w:val="single"/>
        </w:rPr>
        <w:t>extends certain longstanding wage payment rules to those who make $1,300 or less per week.</w:t>
      </w:r>
    </w:p>
    <w:p w14:paraId="72ABCE9C"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44221AED"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Style w:val="Strong"/>
          <w:rFonts w:ascii="Calibri" w:hAnsi="Calibri" w:cs="Calibri"/>
          <w:shd w:val="clear" w:color="auto" w:fill="D9D9D9" w:themeFill="background1" w:themeFillShade="D9"/>
        </w:rPr>
        <w:t xml:space="preserve"> </w:t>
      </w:r>
    </w:p>
    <w:p w14:paraId="6B6FD16F"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now need to make sure these employees are:</w:t>
      </w:r>
    </w:p>
    <w:p w14:paraId="3BC27946" w14:textId="77777777" w:rsidR="00472E17"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Paid wages at </w:t>
      </w:r>
      <w:r w:rsidRPr="00DD7BD1">
        <w:rPr>
          <w:rFonts w:ascii="Calibri" w:hAnsi="Calibri" w:cs="Calibri"/>
          <w:i/>
          <w:iCs/>
          <w:sz w:val="22"/>
          <w:szCs w:val="22"/>
        </w:rPr>
        <w:t>least</w:t>
      </w:r>
      <w:r w:rsidRPr="00DD7BD1">
        <w:rPr>
          <w:rFonts w:ascii="Calibri" w:hAnsi="Calibri" w:cs="Calibri"/>
          <w:sz w:val="22"/>
          <w:szCs w:val="22"/>
        </w:rPr>
        <w:t xml:space="preserve"> </w:t>
      </w:r>
      <w:r w:rsidRPr="00DD7BD1">
        <w:rPr>
          <w:rFonts w:ascii="Calibri" w:hAnsi="Calibri" w:cs="Calibri"/>
          <w:sz w:val="22"/>
          <w:szCs w:val="22"/>
          <w:u w:val="single"/>
        </w:rPr>
        <w:t>semimonthly</w:t>
      </w:r>
      <w:r w:rsidRPr="00DD7BD1">
        <w:rPr>
          <w:rFonts w:ascii="Calibri" w:hAnsi="Calibri" w:cs="Calibri"/>
          <w:sz w:val="22"/>
          <w:szCs w:val="22"/>
        </w:rPr>
        <w:t xml:space="preserve">, have provided </w:t>
      </w:r>
      <w:r w:rsidRPr="00DD7BD1">
        <w:rPr>
          <w:rFonts w:ascii="Calibri" w:hAnsi="Calibri" w:cs="Calibri"/>
          <w:sz w:val="22"/>
          <w:szCs w:val="22"/>
          <w:u w:val="single"/>
        </w:rPr>
        <w:t>advance written consent for direct deposit</w:t>
      </w:r>
      <w:r w:rsidRPr="00DD7BD1">
        <w:rPr>
          <w:rFonts w:ascii="Calibri" w:hAnsi="Calibri" w:cs="Calibri"/>
          <w:sz w:val="22"/>
          <w:szCs w:val="22"/>
        </w:rPr>
        <w:t xml:space="preserve">, and are </w:t>
      </w:r>
    </w:p>
    <w:p w14:paraId="2A246DFA" w14:textId="51EE3767" w:rsidR="00213EB3"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Paid any benefits or wage supplements (e.g., reimbursements for out-of-pocket business expenses) within 30 days of becoming due.</w:t>
      </w:r>
    </w:p>
    <w:p w14:paraId="17E15455" w14:textId="77777777" w:rsidR="00BD445F" w:rsidRPr="00DD7BD1" w:rsidRDefault="00BD445F" w:rsidP="00BD445F">
      <w:pPr>
        <w:pStyle w:val="NormalWeb"/>
        <w:shd w:val="clear" w:color="auto" w:fill="FFFFFF"/>
        <w:spacing w:before="0" w:beforeAutospacing="0" w:after="0" w:afterAutospacing="0"/>
        <w:ind w:left="720"/>
        <w:rPr>
          <w:rFonts w:ascii="Calibri" w:hAnsi="Calibri" w:cs="Calibri"/>
          <w:sz w:val="20"/>
          <w:szCs w:val="20"/>
        </w:rPr>
      </w:pPr>
    </w:p>
    <w:p w14:paraId="5E3F8698" w14:textId="77777777" w:rsidR="000363E2" w:rsidRPr="00DD7BD1" w:rsidRDefault="00BD445F" w:rsidP="000363E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Ohio</w:t>
      </w:r>
      <w:bookmarkStart w:id="133" w:name="_Hlk205278238"/>
      <w:bookmarkStart w:id="134" w:name="_Hlk205278253"/>
    </w:p>
    <w:p w14:paraId="2EAC7F21" w14:textId="3E51B8EB" w:rsidR="00572253" w:rsidRPr="00572253" w:rsidRDefault="00572253" w:rsidP="00572253">
      <w:pPr>
        <w:rPr>
          <w:b/>
          <w:bCs/>
          <w:caps/>
          <w:color w:val="0070C0"/>
          <w:sz w:val="26"/>
          <w:szCs w:val="26"/>
        </w:rPr>
      </w:pPr>
      <w:r w:rsidRPr="009E01EC">
        <w:rPr>
          <w:b/>
          <w:bCs/>
          <w:caps/>
          <w:color w:val="0070C0"/>
          <w:sz w:val="26"/>
          <w:szCs w:val="26"/>
        </w:rPr>
        <w:t>Reminder</w:t>
      </w:r>
      <w:r>
        <w:rPr>
          <w:b/>
          <w:bCs/>
          <w:caps/>
          <w:color w:val="0070C0"/>
          <w:sz w:val="26"/>
          <w:szCs w:val="26"/>
        </w:rPr>
        <w:t>:</w:t>
      </w:r>
      <w:r>
        <w:rPr>
          <w:b/>
          <w:bCs/>
          <w:caps/>
          <w:noProof/>
          <w:color w:val="0E425C"/>
          <w:sz w:val="28"/>
          <w:szCs w:val="28"/>
        </w:rPr>
        <w:t xml:space="preserve"> </w:t>
      </w:r>
      <w:r w:rsidRPr="009E01EC">
        <w:rPr>
          <w:b/>
          <w:bCs/>
          <w:caps/>
          <w:noProof/>
          <w:color w:val="0E425C"/>
          <w:sz w:val="26"/>
          <w:szCs w:val="26"/>
        </w:rPr>
        <w:t>Construction Contractors Required To Verify Employees’ Work Eligibility Through the Federal E-Verify Program Eff</w:t>
      </w:r>
      <w:r>
        <w:rPr>
          <w:b/>
          <w:bCs/>
          <w:caps/>
          <w:noProof/>
          <w:color w:val="0E425C"/>
          <w:sz w:val="26"/>
          <w:szCs w:val="26"/>
        </w:rPr>
        <w:t>ectIve</w:t>
      </w:r>
      <w:r w:rsidRPr="009E01EC">
        <w:rPr>
          <w:b/>
          <w:bCs/>
          <w:caps/>
          <w:noProof/>
          <w:color w:val="0E425C"/>
          <w:sz w:val="26"/>
          <w:szCs w:val="26"/>
        </w:rPr>
        <w:t xml:space="preserve"> </w:t>
      </w:r>
      <w:r w:rsidRPr="00B662A3">
        <w:rPr>
          <w:b/>
          <w:bCs/>
          <w:caps/>
          <w:color w:val="0070C0"/>
          <w:sz w:val="26"/>
          <w:szCs w:val="26"/>
        </w:rPr>
        <w:t>March 20, 2026</w:t>
      </w:r>
    </w:p>
    <w:p w14:paraId="6535D8FD" w14:textId="1166C551" w:rsidR="000363E2" w:rsidRPr="00DD7BD1" w:rsidRDefault="000363E2" w:rsidP="000363E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rPr>
        <w:t>Construction Contractors</w:t>
      </w:r>
      <w:r w:rsidRPr="00DD7BD1">
        <w:rPr>
          <w:rFonts w:ascii="Calibri" w:hAnsi="Calibri" w:cs="Calibri"/>
          <w:b/>
          <w:bCs/>
          <w:sz w:val="28"/>
          <w:szCs w:val="28"/>
          <w:shd w:val="clear" w:color="auto" w:fill="FFFFFF"/>
        </w:rPr>
        <w:t xml:space="preserve"> Required To Verify Employees’ Work Eligibility Through the Federal E-Verify Program Eff</w:t>
      </w:r>
      <w:r w:rsidRPr="00DD7BD1">
        <w:rPr>
          <w:rFonts w:ascii="Calibri" w:hAnsi="Calibri" w:cs="Calibri"/>
          <w:b/>
          <w:bCs/>
          <w:color w:val="2E74B5" w:themeColor="accent5" w:themeShade="BF"/>
          <w:sz w:val="28"/>
          <w:szCs w:val="28"/>
          <w:shd w:val="clear" w:color="auto" w:fill="FFFFFF"/>
        </w:rPr>
        <w:t xml:space="preserve"> </w:t>
      </w:r>
      <w:r w:rsidRPr="00DD7BD1">
        <w:rPr>
          <w:rFonts w:ascii="Calibri" w:hAnsi="Calibri" w:cs="Calibri"/>
          <w:b/>
          <w:bCs/>
          <w:color w:val="C00000"/>
          <w:sz w:val="28"/>
          <w:szCs w:val="28"/>
          <w:shd w:val="clear" w:color="auto" w:fill="FFFFFF"/>
        </w:rPr>
        <w:t>March 20, 2026</w:t>
      </w:r>
    </w:p>
    <w:p w14:paraId="679B2BC7" w14:textId="442811F1"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Although ETC does not regularly monitor regulatory enactments pertaining to specific industries, impacted employers are advised to understand the impact on the below regulation as it pertains to their organization.</w:t>
      </w:r>
    </w:p>
    <w:p w14:paraId="509EF01F" w14:textId="183E96AA"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Governor DeWine signed the E-Verify Workforce Integrity Act (Ohio General Assembly Substitute House Bill No. 246) which requires all construction contractors, subcontractors or labor brokers, excluding those who work on residential construction, to verify every new employee’s work eligibility through the federal E-Verify Program. The E-Verify Program is a program that helps an employer determine the eligibility of its employees to work in the United States. Contractors are required to keep records of the verification for the duration of the employee’s employment or for three years, whichever is longer. A contractor must terminate an employee’s employment if it receives notice of non-confirmation of an individual’s ability to work in the United States.</w:t>
      </w:r>
    </w:p>
    <w:p w14:paraId="3481736C" w14:textId="3A08F11A" w:rsidR="000363E2" w:rsidRPr="00DD7BD1" w:rsidRDefault="000363E2" w:rsidP="000363E2">
      <w:pPr>
        <w:rPr>
          <w:rFonts w:ascii="Calibri" w:hAnsi="Calibri" w:cs="Calibri"/>
          <w:shd w:val="clear" w:color="auto" w:fill="FFFFFF"/>
          <w:lang w:val="en"/>
        </w:rPr>
      </w:pPr>
      <w:r w:rsidRPr="00DD7BD1">
        <w:rPr>
          <w:rFonts w:ascii="Calibri" w:hAnsi="Calibri" w:cs="Calibri"/>
          <w:shd w:val="clear" w:color="auto" w:fill="FFFFFF"/>
        </w:rPr>
        <w:t>The Act applies to any construction project involving construction or renovation of a building, highway, bridge, utility or related infrastructure, but it does not include things such as manufactured homes, residential buildings, buildings or structures that are incidental to the use of the land on which it is located for agricultural purposes or a mobile home.</w:t>
      </w:r>
    </w:p>
    <w:p w14:paraId="2C5AFC1F" w14:textId="63B01369" w:rsidR="00407ABD" w:rsidRPr="00DD7BD1" w:rsidRDefault="00407ABD" w:rsidP="006C66AA">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Increases Minimum Wage –</w:t>
      </w:r>
      <w:r w:rsidRPr="00DD7BD1">
        <w:rPr>
          <w:rFonts w:ascii="Calibri" w:hAnsi="Calibri" w:cs="Calibri"/>
          <w:b/>
          <w:bCs/>
          <w:color w:val="C00000"/>
          <w:sz w:val="28"/>
          <w:szCs w:val="28"/>
          <w:shd w:val="clear" w:color="auto" w:fill="FFFFFF"/>
        </w:rPr>
        <w:t xml:space="preserve"> Eff Jan 1, 2026</w:t>
      </w:r>
      <w:r w:rsidRPr="00DD7BD1">
        <w:rPr>
          <w:rFonts w:ascii="Calibri" w:hAnsi="Calibri" w:cs="Calibri"/>
          <w:b/>
          <w:bCs/>
          <w:color w:val="C00000"/>
          <w:sz w:val="28"/>
          <w:szCs w:val="28"/>
          <w:shd w:val="clear" w:color="auto" w:fill="FFFFFF"/>
        </w:rPr>
        <w:br/>
      </w:r>
      <w:r w:rsidRPr="00DD7BD1">
        <w:rPr>
          <w:rFonts w:ascii="Calibri" w:hAnsi="Calibri" w:cs="Calibri"/>
          <w:shd w:val="clear" w:color="auto" w:fill="FFFFFF"/>
        </w:rPr>
        <w:t>On January 1, 2026, Ohio’s minimum wage will increase to $11 per hour. The minimum base wage for tipped employees will increase to $5.50 per hour.  Employers that gross less than $405,000 per year can pay the federal minimum wage.</w:t>
      </w:r>
    </w:p>
    <w:p w14:paraId="0C0EB677" w14:textId="77777777" w:rsidR="00407ABD" w:rsidRPr="00DD7BD1" w:rsidRDefault="00407ABD" w:rsidP="000245D8">
      <w:pPr>
        <w:spacing w:after="0" w:line="240" w:lineRule="auto"/>
        <w:jc w:val="center"/>
        <w:rPr>
          <w:rFonts w:ascii="Calibri" w:hAnsi="Calibri" w:cs="Calibri"/>
          <w:b/>
          <w:bCs/>
          <w:u w:val="single"/>
          <w:shd w:val="clear" w:color="auto" w:fill="FFFFFF"/>
        </w:rPr>
      </w:pPr>
    </w:p>
    <w:p w14:paraId="2B2497D5" w14:textId="17517DFC" w:rsidR="004A3AD9" w:rsidRPr="00DD7BD1" w:rsidRDefault="004A3AD9" w:rsidP="000245D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u w:val="single"/>
          <w:shd w:val="clear" w:color="auto" w:fill="FFFFFF"/>
        </w:rPr>
        <w:t>Columbus</w:t>
      </w:r>
      <w:r w:rsidRPr="00DD7BD1">
        <w:rPr>
          <w:rFonts w:ascii="Calibri" w:hAnsi="Calibri" w:cs="Calibri"/>
          <w:b/>
          <w:bCs/>
          <w:sz w:val="28"/>
          <w:szCs w:val="28"/>
          <w:shd w:val="clear" w:color="auto" w:fill="FFFFFF"/>
        </w:rPr>
        <w:t xml:space="preserve"> Enacts Pay Transparency (Pay Ranges in Job Postings) Law </w:t>
      </w:r>
    </w:p>
    <w:p w14:paraId="35E19C9F" w14:textId="77777777" w:rsidR="004A3AD9" w:rsidRPr="00DD7BD1" w:rsidRDefault="004A3AD9" w:rsidP="000245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Eff </w:t>
      </w:r>
      <w:r w:rsidRPr="00DD7BD1">
        <w:rPr>
          <w:rFonts w:ascii="Calibri" w:hAnsi="Calibri" w:cs="Calibri"/>
          <w:b/>
          <w:bCs/>
          <w:color w:val="C00000"/>
          <w:sz w:val="28"/>
          <w:szCs w:val="28"/>
          <w:shd w:val="clear" w:color="auto" w:fill="FFFFFF"/>
        </w:rPr>
        <w:t>Dec 3, 2025; Enforcement  Starting Jan 1, 202</w:t>
      </w:r>
      <w:r w:rsidRPr="00DD7BD1">
        <w:rPr>
          <w:rFonts w:ascii="Calibri" w:hAnsi="Calibri" w:cs="Calibri"/>
          <w:b/>
          <w:bCs/>
          <w:color w:val="C00000"/>
          <w:sz w:val="28"/>
          <w:szCs w:val="28"/>
          <w:u w:val="single"/>
          <w:shd w:val="clear" w:color="auto" w:fill="FFFFFF"/>
        </w:rPr>
        <w:t>7</w:t>
      </w:r>
    </w:p>
    <w:p w14:paraId="2B425C3A"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lang w:val="en"/>
        </w:rPr>
        <w:t xml:space="preserve">Employers </w:t>
      </w:r>
      <w:r w:rsidRPr="00DD7BD1">
        <w:rPr>
          <w:rFonts w:ascii="Calibri" w:hAnsi="Calibri" w:cs="Calibri"/>
          <w:shd w:val="clear" w:color="auto" w:fill="FFFFFF"/>
        </w:rPr>
        <w:t>with 15 or more employees in Columbus will be required to include pay ranges in all job postings. While the law is effective December 3, 2025, the city doesn’t expect to actively enforce it until January 1, 2027.</w:t>
      </w:r>
    </w:p>
    <w:p w14:paraId="389A12F6" w14:textId="2210E275"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Job postings are defined broadly and include any communication that describes a position or its qualifications. Job postings for internal transfers and promotions are excluded.</w:t>
      </w:r>
    </w:p>
    <w:p w14:paraId="7BC9DD56" w14:textId="2EA4D2CB"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 xml:space="preserve">The posting should include a pay range that’s a reasonable estimate of what the employer expects to pay for that particular position as well as other types of monetary compensation, like commissions and bonuses. </w:t>
      </w:r>
    </w:p>
    <w:p w14:paraId="0A3D264E"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The salary range should be based on factors specific to the position, such as:</w:t>
      </w:r>
    </w:p>
    <w:p w14:paraId="66F32DC3"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Budget for the role</w:t>
      </w:r>
    </w:p>
    <w:p w14:paraId="1A2F913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Expected years of experience</w:t>
      </w:r>
    </w:p>
    <w:p w14:paraId="2DE2E31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Cost of living</w:t>
      </w:r>
    </w:p>
    <w:p w14:paraId="742EC9B6" w14:textId="77777777" w:rsidR="004A3AD9" w:rsidRPr="00DD7BD1" w:rsidRDefault="004A3AD9" w:rsidP="004A3AD9">
      <w:pPr>
        <w:rPr>
          <w:rFonts w:ascii="Calibri" w:hAnsi="Calibri" w:cs="Calibri"/>
          <w:sz w:val="16"/>
          <w:szCs w:val="16"/>
          <w:shd w:val="clear" w:color="auto" w:fill="FFFFFF"/>
        </w:rPr>
      </w:pPr>
    </w:p>
    <w:p w14:paraId="1CF98308" w14:textId="27F6B0A9" w:rsidR="004A3AD9" w:rsidRPr="00DD7BD1" w:rsidRDefault="004A3AD9" w:rsidP="000245D8">
      <w:pPr>
        <w:rPr>
          <w:rFonts w:ascii="Calibri" w:hAnsi="Calibri" w:cs="Calibri"/>
          <w:shd w:val="clear" w:color="auto" w:fill="FFFFFF"/>
        </w:rPr>
      </w:pPr>
      <w:r w:rsidRPr="00DD7BD1">
        <w:rPr>
          <w:rFonts w:ascii="Calibri" w:hAnsi="Calibri" w:cs="Calibri"/>
          <w:shd w:val="clear" w:color="auto" w:fill="FFFFFF"/>
        </w:rPr>
        <w:t>If an employer plans to pay an </w:t>
      </w:r>
      <w:r w:rsidRPr="00DD7BD1">
        <w:rPr>
          <w:rFonts w:ascii="Calibri" w:hAnsi="Calibri" w:cs="Calibri"/>
          <w:i/>
          <w:iCs/>
          <w:shd w:val="clear" w:color="auto" w:fill="FFFFFF"/>
        </w:rPr>
        <w:t>exact </w:t>
      </w:r>
      <w:r w:rsidRPr="00DD7BD1">
        <w:rPr>
          <w:rFonts w:ascii="Calibri" w:hAnsi="Calibri" w:cs="Calibri"/>
          <w:shd w:val="clear" w:color="auto" w:fill="FFFFFF"/>
        </w:rPr>
        <w:t>amount (rather than within a range), that should be included in the posting.</w:t>
      </w:r>
    </w:p>
    <w:p w14:paraId="308D0233" w14:textId="5E6D2A38" w:rsidR="003D0CE0" w:rsidRPr="00DD7BD1" w:rsidRDefault="003D0CE0" w:rsidP="003D0CE0">
      <w:pPr>
        <w:pStyle w:val="Heading1"/>
        <w:spacing w:before="0" w:beforeAutospacing="0" w:after="0" w:afterAutospacing="0"/>
        <w:ind w:right="-274"/>
        <w:jc w:val="center"/>
        <w:rPr>
          <w:rFonts w:ascii="Calibri" w:hAnsi="Calibri" w:cs="Calibri"/>
          <w:bCs w:val="0"/>
          <w:spacing w:val="-10"/>
          <w:kern w:val="0"/>
          <w:sz w:val="28"/>
          <w:szCs w:val="24"/>
        </w:rPr>
      </w:pPr>
      <w:r w:rsidRPr="00DD7BD1">
        <w:rPr>
          <w:rFonts w:ascii="Calibri" w:hAnsi="Calibri" w:cs="Calibri"/>
          <w:bCs w:val="0"/>
          <w:color w:val="C00000"/>
          <w:spacing w:val="-10"/>
          <w:kern w:val="0"/>
          <w:sz w:val="28"/>
          <w:szCs w:val="24"/>
        </w:rPr>
        <w:t xml:space="preserve">Reminder: </w:t>
      </w:r>
      <w:r w:rsidRPr="00DD7BD1">
        <w:rPr>
          <w:rFonts w:ascii="Calibri" w:hAnsi="Calibri" w:cs="Calibri"/>
          <w:bCs w:val="0"/>
          <w:spacing w:val="-10"/>
          <w:kern w:val="0"/>
          <w:sz w:val="28"/>
          <w:szCs w:val="24"/>
        </w:rPr>
        <w:t xml:space="preserve">Cleveland Joins the Pay Equity Trend, Mandating Pay Transparency and Banning Salary Inquiries – </w:t>
      </w:r>
      <w:r w:rsidRPr="00DD7BD1">
        <w:rPr>
          <w:rFonts w:ascii="Calibri" w:hAnsi="Calibri" w:cs="Calibri"/>
          <w:bCs w:val="0"/>
          <w:color w:val="C00000"/>
          <w:spacing w:val="-10"/>
          <w:kern w:val="0"/>
          <w:sz w:val="28"/>
          <w:szCs w:val="24"/>
        </w:rPr>
        <w:t>Eff Oct 27, 2025</w:t>
      </w:r>
    </w:p>
    <w:p w14:paraId="0A671B3F" w14:textId="77777777" w:rsidR="003D0CE0" w:rsidRPr="00DD7BD1" w:rsidRDefault="003D0CE0" w:rsidP="003D0CE0">
      <w:pPr>
        <w:spacing w:after="0" w:line="240" w:lineRule="auto"/>
        <w:ind w:right="-274"/>
        <w:jc w:val="center"/>
        <w:rPr>
          <w:rFonts w:ascii="Calibri" w:hAnsi="Calibri" w:cs="Calibri"/>
          <w:b/>
          <w:color w:val="C00000"/>
          <w:spacing w:val="-10"/>
          <w:sz w:val="28"/>
        </w:rPr>
      </w:pPr>
    </w:p>
    <w:p w14:paraId="5A83AE9A" w14:textId="07A9712A" w:rsidR="003D0CE0" w:rsidRPr="00DD7BD1" w:rsidRDefault="003D0CE0" w:rsidP="003D0CE0">
      <w:pPr>
        <w:spacing w:after="0" w:line="240" w:lineRule="auto"/>
        <w:ind w:right="-274"/>
        <w:jc w:val="center"/>
        <w:rPr>
          <w:rFonts w:ascii="Calibri" w:hAnsi="Calibri" w:cs="Calibri"/>
          <w:b/>
          <w:sz w:val="28"/>
        </w:rPr>
      </w:pPr>
      <w:r w:rsidRPr="00DD7BD1">
        <w:rPr>
          <w:rFonts w:ascii="Calibri" w:hAnsi="Calibri" w:cs="Calibri"/>
          <w:b/>
          <w:color w:val="C00000"/>
          <w:spacing w:val="-10"/>
          <w:sz w:val="28"/>
        </w:rPr>
        <w:t>Reminder:</w:t>
      </w:r>
      <w:r w:rsidRPr="00DD7BD1">
        <w:rPr>
          <w:rFonts w:ascii="Calibri" w:hAnsi="Calibri" w:cs="Calibri"/>
          <w:b/>
          <w:color w:val="C00000"/>
          <w:spacing w:val="-7"/>
          <w:sz w:val="28"/>
        </w:rPr>
        <w:t xml:space="preserve"> </w:t>
      </w:r>
      <w:r w:rsidRPr="00DD7BD1">
        <w:rPr>
          <w:rFonts w:ascii="Calibri" w:hAnsi="Calibri" w:cs="Calibri"/>
          <w:b/>
          <w:spacing w:val="-10"/>
          <w:sz w:val="28"/>
        </w:rPr>
        <w:t>State Enacts</w:t>
      </w:r>
      <w:r w:rsidRPr="00DD7BD1">
        <w:rPr>
          <w:rFonts w:ascii="Calibri" w:hAnsi="Calibri" w:cs="Calibri"/>
          <w:b/>
          <w:spacing w:val="-7"/>
          <w:sz w:val="28"/>
        </w:rPr>
        <w:t xml:space="preserve"> </w:t>
      </w:r>
      <w:r w:rsidRPr="00DD7BD1">
        <w:rPr>
          <w:rFonts w:ascii="Calibri" w:hAnsi="Calibri" w:cs="Calibri"/>
          <w:b/>
          <w:spacing w:val="-10"/>
          <w:sz w:val="28"/>
        </w:rPr>
        <w:t>Mini-WARN</w:t>
      </w:r>
      <w:r w:rsidRPr="00DD7BD1">
        <w:rPr>
          <w:rFonts w:ascii="Calibri" w:hAnsi="Calibri" w:cs="Calibri"/>
          <w:b/>
          <w:spacing w:val="-7"/>
          <w:sz w:val="28"/>
        </w:rPr>
        <w:t xml:space="preserve"> </w:t>
      </w:r>
      <w:r w:rsidRPr="00DD7BD1">
        <w:rPr>
          <w:rFonts w:ascii="Calibri" w:hAnsi="Calibri" w:cs="Calibri"/>
          <w:b/>
          <w:spacing w:val="-10"/>
          <w:sz w:val="28"/>
        </w:rPr>
        <w:t>Act</w:t>
      </w:r>
      <w:r w:rsidRPr="00DD7BD1">
        <w:rPr>
          <w:rFonts w:ascii="Calibri" w:hAnsi="Calibri" w:cs="Calibri"/>
          <w:b/>
          <w:spacing w:val="-7"/>
          <w:sz w:val="28"/>
        </w:rPr>
        <w:t xml:space="preserve"> </w:t>
      </w:r>
      <w:r w:rsidRPr="00DD7BD1">
        <w:rPr>
          <w:rFonts w:ascii="Calibri" w:hAnsi="Calibri" w:cs="Calibri"/>
          <w:b/>
          <w:spacing w:val="-10"/>
          <w:sz w:val="28"/>
        </w:rPr>
        <w:t>Requiring Notice Components</w:t>
      </w:r>
      <w:r w:rsidRPr="00DD7BD1">
        <w:rPr>
          <w:rFonts w:ascii="Calibri" w:hAnsi="Calibri" w:cs="Calibri"/>
          <w:b/>
          <w:spacing w:val="-7"/>
          <w:sz w:val="28"/>
        </w:rPr>
        <w:t xml:space="preserve"> </w:t>
      </w:r>
      <w:r w:rsidRPr="00DD7BD1">
        <w:rPr>
          <w:rFonts w:ascii="Calibri" w:hAnsi="Calibri" w:cs="Calibri"/>
          <w:b/>
          <w:spacing w:val="-10"/>
          <w:sz w:val="28"/>
        </w:rPr>
        <w:t>in</w:t>
      </w:r>
      <w:r w:rsidRPr="00DD7BD1">
        <w:rPr>
          <w:rFonts w:ascii="Calibri" w:hAnsi="Calibri" w:cs="Calibri"/>
          <w:b/>
          <w:spacing w:val="-7"/>
          <w:sz w:val="28"/>
        </w:rPr>
        <w:t xml:space="preserve"> </w:t>
      </w:r>
      <w:r w:rsidRPr="00DD7BD1">
        <w:rPr>
          <w:rFonts w:ascii="Calibri" w:hAnsi="Calibri" w:cs="Calibri"/>
          <w:b/>
          <w:spacing w:val="-10"/>
          <w:sz w:val="28"/>
        </w:rPr>
        <w:t>Addition</w:t>
      </w:r>
      <w:r w:rsidRPr="00DD7BD1">
        <w:rPr>
          <w:rFonts w:ascii="Calibri" w:hAnsi="Calibri" w:cs="Calibri"/>
          <w:b/>
          <w:spacing w:val="-7"/>
          <w:sz w:val="28"/>
        </w:rPr>
        <w:t xml:space="preserve"> </w:t>
      </w:r>
      <w:r w:rsidRPr="00DD7BD1">
        <w:rPr>
          <w:rFonts w:ascii="Calibri" w:hAnsi="Calibri" w:cs="Calibri"/>
          <w:b/>
          <w:spacing w:val="-10"/>
          <w:sz w:val="28"/>
        </w:rPr>
        <w:t xml:space="preserve">to </w:t>
      </w:r>
      <w:r w:rsidRPr="00DD7BD1">
        <w:rPr>
          <w:rFonts w:ascii="Calibri" w:hAnsi="Calibri" w:cs="Calibri"/>
          <w:b/>
          <w:sz w:val="28"/>
        </w:rPr>
        <w:t>Federal</w:t>
      </w:r>
      <w:r w:rsidRPr="00DD7BD1">
        <w:rPr>
          <w:rFonts w:ascii="Calibri" w:hAnsi="Calibri" w:cs="Calibri"/>
          <w:b/>
          <w:spacing w:val="-11"/>
          <w:sz w:val="28"/>
        </w:rPr>
        <w:t xml:space="preserve"> </w:t>
      </w:r>
      <w:r w:rsidRPr="00DD7BD1">
        <w:rPr>
          <w:rFonts w:ascii="Calibri" w:hAnsi="Calibri" w:cs="Calibri"/>
          <w:b/>
          <w:sz w:val="28"/>
        </w:rPr>
        <w:t>WARN</w:t>
      </w:r>
      <w:r w:rsidRPr="00DD7BD1">
        <w:rPr>
          <w:rFonts w:ascii="Calibri" w:hAnsi="Calibri" w:cs="Calibri"/>
          <w:b/>
          <w:spacing w:val="-9"/>
          <w:sz w:val="28"/>
        </w:rPr>
        <w:t xml:space="preserve"> </w:t>
      </w:r>
      <w:r w:rsidRPr="00DD7BD1">
        <w:rPr>
          <w:rFonts w:ascii="Calibri" w:hAnsi="Calibri" w:cs="Calibri"/>
          <w:b/>
          <w:sz w:val="28"/>
        </w:rPr>
        <w:t>–</w:t>
      </w:r>
      <w:r w:rsidRPr="00DD7BD1">
        <w:rPr>
          <w:rFonts w:ascii="Calibri" w:hAnsi="Calibri" w:cs="Calibri"/>
          <w:b/>
          <w:spacing w:val="-11"/>
          <w:sz w:val="28"/>
        </w:rPr>
        <w:t xml:space="preserve"> </w:t>
      </w:r>
      <w:r w:rsidRPr="00DD7BD1">
        <w:rPr>
          <w:rFonts w:ascii="Calibri" w:hAnsi="Calibri" w:cs="Calibri"/>
          <w:b/>
          <w:color w:val="C00000"/>
          <w:sz w:val="28"/>
        </w:rPr>
        <w:t>Eff</w:t>
      </w:r>
      <w:r w:rsidRPr="00DD7BD1">
        <w:rPr>
          <w:rFonts w:ascii="Calibri" w:hAnsi="Calibri" w:cs="Calibri"/>
          <w:b/>
          <w:color w:val="C00000"/>
          <w:spacing w:val="-11"/>
          <w:sz w:val="28"/>
        </w:rPr>
        <w:t xml:space="preserve"> </w:t>
      </w:r>
      <w:r w:rsidRPr="00DD7BD1">
        <w:rPr>
          <w:rFonts w:ascii="Calibri" w:hAnsi="Calibri" w:cs="Calibri"/>
          <w:b/>
          <w:color w:val="C00000"/>
          <w:sz w:val="28"/>
        </w:rPr>
        <w:t>Sept</w:t>
      </w:r>
      <w:r w:rsidRPr="00DD7BD1">
        <w:rPr>
          <w:rFonts w:ascii="Calibri" w:hAnsi="Calibri" w:cs="Calibri"/>
          <w:b/>
          <w:color w:val="C00000"/>
          <w:spacing w:val="-11"/>
          <w:sz w:val="28"/>
        </w:rPr>
        <w:t xml:space="preserve"> </w:t>
      </w:r>
      <w:r w:rsidRPr="00DD7BD1">
        <w:rPr>
          <w:rFonts w:ascii="Calibri" w:hAnsi="Calibri" w:cs="Calibri"/>
          <w:b/>
          <w:color w:val="C00000"/>
          <w:sz w:val="28"/>
        </w:rPr>
        <w:t>29,</w:t>
      </w:r>
      <w:r w:rsidRPr="00DD7BD1">
        <w:rPr>
          <w:rFonts w:ascii="Calibri" w:hAnsi="Calibri" w:cs="Calibri"/>
          <w:b/>
          <w:color w:val="C00000"/>
          <w:spacing w:val="-11"/>
          <w:sz w:val="28"/>
        </w:rPr>
        <w:t xml:space="preserve"> </w:t>
      </w:r>
      <w:r w:rsidRPr="00DD7BD1">
        <w:rPr>
          <w:rFonts w:ascii="Calibri" w:hAnsi="Calibri" w:cs="Calibri"/>
          <w:b/>
          <w:color w:val="C00000"/>
          <w:sz w:val="28"/>
        </w:rPr>
        <w:t>2025</w:t>
      </w:r>
    </w:p>
    <w:p w14:paraId="5F083FC7" w14:textId="77777777" w:rsidR="003D0CE0" w:rsidRPr="00DD7BD1" w:rsidRDefault="003D0CE0" w:rsidP="00F972F4">
      <w:pPr>
        <w:spacing w:after="0" w:line="240" w:lineRule="auto"/>
        <w:jc w:val="center"/>
        <w:rPr>
          <w:rFonts w:ascii="Calibri" w:hAnsi="Calibri" w:cs="Calibri"/>
          <w:b/>
          <w:bCs/>
          <w:sz w:val="28"/>
          <w:szCs w:val="28"/>
          <w:shd w:val="clear" w:color="auto" w:fill="FFFFFF"/>
          <w:lang w:val="en"/>
        </w:rPr>
      </w:pPr>
    </w:p>
    <w:p w14:paraId="39A0FC3F" w14:textId="28339C84" w:rsidR="00F972F4" w:rsidRPr="00DD7BD1" w:rsidRDefault="00F972F4" w:rsidP="00F972F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Mini-WARN Act Requiring Notice Components in Addition to Federal WARN – </w:t>
      </w:r>
      <w:r w:rsidRPr="00DD7BD1">
        <w:rPr>
          <w:rFonts w:ascii="Calibri" w:hAnsi="Calibri" w:cs="Calibri"/>
          <w:b/>
          <w:bCs/>
          <w:color w:val="C00000"/>
          <w:sz w:val="28"/>
          <w:szCs w:val="28"/>
          <w:shd w:val="clear" w:color="auto" w:fill="FFFFFF"/>
          <w:lang w:val="en"/>
        </w:rPr>
        <w:t>Eff Sept 29, 2025</w:t>
      </w:r>
      <w:bookmarkEnd w:id="133"/>
    </w:p>
    <w:p w14:paraId="6FF9E0D7" w14:textId="77777777"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DD7BD1" w:rsidRDefault="00F972F4" w:rsidP="00F972F4">
      <w:pPr>
        <w:spacing w:after="0" w:line="240" w:lineRule="auto"/>
        <w:ind w:left="720"/>
        <w:jc w:val="both"/>
        <w:rPr>
          <w:rFonts w:ascii="Calibri" w:hAnsi="Calibri" w:cs="Calibri"/>
          <w:shd w:val="clear" w:color="auto" w:fill="FFFFFF"/>
        </w:rPr>
      </w:pPr>
    </w:p>
    <w:p w14:paraId="22096F42" w14:textId="45F6B15B"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2025, Ohio Governor Mike DeWine signed </w:t>
      </w:r>
      <w:hyperlink r:id="rId890" w:tgtFrame="_blank" w:history="1">
        <w:r w:rsidRPr="00DD7BD1">
          <w:rPr>
            <w:rStyle w:val="Hyperlink"/>
            <w:rFonts w:ascii="Calibri" w:hAnsi="Calibri" w:cs="Calibri"/>
            <w:shd w:val="clear" w:color="auto" w:fill="FFFFFF"/>
          </w:rPr>
          <w:t>House Bill No. 96</w:t>
        </w:r>
      </w:hyperlink>
      <w:r w:rsidRPr="00DD7BD1">
        <w:rPr>
          <w:rFonts w:ascii="Calibri" w:hAnsi="Calibri" w:cs="Calibri"/>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Next Steps</w:t>
      </w:r>
    </w:p>
    <w:p w14:paraId="4EE44CA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Like Federal WARN, Ohio WARN involves complicated questions about whether a notice obligation exists, who must be counted, when notice must be given, and the elements of the notice. </w:t>
      </w:r>
    </w:p>
    <w:p w14:paraId="275CA43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Potential action items for employers include:</w:t>
      </w:r>
    </w:p>
    <w:p w14:paraId="2813AE44"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34"/>
    <w:p w14:paraId="1EDA594F" w14:textId="77777777" w:rsidR="00F972F4" w:rsidRPr="00DD7BD1" w:rsidRDefault="00F972F4" w:rsidP="00406B06">
      <w:pPr>
        <w:spacing w:after="0" w:line="240" w:lineRule="auto"/>
        <w:jc w:val="center"/>
        <w:rPr>
          <w:rFonts w:ascii="Calibri" w:hAnsi="Calibri" w:cs="Calibri"/>
          <w:b/>
          <w:bCs/>
          <w:sz w:val="20"/>
          <w:szCs w:val="20"/>
          <w:shd w:val="clear" w:color="auto" w:fill="FFFFFF"/>
          <w:lang w:val="en"/>
        </w:rPr>
      </w:pPr>
    </w:p>
    <w:p w14:paraId="272C2A7B" w14:textId="6BB877D7" w:rsidR="00406B06" w:rsidRPr="00DD7BD1" w:rsidRDefault="00406B06" w:rsidP="00406B0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Allows Electronic Labor Notice Postings – </w:t>
      </w:r>
      <w:r w:rsidRPr="00DD7BD1">
        <w:rPr>
          <w:rFonts w:ascii="Calibri" w:hAnsi="Calibri" w:cs="Calibri"/>
          <w:b/>
          <w:bCs/>
          <w:color w:val="C00000"/>
          <w:sz w:val="28"/>
          <w:szCs w:val="28"/>
          <w:shd w:val="clear" w:color="auto" w:fill="FFFFFF"/>
          <w:lang w:val="en"/>
        </w:rPr>
        <w:t>Eff July 21, 2025</w:t>
      </w:r>
    </w:p>
    <w:p w14:paraId="64667FF5"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Starting July 21, 2025, Ohio employers will be allowed to post certain employee notices on the internet instead of physically in the workplace. </w:t>
      </w:r>
    </w:p>
    <w:p w14:paraId="4B47BA96" w14:textId="77777777" w:rsidR="00406B06" w:rsidRPr="00DD7BD1" w:rsidRDefault="00406B06" w:rsidP="00406B06">
      <w:pPr>
        <w:spacing w:after="0" w:line="240" w:lineRule="auto"/>
        <w:rPr>
          <w:rFonts w:ascii="Calibri" w:hAnsi="Calibri" w:cs="Calibri"/>
          <w:sz w:val="16"/>
          <w:szCs w:val="16"/>
          <w:shd w:val="clear" w:color="auto" w:fill="FFFFFF"/>
        </w:rPr>
      </w:pPr>
    </w:p>
    <w:p w14:paraId="19CDEB81"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Specifically, employers will be allowed to post the following state law notices on the internet, but only if they will be accessible to all employees: </w:t>
      </w:r>
    </w:p>
    <w:p w14:paraId="0BD073A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minimum wage and overtime law and rules</w:t>
      </w:r>
    </w:p>
    <w:p w14:paraId="56F0B11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wage discrimination law and rules</w:t>
      </w:r>
    </w:p>
    <w:p w14:paraId="6AC5C140"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Know Your Rights </w:t>
      </w:r>
      <w:r w:rsidRPr="00DD7BD1">
        <w:rPr>
          <w:rFonts w:ascii="Calibri" w:hAnsi="Calibri" w:cs="Calibri"/>
          <w:shd w:val="clear" w:color="auto" w:fill="FFFFFF"/>
        </w:rPr>
        <w:t>(Fair Employment Practice Poster)</w:t>
      </w:r>
    </w:p>
    <w:p w14:paraId="3F93998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Certificate of Premium Payment</w:t>
      </w:r>
      <w:r w:rsidRPr="00DD7BD1">
        <w:rPr>
          <w:rFonts w:ascii="Calibri" w:hAnsi="Calibri" w:cs="Calibri"/>
          <w:shd w:val="clear" w:color="auto" w:fill="FFFFFF"/>
        </w:rPr>
        <w:t> (relating to workers’ compensation)</w:t>
      </w:r>
    </w:p>
    <w:p w14:paraId="1C76A63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Notice regarding drug and alcohol tests results being able to affect employees’ eligibility for workers’ compensation benefits</w:t>
      </w:r>
    </w:p>
    <w:p w14:paraId="0ED46135"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Abstract summarizing Ohio’s child labor law</w:t>
      </w:r>
    </w:p>
    <w:p w14:paraId="04A1E914" w14:textId="77777777" w:rsidR="00406B06" w:rsidRPr="00DD7BD1" w:rsidRDefault="00406B06" w:rsidP="00406B06">
      <w:pPr>
        <w:spacing w:after="0" w:line="240" w:lineRule="auto"/>
        <w:rPr>
          <w:rFonts w:ascii="Calibri" w:hAnsi="Calibri" w:cs="Calibri"/>
          <w:sz w:val="16"/>
          <w:szCs w:val="16"/>
          <w:shd w:val="clear" w:color="auto" w:fill="FFFFFF"/>
        </w:rPr>
      </w:pPr>
    </w:p>
    <w:p w14:paraId="497BA315" w14:textId="751705F6"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provide access to the internet in the workplace, or that have workers who are not computer savvy, should continue to physically post these notices.</w:t>
      </w:r>
    </w:p>
    <w:p w14:paraId="09428647" w14:textId="77777777" w:rsidR="00406B06" w:rsidRPr="00DD7BD1" w:rsidRDefault="00406B06" w:rsidP="00406B06">
      <w:pPr>
        <w:spacing w:after="0" w:line="240" w:lineRule="auto"/>
        <w:rPr>
          <w:rFonts w:ascii="Calibri" w:hAnsi="Calibri" w:cs="Calibri"/>
          <w:shd w:val="clear" w:color="auto" w:fill="FFFFFF"/>
        </w:rPr>
      </w:pPr>
    </w:p>
    <w:p w14:paraId="3B22C107" w14:textId="0BE41EBB" w:rsidR="00AD4A8E" w:rsidRPr="00DD7BD1" w:rsidRDefault="00AD4A8E" w:rsidP="00AD4A8E">
      <w:pPr>
        <w:jc w:val="center"/>
        <w:rPr>
          <w:rFonts w:ascii="Calibri" w:hAnsi="Calibri" w:cs="Calibri"/>
          <w:b/>
          <w:bCs/>
          <w:shd w:val="clear" w:color="auto" w:fill="FFFFFF"/>
        </w:rPr>
      </w:pPr>
      <w:r w:rsidRPr="00DD7BD1">
        <w:rPr>
          <w:rFonts w:ascii="Calibri" w:hAnsi="Calibri" w:cs="Calibri"/>
          <w:b/>
          <w:bCs/>
          <w:color w:val="C00000"/>
          <w:sz w:val="28"/>
          <w:szCs w:val="28"/>
          <w:u w:val="single"/>
          <w:shd w:val="clear" w:color="auto" w:fill="FFFFFF"/>
        </w:rPr>
        <w:t xml:space="preserve">Cleveland </w:t>
      </w:r>
      <w:r w:rsidRPr="00DD7BD1">
        <w:rPr>
          <w:rFonts w:ascii="Calibri" w:hAnsi="Calibri" w:cs="Calibri"/>
          <w:b/>
          <w:bCs/>
          <w:sz w:val="28"/>
          <w:szCs w:val="28"/>
          <w:shd w:val="clear" w:color="auto" w:fill="FFFFFF"/>
        </w:rPr>
        <w:t xml:space="preserve">Joins the Pay Equity Trend, Mandating Pay Transparency and Banning Salary Inquiries – </w:t>
      </w:r>
      <w:r w:rsidRPr="00DD7BD1">
        <w:rPr>
          <w:rFonts w:ascii="Calibri" w:hAnsi="Calibri" w:cs="Calibri"/>
          <w:b/>
          <w:bCs/>
          <w:color w:val="C00000"/>
          <w:sz w:val="28"/>
          <w:szCs w:val="28"/>
          <w:shd w:val="clear" w:color="auto" w:fill="FFFFFF"/>
        </w:rPr>
        <w:t>Eff Oct 27, 2025</w:t>
      </w:r>
    </w:p>
    <w:p w14:paraId="140A242D" w14:textId="15483170"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On April 30, 2025, Cleveland, Ohio, became the latest in a long list of jurisdictions to restrict how private employers recruit and hire talent. Intended to promote equitable compensation practices, </w:t>
      </w:r>
      <w:hyperlink r:id="rId891" w:tgtFrame="_blank" w:history="1">
        <w:r w:rsidRPr="00DD7BD1">
          <w:rPr>
            <w:rStyle w:val="Hyperlink"/>
            <w:rFonts w:ascii="Calibri" w:hAnsi="Calibri" w:cs="Calibri"/>
            <w:shd w:val="clear" w:color="auto" w:fill="FFFFFF"/>
          </w:rPr>
          <w:t>Ordinance No. 104-2025</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requires covered employers to </w:t>
      </w:r>
      <w:r w:rsidRPr="00DD7BD1">
        <w:rPr>
          <w:rFonts w:ascii="Calibri" w:hAnsi="Calibri" w:cs="Calibri"/>
          <w:u w:val="single"/>
          <w:shd w:val="clear" w:color="auto" w:fill="FFFFFF"/>
        </w:rPr>
        <w:t>post salary information in job ads</w:t>
      </w:r>
      <w:r w:rsidRPr="00DD7BD1">
        <w:rPr>
          <w:rFonts w:ascii="Calibri" w:hAnsi="Calibri" w:cs="Calibri"/>
          <w:shd w:val="clear" w:color="auto" w:fill="FFFFFF"/>
        </w:rPr>
        <w:t xml:space="preserve"> and further </w:t>
      </w:r>
      <w:r w:rsidRPr="00DD7BD1">
        <w:rPr>
          <w:rFonts w:ascii="Calibri" w:hAnsi="Calibri" w:cs="Calibri"/>
          <w:u w:val="single"/>
          <w:shd w:val="clear" w:color="auto" w:fill="FFFFFF"/>
        </w:rPr>
        <w:t>bans covered employers from asking applicants about their salary history or using salary history to set pay</w:t>
      </w:r>
      <w:r w:rsidRPr="00DD7BD1">
        <w:rPr>
          <w:rFonts w:ascii="Calibri" w:hAnsi="Calibri" w:cs="Calibri"/>
          <w:shd w:val="clear" w:color="auto" w:fill="FFFFFF"/>
        </w:rPr>
        <w:t>. The ordinance covers private employers with at least 15 employees located in Cleveland and takes effect October 27, 2025.</w:t>
      </w:r>
    </w:p>
    <w:p w14:paraId="641A80E0" w14:textId="77777777" w:rsidR="00AD4A8E" w:rsidRPr="00DD7BD1" w:rsidRDefault="00AD4A8E" w:rsidP="00AD4A8E">
      <w:pPr>
        <w:rPr>
          <w:rFonts w:ascii="Calibri" w:hAnsi="Calibri" w:cs="Calibri"/>
          <w:b/>
          <w:bCs/>
          <w:shd w:val="clear" w:color="auto" w:fill="FFFFFF"/>
        </w:rPr>
      </w:pPr>
      <w:r w:rsidRPr="00DD7BD1">
        <w:rPr>
          <w:rFonts w:ascii="Calibri" w:hAnsi="Calibri" w:cs="Calibri"/>
          <w:b/>
          <w:bCs/>
          <w:shd w:val="clear" w:color="auto" w:fill="FFFFFF"/>
        </w:rPr>
        <w:t>Mandatory Inclusion of Compensation Information in Job Postings</w:t>
      </w:r>
    </w:p>
    <w:p w14:paraId="0CBA19C3" w14:textId="6C537D29"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DD7BD1" w:rsidRDefault="00AD4A8E" w:rsidP="00AD4A8E">
      <w:pPr>
        <w:rPr>
          <w:rFonts w:ascii="Calibri" w:hAnsi="Calibri" w:cs="Calibri"/>
          <w:shd w:val="clear" w:color="auto" w:fill="FFFFFF"/>
        </w:rPr>
      </w:pPr>
      <w:r w:rsidRPr="00DD7BD1">
        <w:rPr>
          <w:rFonts w:ascii="Calibri" w:hAnsi="Calibri" w:cs="Calibri"/>
          <w:b/>
          <w:bCs/>
          <w:shd w:val="clear" w:color="auto" w:fill="FFFFFF"/>
        </w:rPr>
        <w:t>Carveouts to Prohibitions</w:t>
      </w:r>
    </w:p>
    <w:p w14:paraId="3C3BEE9B"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exempts certain categories of employees and circumstances from its broad prohibitions.</w:t>
      </w:r>
    </w:p>
    <w:p w14:paraId="623D8D8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Next, where a collective bargaining agreement governs compensation, the ordinance does not apply to positions subject to the agreement.</w:t>
      </w:r>
    </w:p>
    <w:p w14:paraId="0F0AB79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DD7BD1" w:rsidRDefault="00AD4A8E" w:rsidP="00AD4A8E">
      <w:pPr>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similar to the ordinance already in effect: Cincinnati (effective March 2020), Toledo (effective June 2020) and Columbus (effective March 2024).</w:t>
      </w:r>
    </w:p>
    <w:p w14:paraId="032422CD" w14:textId="3E6517FB" w:rsidR="00BD445F" w:rsidRPr="00DD7BD1" w:rsidRDefault="00BD445F" w:rsidP="00BD445F">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Wage Statement Regulations – </w:t>
      </w:r>
      <w:r w:rsidRPr="00DD7BD1">
        <w:rPr>
          <w:rFonts w:ascii="Calibri" w:hAnsi="Calibri" w:cs="Calibri"/>
          <w:b/>
          <w:bCs/>
          <w:color w:val="C00000"/>
          <w:sz w:val="28"/>
          <w:szCs w:val="28"/>
          <w:shd w:val="clear" w:color="auto" w:fill="FFFFFF"/>
          <w:lang w:val="en"/>
        </w:rPr>
        <w:t>Eff April 9, 2025</w:t>
      </w:r>
    </w:p>
    <w:p w14:paraId="1C57BC5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8, 2025, Ohio enacted the </w:t>
      </w:r>
      <w:hyperlink r:id="rId892" w:history="1">
        <w:r w:rsidRPr="00DD7BD1">
          <w:rPr>
            <w:rStyle w:val="Hyperlink"/>
            <w:rFonts w:ascii="Calibri" w:hAnsi="Calibri" w:cs="Calibri"/>
            <w:shd w:val="clear" w:color="auto" w:fill="FFFFFF"/>
          </w:rPr>
          <w:t>Pay Stub Protection Act</w:t>
        </w:r>
      </w:hyperlink>
      <w:r w:rsidRPr="00DD7BD1">
        <w:rPr>
          <w:rFonts w:ascii="Calibri" w:hAnsi="Calibri" w:cs="Calibri"/>
          <w:shd w:val="clear" w:color="auto" w:fill="FFFFFF"/>
        </w:rPr>
        <w:t xml:space="preserve"> (the Act) (OH HB106) requiring employers to provide earning and deduction statements to each employee. The Act becomes effective on </w:t>
      </w:r>
      <w:r w:rsidRPr="00DD7BD1">
        <w:rPr>
          <w:rFonts w:ascii="Calibri" w:hAnsi="Calibri" w:cs="Calibri"/>
          <w:b/>
          <w:bCs/>
          <w:shd w:val="clear" w:color="auto" w:fill="FFFFFF"/>
        </w:rPr>
        <w:t>April 9, 2025</w:t>
      </w:r>
      <w:r w:rsidRPr="00DD7BD1">
        <w:rPr>
          <w:rFonts w:ascii="Calibri" w:hAnsi="Calibri" w:cs="Calibri"/>
          <w:shd w:val="clear" w:color="auto" w:fill="FFFFFF"/>
        </w:rPr>
        <w:t>.</w:t>
      </w:r>
    </w:p>
    <w:p w14:paraId="6CE1DD81" w14:textId="77777777" w:rsidR="00BD445F" w:rsidRPr="00DD7BD1" w:rsidRDefault="00BD445F" w:rsidP="00BD445F">
      <w:pPr>
        <w:spacing w:after="0" w:line="240" w:lineRule="auto"/>
        <w:rPr>
          <w:rFonts w:ascii="Calibri" w:hAnsi="Calibri" w:cs="Calibri"/>
          <w:sz w:val="16"/>
          <w:szCs w:val="16"/>
          <w:shd w:val="clear" w:color="auto" w:fill="FFFFFF"/>
        </w:rPr>
      </w:pPr>
    </w:p>
    <w:p w14:paraId="2FFB84AB"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employee’s name and address;</w:t>
      </w:r>
    </w:p>
    <w:p w14:paraId="0286FC4A"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employer’s name;</w:t>
      </w:r>
    </w:p>
    <w:p w14:paraId="0F896533"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gross wages earned by the employee during the pay period;</w:t>
      </w:r>
    </w:p>
    <w:p w14:paraId="24FBFF7E"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net wages paid to the employee for the pay period;</w:t>
      </w:r>
    </w:p>
    <w:p w14:paraId="72854476"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A listing of the amount and purpose of each addition to or deduction from wages paid to the employee during the pay period; and</w:t>
      </w:r>
    </w:p>
    <w:p w14:paraId="7DA04BD7"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date the employee was paid and the pay period covered by that payment.</w:t>
      </w:r>
    </w:p>
    <w:p w14:paraId="098A6361" w14:textId="77777777" w:rsidR="00BD445F" w:rsidRPr="00DD7BD1" w:rsidRDefault="00BD445F" w:rsidP="00BD445F">
      <w:pPr>
        <w:pStyle w:val="BodyText"/>
        <w:spacing w:after="0" w:line="240" w:lineRule="auto"/>
        <w:rPr>
          <w:rFonts w:eastAsiaTheme="minorHAnsi" w:cs="Calibri"/>
          <w:color w:val="auto"/>
          <w:sz w:val="16"/>
          <w:szCs w:val="16"/>
          <w:shd w:val="clear" w:color="auto" w:fill="FFFFFF"/>
        </w:rPr>
      </w:pPr>
    </w:p>
    <w:p w14:paraId="1D1345D9" w14:textId="77777777" w:rsidR="00BD445F" w:rsidRPr="00DD7BD1" w:rsidRDefault="00BD445F" w:rsidP="00BD445F">
      <w:pPr>
        <w:pStyle w:val="BodyText"/>
        <w:spacing w:after="0" w:line="240" w:lineRule="auto"/>
        <w:rPr>
          <w:rFonts w:eastAsiaTheme="minorHAnsi" w:cs="Calibri"/>
          <w:color w:val="auto"/>
          <w:szCs w:val="22"/>
          <w:shd w:val="clear" w:color="auto" w:fill="FFFFFF"/>
        </w:rPr>
      </w:pPr>
      <w:r w:rsidRPr="00DD7BD1">
        <w:rPr>
          <w:rFonts w:eastAsiaTheme="minorHAnsi" w:cs="Calibri"/>
          <w:color w:val="auto"/>
          <w:szCs w:val="22"/>
          <w:shd w:val="clear" w:color="auto" w:fill="FFFFFF"/>
        </w:rPr>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DD7BD1" w:rsidRDefault="00BD445F" w:rsidP="004B7569">
      <w:pPr>
        <w:spacing w:after="0" w:line="240" w:lineRule="auto"/>
        <w:jc w:val="both"/>
        <w:rPr>
          <w:rFonts w:ascii="Calibri" w:hAnsi="Calibri" w:cs="Calibri"/>
          <w:b/>
          <w:bCs/>
          <w:color w:val="2E74B5" w:themeColor="accent5" w:themeShade="BF"/>
          <w:sz w:val="20"/>
          <w:szCs w:val="20"/>
          <w:shd w:val="clear" w:color="auto" w:fill="FFFFFF"/>
          <w:lang w:val="en"/>
        </w:rPr>
      </w:pPr>
    </w:p>
    <w:p w14:paraId="268EA076" w14:textId="3A42912D"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Oklahoma</w:t>
      </w:r>
    </w:p>
    <w:p w14:paraId="3EE23397" w14:textId="6C27CCBB" w:rsidR="00F01E43" w:rsidRPr="00DD7BD1" w:rsidRDefault="00F01E43" w:rsidP="00F01E43">
      <w:pPr>
        <w:spacing w:after="0" w:line="240" w:lineRule="auto"/>
        <w:ind w:right="-27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Tip Credit – </w:t>
      </w:r>
      <w:r w:rsidRPr="00DD7BD1">
        <w:rPr>
          <w:rFonts w:ascii="Calibri" w:hAnsi="Calibri" w:cs="Calibri"/>
          <w:b/>
          <w:bCs/>
          <w:color w:val="C00000"/>
          <w:sz w:val="28"/>
          <w:szCs w:val="28"/>
          <w:shd w:val="clear" w:color="auto" w:fill="FFFFFF"/>
          <w:lang w:val="en"/>
        </w:rPr>
        <w:t>Eff</w:t>
      </w:r>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Nov 1, 2025</w:t>
      </w:r>
    </w:p>
    <w:p w14:paraId="6BEAD5EB" w14:textId="5F5AE426" w:rsidR="00F01E43" w:rsidRPr="00DD7BD1" w:rsidRDefault="00F01E43" w:rsidP="00F01E43">
      <w:pPr>
        <w:pStyle w:val="BodyText"/>
        <w:spacing w:after="0" w:line="240" w:lineRule="auto"/>
        <w:ind w:right="-270"/>
        <w:rPr>
          <w:rFonts w:cs="Calibri"/>
          <w:color w:val="auto"/>
          <w:spacing w:val="-4"/>
          <w:w w:val="110"/>
          <w:szCs w:val="22"/>
        </w:rPr>
      </w:pPr>
      <w:r w:rsidRPr="00DD7BD1">
        <w:rPr>
          <w:rFonts w:cs="Calibri"/>
          <w:color w:val="auto"/>
          <w:spacing w:val="-2"/>
          <w:w w:val="110"/>
          <w:szCs w:val="22"/>
        </w:rPr>
        <w:t>Beginning</w:t>
      </w:r>
      <w:r w:rsidRPr="00DD7BD1">
        <w:rPr>
          <w:rFonts w:cs="Calibri"/>
          <w:color w:val="auto"/>
          <w:spacing w:val="-10"/>
          <w:w w:val="110"/>
          <w:szCs w:val="22"/>
        </w:rPr>
        <w:t xml:space="preserve"> </w:t>
      </w:r>
      <w:r w:rsidRPr="00DD7BD1">
        <w:rPr>
          <w:rFonts w:cs="Calibri"/>
          <w:color w:val="auto"/>
          <w:spacing w:val="-2"/>
          <w:w w:val="110"/>
          <w:szCs w:val="22"/>
        </w:rPr>
        <w:t>November</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9"/>
          <w:w w:val="110"/>
          <w:szCs w:val="22"/>
        </w:rPr>
        <w:t xml:space="preserve"> </w:t>
      </w:r>
      <w:r w:rsidRPr="00DD7BD1">
        <w:rPr>
          <w:rFonts w:cs="Calibri"/>
          <w:color w:val="auto"/>
          <w:spacing w:val="-2"/>
          <w:w w:val="110"/>
          <w:szCs w:val="22"/>
        </w:rPr>
        <w:t>2025,</w:t>
      </w:r>
      <w:r w:rsidRPr="00DD7BD1">
        <w:rPr>
          <w:rFonts w:cs="Calibri"/>
          <w:color w:val="auto"/>
          <w:spacing w:val="-10"/>
          <w:w w:val="110"/>
          <w:szCs w:val="22"/>
        </w:rPr>
        <w:t xml:space="preserve"> </w:t>
      </w:r>
      <w:r w:rsidRPr="00DD7BD1">
        <w:rPr>
          <w:rFonts w:cs="Calibri"/>
          <w:color w:val="auto"/>
          <w:spacing w:val="-2"/>
          <w:w w:val="110"/>
          <w:szCs w:val="22"/>
        </w:rPr>
        <w:t>Oklahoma</w:t>
      </w:r>
      <w:r w:rsidRPr="00DD7BD1">
        <w:rPr>
          <w:rFonts w:cs="Calibri"/>
          <w:color w:val="auto"/>
          <w:spacing w:val="-9"/>
          <w:w w:val="110"/>
          <w:szCs w:val="22"/>
        </w:rPr>
        <w:t xml:space="preserve"> </w:t>
      </w:r>
      <w:r w:rsidRPr="00DD7BD1">
        <w:rPr>
          <w:rFonts w:cs="Calibri"/>
          <w:color w:val="auto"/>
          <w:spacing w:val="-2"/>
          <w:w w:val="110"/>
          <w:szCs w:val="22"/>
        </w:rPr>
        <w:t>will</w:t>
      </w:r>
      <w:r w:rsidRPr="00DD7BD1">
        <w:rPr>
          <w:rFonts w:cs="Calibri"/>
          <w:color w:val="auto"/>
          <w:spacing w:val="-9"/>
          <w:w w:val="110"/>
          <w:szCs w:val="22"/>
        </w:rPr>
        <w:t xml:space="preserve"> </w:t>
      </w:r>
      <w:r w:rsidRPr="00DD7BD1">
        <w:rPr>
          <w:rFonts w:cs="Calibri"/>
          <w:color w:val="auto"/>
          <w:spacing w:val="-2"/>
          <w:w w:val="110"/>
          <w:szCs w:val="22"/>
        </w:rPr>
        <w:t>increase</w:t>
      </w:r>
      <w:r w:rsidRPr="00DD7BD1">
        <w:rPr>
          <w:rFonts w:cs="Calibri"/>
          <w:color w:val="auto"/>
          <w:spacing w:val="-7"/>
          <w:w w:val="110"/>
          <w:szCs w:val="22"/>
        </w:rPr>
        <w:t xml:space="preserve"> </w:t>
      </w:r>
      <w:r w:rsidRPr="00DD7BD1">
        <w:rPr>
          <w:rFonts w:cs="Calibri"/>
          <w:color w:val="auto"/>
          <w:spacing w:val="-2"/>
          <w:w w:val="110"/>
          <w:szCs w:val="22"/>
        </w:rPr>
        <w:t>the</w:t>
      </w:r>
      <w:r w:rsidRPr="00DD7BD1">
        <w:rPr>
          <w:rFonts w:cs="Calibri"/>
          <w:color w:val="auto"/>
          <w:spacing w:val="-11"/>
          <w:w w:val="110"/>
          <w:szCs w:val="22"/>
        </w:rPr>
        <w:t xml:space="preserve"> </w:t>
      </w:r>
      <w:r w:rsidRPr="00DD7BD1">
        <w:rPr>
          <w:rFonts w:cs="Calibri"/>
          <w:color w:val="auto"/>
          <w:spacing w:val="-2"/>
          <w:w w:val="110"/>
          <w:szCs w:val="22"/>
        </w:rPr>
        <w:t>allowable</w:t>
      </w:r>
      <w:r w:rsidRPr="00DD7BD1">
        <w:rPr>
          <w:rFonts w:cs="Calibri"/>
          <w:color w:val="auto"/>
          <w:spacing w:val="-7"/>
          <w:w w:val="110"/>
          <w:szCs w:val="22"/>
        </w:rPr>
        <w:t xml:space="preserve"> </w:t>
      </w:r>
      <w:r w:rsidRPr="00DD7BD1">
        <w:rPr>
          <w:rFonts w:cs="Calibri"/>
          <w:color w:val="auto"/>
          <w:spacing w:val="-2"/>
          <w:w w:val="110"/>
          <w:szCs w:val="22"/>
        </w:rPr>
        <w:t>tip</w:t>
      </w:r>
      <w:r w:rsidRPr="00DD7BD1">
        <w:rPr>
          <w:rFonts w:cs="Calibri"/>
          <w:color w:val="auto"/>
          <w:spacing w:val="-11"/>
          <w:w w:val="110"/>
          <w:szCs w:val="22"/>
        </w:rPr>
        <w:t xml:space="preserve"> </w:t>
      </w:r>
      <w:r w:rsidRPr="00DD7BD1">
        <w:rPr>
          <w:rFonts w:cs="Calibri"/>
          <w:color w:val="auto"/>
          <w:spacing w:val="-2"/>
          <w:w w:val="110"/>
          <w:szCs w:val="22"/>
        </w:rPr>
        <w:t>credit under</w:t>
      </w:r>
      <w:r w:rsidRPr="00DD7BD1">
        <w:rPr>
          <w:rFonts w:cs="Calibri"/>
          <w:color w:val="auto"/>
          <w:spacing w:val="-11"/>
          <w:w w:val="110"/>
          <w:szCs w:val="22"/>
        </w:rPr>
        <w:t xml:space="preserve"> </w:t>
      </w:r>
      <w:r w:rsidRPr="00DD7BD1">
        <w:rPr>
          <w:rFonts w:cs="Calibri"/>
          <w:color w:val="auto"/>
          <w:spacing w:val="-2"/>
          <w:w w:val="110"/>
          <w:szCs w:val="22"/>
        </w:rPr>
        <w:t>SB</w:t>
      </w:r>
      <w:r w:rsidRPr="00DD7BD1">
        <w:rPr>
          <w:rFonts w:cs="Calibri"/>
          <w:color w:val="auto"/>
          <w:spacing w:val="-9"/>
          <w:w w:val="110"/>
          <w:szCs w:val="22"/>
        </w:rPr>
        <w:t xml:space="preserve"> </w:t>
      </w:r>
      <w:r w:rsidRPr="00DD7BD1">
        <w:rPr>
          <w:rFonts w:cs="Calibri"/>
          <w:color w:val="auto"/>
          <w:spacing w:val="-4"/>
          <w:w w:val="110"/>
          <w:szCs w:val="22"/>
        </w:rPr>
        <w:t>250.</w:t>
      </w:r>
    </w:p>
    <w:p w14:paraId="115A5B8C" w14:textId="77777777"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p>
    <w:p w14:paraId="299D3A86" w14:textId="4DE2D035" w:rsidR="004B7569" w:rsidRPr="00DD7BD1" w:rsidRDefault="00BD445F" w:rsidP="004B756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Oregon</w:t>
      </w:r>
    </w:p>
    <w:p w14:paraId="7700466F" w14:textId="061BD886" w:rsidR="007A6367" w:rsidRPr="00D40C84" w:rsidRDefault="007A6367" w:rsidP="004C229D">
      <w:pPr>
        <w:jc w:val="center"/>
        <w:rPr>
          <w:b/>
          <w:bCs/>
          <w:caps/>
          <w:color w:val="0070C0"/>
          <w:sz w:val="26"/>
          <w:szCs w:val="26"/>
        </w:rPr>
      </w:pPr>
      <w:r w:rsidRPr="00D40C84">
        <w:rPr>
          <w:b/>
          <w:bCs/>
          <w:caps/>
          <w:noProof/>
          <w:color w:val="0E425C"/>
          <w:sz w:val="26"/>
          <w:szCs w:val="26"/>
        </w:rPr>
        <w:t xml:space="preserve">State Enacts Immigration-related Employee PrOtections Effective </w:t>
      </w:r>
      <w:r w:rsidRPr="00D40C84">
        <w:rPr>
          <w:b/>
          <w:bCs/>
          <w:caps/>
          <w:color w:val="0070C0"/>
          <w:sz w:val="26"/>
          <w:szCs w:val="26"/>
        </w:rPr>
        <w:t>June 5, 2026</w:t>
      </w:r>
    </w:p>
    <w:p w14:paraId="609B18EB" w14:textId="77777777" w:rsidR="007A6367" w:rsidRPr="007A0654" w:rsidRDefault="007A6367" w:rsidP="007A6367">
      <w:r w:rsidRPr="00104342">
        <w:t>On April 6, 2026, Oregon enacted</w:t>
      </w:r>
      <w:r w:rsidRPr="000408F0">
        <w:t xml:space="preserve"> </w:t>
      </w:r>
      <w:hyperlink r:id="rId893" w:history="1">
        <w:r w:rsidRPr="000408F0">
          <w:rPr>
            <w:rStyle w:val="Hyperlink"/>
          </w:rPr>
          <w:t>House Bill (HB) 4111</w:t>
        </w:r>
      </w:hyperlink>
      <w:r w:rsidRPr="000408F0">
        <w:t xml:space="preserve">, </w:t>
      </w:r>
      <w:r w:rsidRPr="00104342">
        <w:t>which prohibits employers from discharging, retaliating against or discriminating against an employee because the employee updates or attempts to update their personal information based on a lawful change in their federal employment authorization documentation.</w:t>
      </w:r>
    </w:p>
    <w:p w14:paraId="3917CE4E" w14:textId="77777777" w:rsidR="007A6367" w:rsidRPr="007C3D0D" w:rsidRDefault="007A6367" w:rsidP="007A6367">
      <w:pPr>
        <w:rPr>
          <w:b/>
          <w:bCs/>
          <w:caps/>
          <w:color w:val="0070C0"/>
          <w:sz w:val="10"/>
          <w:szCs w:val="10"/>
        </w:rPr>
      </w:pPr>
    </w:p>
    <w:p w14:paraId="6152657E" w14:textId="376A5A6D" w:rsidR="007A6367" w:rsidRPr="000408F0" w:rsidRDefault="007A6367" w:rsidP="004C229D">
      <w:pPr>
        <w:jc w:val="center"/>
      </w:pPr>
      <w:r w:rsidRPr="00BC6E7C">
        <w:rPr>
          <w:b/>
          <w:bCs/>
          <w:caps/>
          <w:noProof/>
          <w:color w:val="0E425C"/>
          <w:sz w:val="26"/>
          <w:szCs w:val="26"/>
        </w:rPr>
        <w:t xml:space="preserve">State Increased Minimum Wage Effective </w:t>
      </w:r>
      <w:r w:rsidRPr="00BC6E7C">
        <w:rPr>
          <w:b/>
          <w:bCs/>
          <w:caps/>
          <w:color w:val="0070C0"/>
          <w:sz w:val="26"/>
          <w:szCs w:val="26"/>
        </w:rPr>
        <w:t>July 1</w:t>
      </w:r>
      <w:r>
        <w:rPr>
          <w:b/>
          <w:bCs/>
          <w:caps/>
          <w:color w:val="0070C0"/>
          <w:sz w:val="26"/>
          <w:szCs w:val="26"/>
        </w:rPr>
        <w:t>, 2026</w:t>
      </w:r>
    </w:p>
    <w:p w14:paraId="310C86D7" w14:textId="77777777" w:rsidR="007A6367" w:rsidRPr="00A25DF1" w:rsidRDefault="007A6367" w:rsidP="007A6367">
      <w:r w:rsidRPr="00A25DF1">
        <w:t>Oregon recently</w:t>
      </w:r>
      <w:r>
        <w:t xml:space="preserve"> </w:t>
      </w:r>
      <w:hyperlink r:id="rId894" w:history="1">
        <w:r w:rsidRPr="00A96A67">
          <w:rPr>
            <w:rStyle w:val="Hyperlink"/>
          </w:rPr>
          <w:t>announced</w:t>
        </w:r>
      </w:hyperlink>
      <w:r>
        <w:t xml:space="preserve"> </w:t>
      </w:r>
      <w:r w:rsidRPr="00A25DF1">
        <w:t xml:space="preserve">that its three hourly minimum wage rates will </w:t>
      </w:r>
      <w:r w:rsidRPr="00A25DF1">
        <w:rPr>
          <w:b/>
          <w:bCs/>
        </w:rPr>
        <w:t>increase by 50 cents per hour on July 1, 2026</w:t>
      </w:r>
      <w:r w:rsidRPr="00A25DF1">
        <w:t xml:space="preserve">. The new rates apply to all employers, regardless of the number of individuals they employ. </w:t>
      </w:r>
    </w:p>
    <w:p w14:paraId="489DA771" w14:textId="77777777" w:rsidR="007A6367" w:rsidRPr="00A25DF1" w:rsidRDefault="007A6367" w:rsidP="007A6367">
      <w:pPr>
        <w:pStyle w:val="Bullet"/>
        <w:spacing w:after="80"/>
        <w:ind w:left="648"/>
        <w:rPr>
          <w:color w:val="auto"/>
        </w:rPr>
      </w:pPr>
      <w:r w:rsidRPr="00A25DF1">
        <w:rPr>
          <w:color w:val="auto"/>
        </w:rPr>
        <w:t xml:space="preserve">The state’s standard minimum wage will increase from $15.05 per hour to </w:t>
      </w:r>
      <w:r w:rsidRPr="00A25DF1">
        <w:rPr>
          <w:b/>
          <w:bCs/>
          <w:color w:val="auto"/>
        </w:rPr>
        <w:t>$15.55 per hour</w:t>
      </w:r>
      <w:r w:rsidRPr="00A25DF1">
        <w:rPr>
          <w:color w:val="auto"/>
        </w:rPr>
        <w:t>;</w:t>
      </w:r>
    </w:p>
    <w:p w14:paraId="632D82E0" w14:textId="77777777" w:rsidR="007A6367" w:rsidRPr="00A25DF1" w:rsidRDefault="007A6367" w:rsidP="007A6367">
      <w:pPr>
        <w:pStyle w:val="Bullet"/>
        <w:spacing w:after="80"/>
        <w:ind w:left="648"/>
        <w:rPr>
          <w:color w:val="auto"/>
        </w:rPr>
      </w:pPr>
      <w:r w:rsidRPr="00A25DF1">
        <w:rPr>
          <w:color w:val="auto"/>
        </w:rPr>
        <w:t xml:space="preserve">The Portland metropolitan area minimum wage will increase from $16.30 per hour to </w:t>
      </w:r>
      <w:r w:rsidRPr="00A25DF1">
        <w:rPr>
          <w:b/>
          <w:bCs/>
          <w:color w:val="auto"/>
        </w:rPr>
        <w:t>$16.80 per hour</w:t>
      </w:r>
      <w:r w:rsidRPr="00A25DF1">
        <w:rPr>
          <w:color w:val="auto"/>
        </w:rPr>
        <w:t>; and</w:t>
      </w:r>
    </w:p>
    <w:p w14:paraId="6402A9A2" w14:textId="77777777" w:rsidR="007A6367" w:rsidRPr="00A25DF1" w:rsidRDefault="007A6367" w:rsidP="007A6367">
      <w:pPr>
        <w:pStyle w:val="Bullet"/>
        <w:spacing w:after="80"/>
        <w:ind w:left="648"/>
        <w:rPr>
          <w:color w:val="auto"/>
        </w:rPr>
      </w:pPr>
      <w:r w:rsidRPr="00A25DF1">
        <w:rPr>
          <w:color w:val="auto"/>
        </w:rPr>
        <w:t xml:space="preserve">The minimum wage rate for nonurban counties will increase from $14.05 per hour to </w:t>
      </w:r>
      <w:r w:rsidRPr="00A25DF1">
        <w:rPr>
          <w:b/>
          <w:bCs/>
          <w:color w:val="auto"/>
        </w:rPr>
        <w:t>$14.55 per hour</w:t>
      </w:r>
      <w:r w:rsidRPr="00A25DF1">
        <w:rPr>
          <w:color w:val="auto"/>
        </w:rPr>
        <w:t>.</w:t>
      </w:r>
    </w:p>
    <w:p w14:paraId="55329905" w14:textId="77777777" w:rsidR="007A6367" w:rsidRDefault="007A6367" w:rsidP="007A6367">
      <w:r w:rsidRPr="00A25DF1">
        <w:t>The Oregon Bureau of Labor and Industries provides a</w:t>
      </w:r>
      <w:r>
        <w:t xml:space="preserve"> </w:t>
      </w:r>
      <w:hyperlink r:id="rId895" w:history="1">
        <w:r w:rsidRPr="000928E2">
          <w:rPr>
            <w:rStyle w:val="Hyperlink"/>
          </w:rPr>
          <w:t>map</w:t>
        </w:r>
      </w:hyperlink>
      <w:r>
        <w:t xml:space="preserve"> </w:t>
      </w:r>
      <w:r w:rsidRPr="00A25DF1">
        <w:t xml:space="preserve">that employers may use to determine which minimum wage rates apply to them.  Once the applicable labor notice is released, ETC will </w:t>
      </w:r>
      <w:r>
        <w:t>advise and provide access to the notice</w:t>
      </w:r>
      <w:r w:rsidRPr="00A25DF1">
        <w:t>.</w:t>
      </w:r>
    </w:p>
    <w:p w14:paraId="0D6501BC" w14:textId="77777777" w:rsidR="007A6367" w:rsidRDefault="007A6367" w:rsidP="00E4729E">
      <w:pPr>
        <w:spacing w:after="0" w:line="240" w:lineRule="auto"/>
        <w:jc w:val="center"/>
        <w:rPr>
          <w:rFonts w:ascii="Calibri" w:hAnsi="Calibri" w:cs="Calibri"/>
          <w:b/>
          <w:bCs/>
          <w:sz w:val="28"/>
          <w:szCs w:val="28"/>
          <w:shd w:val="clear" w:color="auto" w:fill="FFFFFF"/>
          <w:lang w:val="en"/>
        </w:rPr>
      </w:pPr>
    </w:p>
    <w:p w14:paraId="4199DF43" w14:textId="352FFF61" w:rsidR="00497BA6" w:rsidRPr="00DD7BD1" w:rsidRDefault="00497BA6" w:rsidP="00E4729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Workplace Violence Prevention for Healthcare Employers–</w:t>
      </w:r>
      <w:r w:rsidRPr="00DD7BD1">
        <w:rPr>
          <w:rFonts w:ascii="Calibri" w:hAnsi="Calibri" w:cs="Calibri"/>
          <w:b/>
          <w:bCs/>
          <w:color w:val="C00000"/>
          <w:sz w:val="28"/>
          <w:szCs w:val="28"/>
          <w:shd w:val="clear" w:color="auto" w:fill="FFFFFF"/>
          <w:lang w:val="en"/>
        </w:rPr>
        <w:t xml:space="preserve"> Eff Jan 1, 2026</w:t>
      </w:r>
    </w:p>
    <w:p w14:paraId="55AC9600" w14:textId="5AA0B33B"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ETC does not track or report on industry specific enacted regulations; however, enactments effective in 2026 do include </w:t>
      </w:r>
      <w:r w:rsidRPr="00DD7BD1">
        <w:rPr>
          <w:rFonts w:ascii="Calibri" w:hAnsi="Calibri" w:cs="Calibri"/>
          <w:shd w:val="clear" w:color="auto" w:fill="FFFFFF"/>
        </w:rPr>
        <w:t>the state’s workplace violence prevention law for healthcare employers which will be expanded significantly, including covering more types of employers and a wider range of conduct.</w:t>
      </w:r>
    </w:p>
    <w:p w14:paraId="73614157" w14:textId="30612C23"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Specifically, covered employers will be expanded to include home health agencies and home hospice programs, and covered conduct will be broadened to </w:t>
      </w:r>
      <w:r w:rsidRPr="00DD7BD1">
        <w:rPr>
          <w:rFonts w:ascii="Calibri" w:hAnsi="Calibri" w:cs="Calibri"/>
          <w:i/>
          <w:iCs/>
          <w:shd w:val="clear" w:color="auto" w:fill="FFFFFF"/>
        </w:rPr>
        <w:t>workplace violence</w:t>
      </w:r>
      <w:r w:rsidRPr="00DD7BD1">
        <w:rPr>
          <w:rFonts w:ascii="Calibri" w:hAnsi="Calibri" w:cs="Calibri"/>
          <w:shd w:val="clear" w:color="auto" w:fill="FFFFFF"/>
        </w:rPr>
        <w:t> that will include any act or threat of physical violence, harassment, intimidation, assault, homicide, or any other threatening behavior that occurs in the workplace (currently, the law only covers assault).</w:t>
      </w:r>
    </w:p>
    <w:p w14:paraId="751495B9"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A few additional key changes include that employers will need to:</w:t>
      </w:r>
    </w:p>
    <w:p w14:paraId="31C0C26F"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workplace violence prevention training annually to employees as well as contracted security personnel working onsite. New employees should be trained within 90 days of hire, and temporary employees within 14 days of their start date.</w:t>
      </w:r>
    </w:p>
    <w:p w14:paraId="4AEFE946"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Develop a detailed workplace violence prevention and response plan, including policies and procedures for conducting investigations and post-incident interviews and implementing post-incident response strategies.</w:t>
      </w:r>
    </w:p>
    <w:p w14:paraId="70D5112C"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each employee with a written copy of the plan, including a statement explaining that employees are protected from retaliation. New hires should receive this within 30 calendar days of their start date.</w:t>
      </w:r>
    </w:p>
    <w:p w14:paraId="3900B0A8" w14:textId="77777777" w:rsidR="00497BA6" w:rsidRPr="00DD7BD1" w:rsidRDefault="00497BA6" w:rsidP="00E4729E">
      <w:pPr>
        <w:spacing w:after="0" w:line="240" w:lineRule="auto"/>
        <w:rPr>
          <w:rFonts w:ascii="Calibri" w:hAnsi="Calibri" w:cs="Calibri"/>
          <w:sz w:val="16"/>
          <w:szCs w:val="16"/>
          <w:shd w:val="clear" w:color="auto" w:fill="FFFFFF"/>
        </w:rPr>
      </w:pPr>
    </w:p>
    <w:p w14:paraId="6A85F79E"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The updated law also includes additional provisions, such as safety measures and training requirements for home healthcare employees. Oregon OSHA is planning to create regulations to better define employer obligations, which will likely be accessible from its </w:t>
      </w:r>
      <w:hyperlink r:id="rId896" w:tgtFrame="_blank" w:history="1">
        <w:r w:rsidRPr="00DD7BD1">
          <w:rPr>
            <w:rStyle w:val="Hyperlink"/>
            <w:rFonts w:ascii="Calibri" w:hAnsi="Calibri" w:cs="Calibri"/>
            <w:color w:val="0070C0"/>
            <w:shd w:val="clear" w:color="auto" w:fill="FFFFFF"/>
          </w:rPr>
          <w:t>website</w:t>
        </w:r>
      </w:hyperlink>
      <w:r w:rsidRPr="00DD7BD1">
        <w:rPr>
          <w:rFonts w:ascii="Calibri" w:hAnsi="Calibri" w:cs="Calibri"/>
          <w:shd w:val="clear" w:color="auto" w:fill="FFFFFF"/>
        </w:rPr>
        <w:t> when finalized.  Impacted employers are urged to ensure they research and understand implications of these enactments.</w:t>
      </w:r>
    </w:p>
    <w:p w14:paraId="31103C6F" w14:textId="77777777" w:rsidR="0076708F" w:rsidRPr="00DD7BD1" w:rsidRDefault="0076708F" w:rsidP="00E4729E">
      <w:pPr>
        <w:spacing w:after="0" w:line="240" w:lineRule="auto"/>
        <w:rPr>
          <w:rFonts w:ascii="Calibri" w:hAnsi="Calibri" w:cs="Calibri"/>
          <w:shd w:val="clear" w:color="auto" w:fill="FFFFFF"/>
        </w:rPr>
      </w:pPr>
    </w:p>
    <w:p w14:paraId="75EAAA9A" w14:textId="77777777" w:rsidR="0076708F" w:rsidRPr="00DD7BD1" w:rsidRDefault="0076708F" w:rsidP="0076708F">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Expansion of Paid Sick Leave for Organ Donation –</w:t>
      </w:r>
      <w:r w:rsidRPr="00DD7BD1">
        <w:rPr>
          <w:rFonts w:ascii="Calibri" w:hAnsi="Calibri" w:cs="Calibri"/>
          <w:b/>
          <w:bCs/>
          <w:color w:val="C00000"/>
          <w:sz w:val="28"/>
          <w:szCs w:val="28"/>
          <w:shd w:val="clear" w:color="auto" w:fill="FFFFFF"/>
          <w:lang w:val="en"/>
        </w:rPr>
        <w:t xml:space="preserve"> Eff Jan 1, 2026</w:t>
      </w:r>
    </w:p>
    <w:p w14:paraId="469FCAC2" w14:textId="77777777" w:rsidR="0076708F" w:rsidRPr="00DD7BD1" w:rsidRDefault="0076708F" w:rsidP="003A0536">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Oregon's paid sick leave law expands to cover organ donation, allowing employees to use accrued sick time for donating organs or bone marrow, with specific amendments (SB 1108/HB 1616) adding this to existing leave for family/medical needs, ensuring job protection for donation-related time off under Paid Leave Oregon (PLO) and the Oregon Family Leave Act (OFLA). While OFLA provides job protection (unpaid), PLO offers paid benefits, and these changes integrate donation leave with sick leave, giving employees more flexibility for this important process.  With the Dec HR WIRE, the OR State Handbook Addendum has been updated to reflect these details.</w:t>
      </w:r>
    </w:p>
    <w:p w14:paraId="3FF18738" w14:textId="77777777" w:rsidR="003A0536" w:rsidRPr="00DD7BD1" w:rsidRDefault="003A0536" w:rsidP="003A0536">
      <w:pPr>
        <w:spacing w:after="0" w:line="240" w:lineRule="auto"/>
        <w:rPr>
          <w:rFonts w:ascii="Calibri" w:hAnsi="Calibri" w:cs="Calibri"/>
          <w:shd w:val="clear" w:color="auto" w:fill="FFFFFF"/>
        </w:rPr>
      </w:pPr>
    </w:p>
    <w:p w14:paraId="735CED6F" w14:textId="77777777" w:rsidR="003A0536" w:rsidRPr="00DD7BD1" w:rsidRDefault="003A0536" w:rsidP="003A05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D197934" w14:textId="0BF60EA0"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26, 2025, Oregon </w:t>
      </w:r>
      <w:hyperlink r:id="rId897"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54B9A8E" w14:textId="77777777"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0750B2F"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153ADC80"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0E29C67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73B04E6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Allowances, if any, claimed as part of minimum wage;</w:t>
      </w:r>
    </w:p>
    <w:p w14:paraId="4DBD7B19"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17C3CCC6" w14:textId="77A81C48"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 payroll codes used for pay rates and deductions, along with a detailed description or definition of each code.</w:t>
      </w:r>
    </w:p>
    <w:p w14:paraId="4D9384B2" w14:textId="77777777" w:rsidR="003A0536" w:rsidRPr="00DD7BD1" w:rsidRDefault="003A0536" w:rsidP="003A0536">
      <w:pPr>
        <w:pStyle w:val="BodyText"/>
        <w:spacing w:after="0" w:line="240" w:lineRule="auto"/>
        <w:contextualSpacing/>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898"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0BF0E1A8" w14:textId="77777777" w:rsidR="00A944BD" w:rsidRPr="00DD7BD1" w:rsidRDefault="00A944BD" w:rsidP="00A944BD">
      <w:pPr>
        <w:contextualSpacing/>
        <w:jc w:val="center"/>
        <w:rPr>
          <w:rFonts w:ascii="Calibri" w:hAnsi="Calibri" w:cs="Calibri"/>
          <w:b/>
          <w:bCs/>
          <w:color w:val="C00000"/>
          <w:shd w:val="clear" w:color="auto" w:fill="FFFFFF"/>
          <w:lang w:val="en"/>
        </w:rPr>
      </w:pPr>
    </w:p>
    <w:p w14:paraId="5AAB12CF" w14:textId="0720AF47" w:rsidR="00A944BD" w:rsidRPr="00DD7BD1" w:rsidRDefault="00A944BD" w:rsidP="00A944BD">
      <w:pPr>
        <w:contextualSpacing/>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Sick Leave for Blood Donation – </w:t>
      </w:r>
      <w:r w:rsidRPr="00DD7BD1">
        <w:rPr>
          <w:rFonts w:ascii="Calibri" w:hAnsi="Calibri" w:cs="Calibri"/>
          <w:b/>
          <w:bCs/>
          <w:color w:val="C00000"/>
          <w:sz w:val="28"/>
          <w:szCs w:val="28"/>
          <w:shd w:val="clear" w:color="auto" w:fill="FFFFFF"/>
          <w:lang w:val="en"/>
        </w:rPr>
        <w:t>Eff Jan 1, 2026</w:t>
      </w:r>
    </w:p>
    <w:p w14:paraId="79D6D442" w14:textId="4ECF70A1" w:rsidR="00497BA6" w:rsidRPr="00DD7BD1" w:rsidRDefault="00A944BD" w:rsidP="00A944BD">
      <w:pPr>
        <w:rPr>
          <w:rFonts w:ascii="Calibri" w:hAnsi="Calibri" w:cs="Calibri"/>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899"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With the Dec HR WIRE, the OR State Handbook Addendum has been updated to reflect these details.</w:t>
      </w:r>
    </w:p>
    <w:p w14:paraId="2BFDB3F5" w14:textId="51C47C06" w:rsidR="003D0CE0" w:rsidRPr="00DD7BD1" w:rsidRDefault="003D0CE0" w:rsidP="003D0CE0">
      <w:pPr>
        <w:spacing w:after="0" w:line="240" w:lineRule="auto"/>
        <w:ind w:right="-180"/>
        <w:jc w:val="center"/>
        <w:rPr>
          <w:rFonts w:ascii="Calibri" w:hAnsi="Calibri" w:cs="Calibri"/>
          <w:b/>
          <w:sz w:val="28"/>
        </w:rPr>
      </w:pPr>
      <w:r w:rsidRPr="00DD7BD1">
        <w:rPr>
          <w:rFonts w:ascii="Calibri" w:hAnsi="Calibri" w:cs="Calibri"/>
          <w:b/>
          <w:color w:val="C00000"/>
          <w:spacing w:val="-8"/>
          <w:sz w:val="28"/>
        </w:rPr>
        <w:t>Reminder:</w:t>
      </w:r>
      <w:r w:rsidRPr="00DD7BD1">
        <w:rPr>
          <w:rFonts w:ascii="Calibri" w:hAnsi="Calibri" w:cs="Calibri"/>
          <w:b/>
          <w:color w:val="C00000"/>
          <w:spacing w:val="-12"/>
          <w:sz w:val="28"/>
        </w:rPr>
        <w:t xml:space="preserve"> </w:t>
      </w:r>
      <w:r w:rsidRPr="00DD7BD1">
        <w:rPr>
          <w:rFonts w:ascii="Calibri" w:hAnsi="Calibri" w:cs="Calibri"/>
          <w:b/>
          <w:spacing w:val="-8"/>
          <w:sz w:val="28"/>
        </w:rPr>
        <w:t>State</w:t>
      </w:r>
      <w:r w:rsidRPr="00DD7BD1">
        <w:rPr>
          <w:rFonts w:ascii="Calibri" w:hAnsi="Calibri" w:cs="Calibri"/>
          <w:b/>
          <w:spacing w:val="-10"/>
          <w:sz w:val="28"/>
        </w:rPr>
        <w:t xml:space="preserve"> </w:t>
      </w:r>
      <w:r w:rsidRPr="00DD7BD1">
        <w:rPr>
          <w:rFonts w:ascii="Calibri" w:hAnsi="Calibri" w:cs="Calibri"/>
          <w:b/>
          <w:spacing w:val="-8"/>
          <w:sz w:val="28"/>
        </w:rPr>
        <w:t>Updates</w:t>
      </w:r>
      <w:r w:rsidRPr="00DD7BD1">
        <w:rPr>
          <w:rFonts w:ascii="Calibri" w:hAnsi="Calibri" w:cs="Calibri"/>
          <w:b/>
          <w:spacing w:val="-12"/>
          <w:sz w:val="28"/>
        </w:rPr>
        <w:t xml:space="preserve"> </w:t>
      </w:r>
      <w:r w:rsidRPr="00DD7BD1">
        <w:rPr>
          <w:rFonts w:ascii="Calibri" w:hAnsi="Calibri" w:cs="Calibri"/>
          <w:b/>
          <w:spacing w:val="-8"/>
          <w:sz w:val="28"/>
        </w:rPr>
        <w:t>OFLA,</w:t>
      </w:r>
      <w:r w:rsidRPr="00DD7BD1">
        <w:rPr>
          <w:rFonts w:ascii="Calibri" w:hAnsi="Calibri" w:cs="Calibri"/>
          <w:b/>
          <w:spacing w:val="-9"/>
          <w:sz w:val="28"/>
        </w:rPr>
        <w:t xml:space="preserve"> </w:t>
      </w:r>
      <w:r w:rsidRPr="00DD7BD1">
        <w:rPr>
          <w:rFonts w:ascii="Calibri" w:hAnsi="Calibri" w:cs="Calibri"/>
          <w:b/>
          <w:spacing w:val="-8"/>
          <w:sz w:val="28"/>
        </w:rPr>
        <w:t>PLO,</w:t>
      </w:r>
      <w:r w:rsidRPr="00DD7BD1">
        <w:rPr>
          <w:rFonts w:ascii="Calibri" w:hAnsi="Calibri" w:cs="Calibri"/>
          <w:b/>
          <w:spacing w:val="-11"/>
          <w:sz w:val="28"/>
        </w:rPr>
        <w:t xml:space="preserve"> </w:t>
      </w:r>
      <w:r w:rsidRPr="00DD7BD1">
        <w:rPr>
          <w:rFonts w:ascii="Calibri" w:hAnsi="Calibri" w:cs="Calibri"/>
          <w:b/>
          <w:spacing w:val="-8"/>
          <w:sz w:val="28"/>
        </w:rPr>
        <w:t>and</w:t>
      </w:r>
      <w:r w:rsidRPr="00DD7BD1">
        <w:rPr>
          <w:rFonts w:ascii="Calibri" w:hAnsi="Calibri" w:cs="Calibri"/>
          <w:b/>
          <w:spacing w:val="-10"/>
          <w:sz w:val="28"/>
        </w:rPr>
        <w:t xml:space="preserve"> </w:t>
      </w:r>
      <w:r w:rsidRPr="00DD7BD1">
        <w:rPr>
          <w:rFonts w:ascii="Calibri" w:hAnsi="Calibri" w:cs="Calibri"/>
          <w:b/>
          <w:spacing w:val="-8"/>
          <w:sz w:val="28"/>
        </w:rPr>
        <w:t>Sick</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7"/>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Sept 26,</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2025</w:t>
      </w:r>
    </w:p>
    <w:p w14:paraId="7DF69620"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has</w:t>
      </w:r>
      <w:r w:rsidRPr="00DD7BD1">
        <w:rPr>
          <w:rFonts w:cs="Calibri"/>
          <w:color w:val="auto"/>
          <w:spacing w:val="-11"/>
          <w:w w:val="110"/>
          <w:szCs w:val="22"/>
        </w:rPr>
        <w:t xml:space="preserve"> </w:t>
      </w:r>
      <w:r w:rsidRPr="00DD7BD1">
        <w:rPr>
          <w:rFonts w:cs="Calibri"/>
          <w:color w:val="auto"/>
          <w:spacing w:val="-2"/>
          <w:w w:val="110"/>
          <w:szCs w:val="22"/>
        </w:rPr>
        <w:t>updated</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Oregon</w:t>
      </w:r>
      <w:r w:rsidRPr="00DD7BD1">
        <w:rPr>
          <w:rFonts w:cs="Calibri"/>
          <w:color w:val="auto"/>
          <w:spacing w:val="-9"/>
          <w:w w:val="110"/>
          <w:szCs w:val="22"/>
        </w:rPr>
        <w:t xml:space="preserve"> </w:t>
      </w:r>
      <w:r w:rsidRPr="00DD7BD1">
        <w:rPr>
          <w:rFonts w:cs="Calibri"/>
          <w:color w:val="auto"/>
          <w:spacing w:val="-2"/>
          <w:w w:val="110"/>
          <w:szCs w:val="22"/>
        </w:rPr>
        <w:t>Family</w:t>
      </w:r>
      <w:r w:rsidRPr="00DD7BD1">
        <w:rPr>
          <w:rFonts w:cs="Calibri"/>
          <w:color w:val="auto"/>
          <w:spacing w:val="-12"/>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14"/>
          <w:w w:val="110"/>
          <w:szCs w:val="22"/>
        </w:rPr>
        <w:t xml:space="preserve"> </w:t>
      </w:r>
      <w:r w:rsidRPr="00DD7BD1">
        <w:rPr>
          <w:rFonts w:cs="Calibri"/>
          <w:color w:val="auto"/>
          <w:spacing w:val="-2"/>
          <w:w w:val="110"/>
          <w:szCs w:val="22"/>
        </w:rPr>
        <w:t>(OFLA),</w:t>
      </w:r>
      <w:r w:rsidRPr="00DD7BD1">
        <w:rPr>
          <w:rFonts w:cs="Calibri"/>
          <w:color w:val="auto"/>
          <w:spacing w:val="-11"/>
          <w:w w:val="110"/>
          <w:szCs w:val="22"/>
        </w:rPr>
        <w:t xml:space="preserve"> </w:t>
      </w:r>
      <w:r w:rsidRPr="00DD7BD1">
        <w:rPr>
          <w:rFonts w:cs="Calibri"/>
          <w:color w:val="auto"/>
          <w:spacing w:val="-2"/>
          <w:w w:val="110"/>
          <w:szCs w:val="22"/>
        </w:rPr>
        <w:t>Paid</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(PLO),</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its</w:t>
      </w:r>
      <w:r w:rsidRPr="00DD7BD1">
        <w:rPr>
          <w:rFonts w:cs="Calibri"/>
          <w:color w:val="auto"/>
          <w:spacing w:val="-13"/>
          <w:w w:val="110"/>
          <w:szCs w:val="22"/>
        </w:rPr>
        <w:t xml:space="preserve"> </w:t>
      </w:r>
      <w:r w:rsidRPr="00DD7BD1">
        <w:rPr>
          <w:rFonts w:cs="Calibri"/>
          <w:color w:val="auto"/>
          <w:spacing w:val="-2"/>
          <w:w w:val="110"/>
          <w:szCs w:val="22"/>
        </w:rPr>
        <w:t>sick</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law</w:t>
      </w:r>
      <w:r w:rsidRPr="00DD7BD1">
        <w:rPr>
          <w:rFonts w:cs="Calibri"/>
          <w:color w:val="auto"/>
          <w:spacing w:val="-7"/>
          <w:w w:val="110"/>
          <w:szCs w:val="22"/>
        </w:rPr>
        <w:t xml:space="preserve"> </w:t>
      </w:r>
      <w:r w:rsidRPr="00DD7BD1">
        <w:rPr>
          <w:rFonts w:cs="Calibri"/>
          <w:color w:val="auto"/>
          <w:spacing w:val="-2"/>
          <w:w w:val="110"/>
          <w:szCs w:val="22"/>
        </w:rPr>
        <w:t xml:space="preserve">under </w:t>
      </w:r>
      <w:r w:rsidRPr="00DD7BD1">
        <w:rPr>
          <w:rFonts w:cs="Calibri"/>
          <w:color w:val="auto"/>
          <w:w w:val="110"/>
          <w:szCs w:val="22"/>
        </w:rPr>
        <w:t xml:space="preserve">enacted </w:t>
      </w:r>
      <w:hyperlink r:id="rId900">
        <w:r w:rsidRPr="00DD7BD1">
          <w:rPr>
            <w:rFonts w:cs="Calibri"/>
            <w:color w:val="0000FF"/>
            <w:w w:val="110"/>
            <w:szCs w:val="22"/>
            <w:u w:val="single" w:color="0000FF"/>
          </w:rPr>
          <w:t>SB 69</w:t>
        </w:r>
      </w:hyperlink>
      <w:r w:rsidRPr="00DD7BD1">
        <w:rPr>
          <w:rFonts w:cs="Calibri"/>
          <w:w w:val="110"/>
          <w:szCs w:val="22"/>
        </w:rPr>
        <w:t>.</w:t>
      </w:r>
    </w:p>
    <w:p w14:paraId="77EA4D6C" w14:textId="77777777" w:rsidR="003D0CE0" w:rsidRPr="00DD7BD1" w:rsidRDefault="003D0CE0" w:rsidP="003D0CE0">
      <w:pPr>
        <w:pStyle w:val="Heading4"/>
        <w:spacing w:before="0"/>
        <w:ind w:right="-180"/>
        <w:rPr>
          <w:rFonts w:ascii="Calibri" w:hAnsi="Calibri" w:cs="Calibri"/>
          <w:spacing w:val="-4"/>
          <w:w w:val="95"/>
          <w:sz w:val="16"/>
          <w:szCs w:val="16"/>
        </w:rPr>
      </w:pPr>
    </w:p>
    <w:p w14:paraId="72A9158D"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4"/>
          <w:w w:val="95"/>
        </w:rPr>
        <w:t>OFLA</w:t>
      </w:r>
    </w:p>
    <w:p w14:paraId="5BACC306"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only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take</w:t>
      </w:r>
      <w:r w:rsidRPr="00DD7BD1">
        <w:rPr>
          <w:rFonts w:cs="Calibri"/>
          <w:color w:val="auto"/>
          <w:spacing w:val="-11"/>
          <w:w w:val="110"/>
          <w:szCs w:val="22"/>
        </w:rPr>
        <w:t xml:space="preserve"> </w:t>
      </w:r>
      <w:r w:rsidRPr="00DD7BD1">
        <w:rPr>
          <w:rFonts w:cs="Calibri"/>
          <w:color w:val="auto"/>
          <w:w w:val="110"/>
          <w:szCs w:val="22"/>
        </w:rPr>
        <w:t>OFLA</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care</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18</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substantially</w:t>
      </w:r>
      <w:r w:rsidRPr="00DD7BD1">
        <w:rPr>
          <w:rFonts w:cs="Calibri"/>
          <w:color w:val="auto"/>
          <w:spacing w:val="-11"/>
          <w:w w:val="110"/>
          <w:szCs w:val="22"/>
        </w:rPr>
        <w:t xml:space="preserve"> </w:t>
      </w:r>
      <w:r w:rsidRPr="00DD7BD1">
        <w:rPr>
          <w:rFonts w:cs="Calibri"/>
          <w:color w:val="auto"/>
          <w:w w:val="110"/>
          <w:szCs w:val="22"/>
        </w:rPr>
        <w:t xml:space="preserve">limited </w:t>
      </w:r>
      <w:r w:rsidRPr="00DD7BD1">
        <w:rPr>
          <w:rFonts w:cs="Calibri"/>
          <w:color w:val="auto"/>
          <w:w w:val="115"/>
          <w:szCs w:val="22"/>
        </w:rPr>
        <w:t>by</w:t>
      </w:r>
      <w:r w:rsidRPr="00DD7BD1">
        <w:rPr>
          <w:rFonts w:cs="Calibri"/>
          <w:color w:val="auto"/>
          <w:spacing w:val="-16"/>
          <w:w w:val="115"/>
          <w:szCs w:val="22"/>
        </w:rPr>
        <w:t xml:space="preserve"> </w:t>
      </w:r>
      <w:r w:rsidRPr="00DD7BD1">
        <w:rPr>
          <w:rFonts w:cs="Calibri"/>
          <w:color w:val="auto"/>
          <w:w w:val="115"/>
          <w:szCs w:val="22"/>
        </w:rPr>
        <w:t>an</w:t>
      </w:r>
      <w:r w:rsidRPr="00DD7BD1">
        <w:rPr>
          <w:rFonts w:cs="Calibri"/>
          <w:color w:val="auto"/>
          <w:spacing w:val="-14"/>
          <w:w w:val="115"/>
          <w:szCs w:val="22"/>
        </w:rPr>
        <w:t xml:space="preserve"> </w:t>
      </w:r>
      <w:r w:rsidRPr="00DD7BD1">
        <w:rPr>
          <w:rFonts w:cs="Calibri"/>
          <w:color w:val="auto"/>
          <w:w w:val="115"/>
          <w:szCs w:val="22"/>
        </w:rPr>
        <w:t>impairment</w:t>
      </w:r>
      <w:r w:rsidRPr="00DD7BD1">
        <w:rPr>
          <w:rFonts w:cs="Calibri"/>
          <w:color w:val="auto"/>
          <w:spacing w:val="-17"/>
          <w:w w:val="115"/>
          <w:szCs w:val="22"/>
        </w:rPr>
        <w:t xml:space="preserve"> </w:t>
      </w:r>
      <w:r w:rsidRPr="00DD7BD1">
        <w:rPr>
          <w:rFonts w:cs="Calibri"/>
          <w:color w:val="auto"/>
          <w:w w:val="115"/>
          <w:szCs w:val="22"/>
        </w:rPr>
        <w:t>for</w:t>
      </w:r>
      <w:r w:rsidRPr="00DD7BD1">
        <w:rPr>
          <w:rFonts w:cs="Calibri"/>
          <w:color w:val="auto"/>
          <w:spacing w:val="-15"/>
          <w:w w:val="115"/>
          <w:szCs w:val="22"/>
        </w:rPr>
        <w:t xml:space="preserve"> </w:t>
      </w:r>
      <w:r w:rsidRPr="00DD7BD1">
        <w:rPr>
          <w:rFonts w:cs="Calibri"/>
          <w:color w:val="auto"/>
          <w:w w:val="115"/>
          <w:szCs w:val="22"/>
        </w:rPr>
        <w:t>the</w:t>
      </w:r>
      <w:r w:rsidRPr="00DD7BD1">
        <w:rPr>
          <w:rFonts w:cs="Calibri"/>
          <w:color w:val="auto"/>
          <w:spacing w:val="-19"/>
          <w:w w:val="115"/>
          <w:szCs w:val="22"/>
        </w:rPr>
        <w:t xml:space="preserve"> </w:t>
      </w:r>
      <w:r w:rsidRPr="00DD7BD1">
        <w:rPr>
          <w:rFonts w:cs="Calibri"/>
          <w:color w:val="auto"/>
          <w:w w:val="115"/>
          <w:szCs w:val="22"/>
        </w:rPr>
        <w:t>following</w:t>
      </w:r>
      <w:r w:rsidRPr="00DD7BD1">
        <w:rPr>
          <w:rFonts w:cs="Calibri"/>
          <w:color w:val="auto"/>
          <w:spacing w:val="-14"/>
          <w:w w:val="115"/>
          <w:szCs w:val="22"/>
        </w:rPr>
        <w:t xml:space="preserve"> </w:t>
      </w:r>
      <w:r w:rsidRPr="00DD7BD1">
        <w:rPr>
          <w:rFonts w:cs="Calibri"/>
          <w:color w:val="auto"/>
          <w:w w:val="115"/>
          <w:szCs w:val="22"/>
        </w:rPr>
        <w:t>leave</w:t>
      </w:r>
      <w:r w:rsidRPr="00DD7BD1">
        <w:rPr>
          <w:rFonts w:cs="Calibri"/>
          <w:color w:val="auto"/>
          <w:spacing w:val="-14"/>
          <w:w w:val="115"/>
          <w:szCs w:val="22"/>
        </w:rPr>
        <w:t xml:space="preserve"> </w:t>
      </w:r>
      <w:r w:rsidRPr="00DD7BD1">
        <w:rPr>
          <w:rFonts w:cs="Calibri"/>
          <w:color w:val="auto"/>
          <w:w w:val="115"/>
          <w:szCs w:val="22"/>
        </w:rPr>
        <w:t>reasons:</w:t>
      </w:r>
    </w:p>
    <w:p w14:paraId="0DC2A050"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Calibri" w:hAnsi="Calibri" w:cs="Calibri"/>
        </w:rPr>
      </w:pPr>
      <w:r w:rsidRPr="00DD7BD1">
        <w:rPr>
          <w:rFonts w:ascii="Calibri" w:hAnsi="Calibri" w:cs="Calibri"/>
          <w:spacing w:val="-2"/>
          <w:w w:val="110"/>
        </w:rPr>
        <w:t>When</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child</w:t>
      </w:r>
      <w:r w:rsidRPr="00DD7BD1">
        <w:rPr>
          <w:rFonts w:ascii="Calibri" w:hAnsi="Calibri" w:cs="Calibri"/>
          <w:spacing w:val="-8"/>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sick</w:t>
      </w:r>
      <w:r w:rsidRPr="00DD7BD1">
        <w:rPr>
          <w:rFonts w:ascii="Calibri" w:hAnsi="Calibri" w:cs="Calibri"/>
          <w:spacing w:val="-12"/>
          <w:w w:val="110"/>
        </w:rPr>
        <w:t xml:space="preserve"> </w:t>
      </w:r>
      <w:r w:rsidRPr="00DD7BD1">
        <w:rPr>
          <w:rFonts w:ascii="Calibri" w:hAnsi="Calibri" w:cs="Calibri"/>
          <w:spacing w:val="-2"/>
          <w:w w:val="110"/>
        </w:rPr>
        <w:t>at</w:t>
      </w:r>
      <w:r w:rsidRPr="00DD7BD1">
        <w:rPr>
          <w:rFonts w:ascii="Calibri" w:hAnsi="Calibri" w:cs="Calibri"/>
          <w:spacing w:val="-12"/>
          <w:w w:val="110"/>
        </w:rPr>
        <w:t xml:space="preserve"> </w:t>
      </w:r>
      <w:r w:rsidRPr="00DD7BD1">
        <w:rPr>
          <w:rFonts w:ascii="Calibri" w:hAnsi="Calibri" w:cs="Calibri"/>
          <w:spacing w:val="-2"/>
          <w:w w:val="110"/>
        </w:rPr>
        <w:t>home,</w:t>
      </w:r>
      <w:r w:rsidRPr="00DD7BD1">
        <w:rPr>
          <w:rFonts w:ascii="Calibri" w:hAnsi="Calibri" w:cs="Calibri"/>
          <w:spacing w:val="-12"/>
          <w:w w:val="110"/>
        </w:rPr>
        <w:t xml:space="preserve"> </w:t>
      </w:r>
      <w:r w:rsidRPr="00DD7BD1">
        <w:rPr>
          <w:rFonts w:ascii="Calibri" w:hAnsi="Calibri" w:cs="Calibri"/>
          <w:spacing w:val="-5"/>
          <w:w w:val="110"/>
        </w:rPr>
        <w:t>or</w:t>
      </w:r>
    </w:p>
    <w:p w14:paraId="7E8CDC73"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Calibri" w:hAnsi="Calibri" w:cs="Calibri"/>
        </w:rPr>
      </w:pP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child</w:t>
      </w:r>
      <w:r w:rsidRPr="00DD7BD1">
        <w:rPr>
          <w:rFonts w:ascii="Calibri" w:hAnsi="Calibri" w:cs="Calibri"/>
          <w:spacing w:val="-11"/>
          <w:w w:val="110"/>
        </w:rPr>
        <w:t xml:space="preserve"> </w:t>
      </w:r>
      <w:r w:rsidRPr="00DD7BD1">
        <w:rPr>
          <w:rFonts w:ascii="Calibri" w:hAnsi="Calibri" w:cs="Calibri"/>
          <w:w w:val="110"/>
        </w:rPr>
        <w:t>requires</w:t>
      </w:r>
      <w:r w:rsidRPr="00DD7BD1">
        <w:rPr>
          <w:rFonts w:ascii="Calibri" w:hAnsi="Calibri" w:cs="Calibri"/>
          <w:spacing w:val="-15"/>
          <w:w w:val="110"/>
        </w:rPr>
        <w:t xml:space="preserve"> </w:t>
      </w:r>
      <w:r w:rsidRPr="00DD7BD1">
        <w:rPr>
          <w:rFonts w:ascii="Calibri" w:hAnsi="Calibri" w:cs="Calibri"/>
          <w:w w:val="110"/>
        </w:rPr>
        <w:t>home</w:t>
      </w:r>
      <w:r w:rsidRPr="00DD7BD1">
        <w:rPr>
          <w:rFonts w:ascii="Calibri" w:hAnsi="Calibri" w:cs="Calibri"/>
          <w:spacing w:val="-11"/>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because</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school</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place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is</w:t>
      </w:r>
      <w:r w:rsidRPr="00DD7BD1">
        <w:rPr>
          <w:rFonts w:ascii="Calibri" w:hAnsi="Calibri" w:cs="Calibri"/>
          <w:spacing w:val="-11"/>
          <w:w w:val="110"/>
        </w:rPr>
        <w:t xml:space="preserve"> </w:t>
      </w:r>
      <w:r w:rsidRPr="00DD7BD1">
        <w:rPr>
          <w:rFonts w:ascii="Calibri" w:hAnsi="Calibri" w:cs="Calibri"/>
          <w:w w:val="110"/>
        </w:rPr>
        <w:t>closed</w:t>
      </w:r>
      <w:r w:rsidRPr="00DD7BD1">
        <w:rPr>
          <w:rFonts w:ascii="Calibri" w:hAnsi="Calibri" w:cs="Calibri"/>
          <w:spacing w:val="-11"/>
          <w:w w:val="110"/>
        </w:rPr>
        <w:t xml:space="preserve"> </w:t>
      </w:r>
      <w:r w:rsidRPr="00DD7BD1">
        <w:rPr>
          <w:rFonts w:ascii="Calibri" w:hAnsi="Calibri" w:cs="Calibri"/>
          <w:w w:val="110"/>
        </w:rPr>
        <w:t>due</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3"/>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public</w:t>
      </w:r>
      <w:r w:rsidRPr="00DD7BD1">
        <w:rPr>
          <w:rFonts w:ascii="Calibri" w:hAnsi="Calibri" w:cs="Calibri"/>
          <w:spacing w:val="-14"/>
          <w:w w:val="110"/>
        </w:rPr>
        <w:t xml:space="preserve"> </w:t>
      </w:r>
      <w:r w:rsidRPr="00DD7BD1">
        <w:rPr>
          <w:rFonts w:ascii="Calibri" w:hAnsi="Calibri" w:cs="Calibri"/>
          <w:w w:val="110"/>
        </w:rPr>
        <w:t xml:space="preserve">health </w:t>
      </w:r>
      <w:r w:rsidRPr="00DD7BD1">
        <w:rPr>
          <w:rFonts w:ascii="Calibri" w:hAnsi="Calibri" w:cs="Calibri"/>
          <w:w w:val="115"/>
        </w:rPr>
        <w:t>emergency</w:t>
      </w:r>
      <w:r w:rsidRPr="00DD7BD1">
        <w:rPr>
          <w:rFonts w:ascii="Calibri" w:hAnsi="Calibri" w:cs="Calibri"/>
          <w:spacing w:val="-5"/>
          <w:w w:val="115"/>
        </w:rPr>
        <w:t xml:space="preserve"> </w:t>
      </w:r>
      <w:r w:rsidRPr="00DD7BD1">
        <w:rPr>
          <w:rFonts w:ascii="Calibri" w:hAnsi="Calibri" w:cs="Calibri"/>
          <w:w w:val="115"/>
        </w:rPr>
        <w:t>(PHE).</w:t>
      </w:r>
    </w:p>
    <w:p w14:paraId="7CF21B3D" w14:textId="77777777" w:rsidR="003D0CE0" w:rsidRPr="00DD7BD1" w:rsidRDefault="003D0CE0" w:rsidP="003D0CE0">
      <w:pPr>
        <w:pStyle w:val="Heading4"/>
        <w:spacing w:before="0"/>
        <w:ind w:right="-180"/>
        <w:rPr>
          <w:rFonts w:ascii="Calibri" w:hAnsi="Calibri" w:cs="Calibri"/>
          <w:spacing w:val="-5"/>
          <w:w w:val="95"/>
          <w:sz w:val="16"/>
          <w:szCs w:val="16"/>
        </w:rPr>
      </w:pPr>
    </w:p>
    <w:p w14:paraId="6F0BEFE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5"/>
          <w:w w:val="95"/>
        </w:rPr>
        <w:t>PLO</w:t>
      </w:r>
    </w:p>
    <w:p w14:paraId="37FFCE7B"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w w:val="110"/>
          <w:szCs w:val="22"/>
        </w:rPr>
        <w:t>Before</w:t>
      </w:r>
      <w:r w:rsidRPr="00DD7BD1">
        <w:rPr>
          <w:rFonts w:cs="Calibri"/>
          <w:color w:val="auto"/>
          <w:spacing w:val="-16"/>
          <w:w w:val="110"/>
          <w:szCs w:val="22"/>
        </w:rPr>
        <w:t xml:space="preserve"> </w:t>
      </w:r>
      <w:r w:rsidRPr="00DD7BD1">
        <w:rPr>
          <w:rFonts w:cs="Calibri"/>
          <w:color w:val="auto"/>
          <w:w w:val="110"/>
          <w:szCs w:val="22"/>
        </w:rPr>
        <w:t>an</w:t>
      </w:r>
      <w:r w:rsidRPr="00DD7BD1">
        <w:rPr>
          <w:rFonts w:cs="Calibri"/>
          <w:color w:val="auto"/>
          <w:spacing w:val="-15"/>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returns</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PLO</w:t>
      </w:r>
      <w:r w:rsidRPr="00DD7BD1">
        <w:rPr>
          <w:rFonts w:cs="Calibri"/>
          <w:color w:val="auto"/>
          <w:spacing w:val="-15"/>
          <w:w w:val="110"/>
          <w:szCs w:val="22"/>
        </w:rPr>
        <w:t xml:space="preserve"> </w:t>
      </w:r>
      <w:r w:rsidRPr="00DD7BD1">
        <w:rPr>
          <w:rFonts w:cs="Calibri"/>
          <w:color w:val="auto"/>
          <w:w w:val="110"/>
          <w:szCs w:val="22"/>
        </w:rPr>
        <w:t>medical</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5"/>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require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certification</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 xml:space="preserve">the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healthcare</w:t>
      </w:r>
      <w:r w:rsidRPr="00DD7BD1">
        <w:rPr>
          <w:rFonts w:cs="Calibri"/>
          <w:color w:val="auto"/>
          <w:spacing w:val="40"/>
          <w:szCs w:val="22"/>
        </w:rPr>
        <w:t xml:space="preserve"> </w:t>
      </w:r>
      <w:r w:rsidRPr="00DD7BD1">
        <w:rPr>
          <w:rFonts w:cs="Calibri"/>
          <w:color w:val="auto"/>
          <w:szCs w:val="22"/>
        </w:rPr>
        <w:t>provider</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they’re</w:t>
      </w:r>
      <w:r w:rsidRPr="00DD7BD1">
        <w:rPr>
          <w:rFonts w:cs="Calibri"/>
          <w:color w:val="auto"/>
          <w:spacing w:val="40"/>
          <w:szCs w:val="22"/>
        </w:rPr>
        <w:t xml:space="preserve"> </w:t>
      </w:r>
      <w:r w:rsidRPr="00DD7BD1">
        <w:rPr>
          <w:rFonts w:cs="Calibri"/>
          <w:color w:val="auto"/>
          <w:szCs w:val="22"/>
        </w:rPr>
        <w:t>fit</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resume</w:t>
      </w:r>
      <w:r w:rsidRPr="00DD7BD1">
        <w:rPr>
          <w:rFonts w:cs="Calibri"/>
          <w:color w:val="auto"/>
          <w:spacing w:val="40"/>
          <w:szCs w:val="22"/>
        </w:rPr>
        <w:t xml:space="preserve"> </w:t>
      </w:r>
      <w:r w:rsidRPr="00DD7BD1">
        <w:rPr>
          <w:rFonts w:cs="Calibri"/>
          <w:color w:val="auto"/>
          <w:szCs w:val="22"/>
        </w:rPr>
        <w:t>work.</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require</w:t>
      </w:r>
      <w:r w:rsidRPr="00DD7BD1">
        <w:rPr>
          <w:rFonts w:cs="Calibri"/>
          <w:color w:val="auto"/>
          <w:spacing w:val="40"/>
          <w:szCs w:val="22"/>
        </w:rPr>
        <w:t xml:space="preserve"> </w:t>
      </w:r>
      <w:r w:rsidRPr="00DD7BD1">
        <w:rPr>
          <w:rFonts w:cs="Calibri"/>
          <w:color w:val="auto"/>
          <w:szCs w:val="22"/>
        </w:rPr>
        <w:t>certification</w:t>
      </w:r>
      <w:r w:rsidRPr="00DD7BD1">
        <w:rPr>
          <w:rFonts w:cs="Calibri"/>
          <w:color w:val="auto"/>
          <w:spacing w:val="40"/>
          <w:szCs w:val="22"/>
        </w:rPr>
        <w:t xml:space="preserve"> </w:t>
      </w:r>
      <w:r w:rsidRPr="00DD7BD1">
        <w:rPr>
          <w:rFonts w:cs="Calibri"/>
          <w:color w:val="auto"/>
          <w:szCs w:val="22"/>
        </w:rPr>
        <w:t xml:space="preserve">need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have</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uniform</w:t>
      </w:r>
      <w:r w:rsidRPr="00DD7BD1">
        <w:rPr>
          <w:rFonts w:cs="Calibri"/>
          <w:color w:val="auto"/>
          <w:spacing w:val="-8"/>
          <w:w w:val="110"/>
          <w:szCs w:val="22"/>
        </w:rPr>
        <w:t xml:space="preserve"> </w:t>
      </w:r>
      <w:r w:rsidRPr="00DD7BD1">
        <w:rPr>
          <w:rFonts w:cs="Calibri"/>
          <w:color w:val="auto"/>
          <w:w w:val="110"/>
          <w:szCs w:val="22"/>
        </w:rPr>
        <w:t>practice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requiring</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returning</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9"/>
          <w:w w:val="110"/>
          <w:szCs w:val="22"/>
        </w:rPr>
        <w:t xml:space="preserve"> </w:t>
      </w:r>
      <w:r w:rsidRPr="00DD7BD1">
        <w:rPr>
          <w:rFonts w:cs="Calibri"/>
          <w:color w:val="auto"/>
          <w:w w:val="110"/>
          <w:szCs w:val="22"/>
        </w:rPr>
        <w:t>you’d</w:t>
      </w:r>
      <w:r w:rsidRPr="00DD7BD1">
        <w:rPr>
          <w:rFonts w:cs="Calibri"/>
          <w:color w:val="auto"/>
          <w:spacing w:val="-5"/>
          <w:w w:val="110"/>
          <w:szCs w:val="22"/>
        </w:rPr>
        <w:t xml:space="preserve"> </w:t>
      </w:r>
      <w:r w:rsidRPr="00DD7BD1">
        <w:rPr>
          <w:rFonts w:cs="Calibri"/>
          <w:color w:val="auto"/>
          <w:w w:val="110"/>
          <w:szCs w:val="22"/>
        </w:rPr>
        <w:t>like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learn</w:t>
      </w:r>
      <w:r w:rsidRPr="00DD7BD1">
        <w:rPr>
          <w:rFonts w:cs="Calibri"/>
          <w:color w:val="auto"/>
          <w:spacing w:val="-8"/>
          <w:w w:val="110"/>
          <w:szCs w:val="22"/>
        </w:rPr>
        <w:t xml:space="preserve"> </w:t>
      </w:r>
      <w:r w:rsidRPr="00DD7BD1">
        <w:rPr>
          <w:rFonts w:cs="Calibri"/>
          <w:color w:val="auto"/>
          <w:w w:val="110"/>
          <w:szCs w:val="22"/>
        </w:rPr>
        <w:t>more,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has</w:t>
      </w:r>
      <w:r w:rsidRPr="00DD7BD1">
        <w:rPr>
          <w:rFonts w:cs="Calibri"/>
          <w:color w:val="auto"/>
          <w:spacing w:val="-5"/>
          <w:w w:val="110"/>
          <w:szCs w:val="22"/>
        </w:rPr>
        <w:t xml:space="preserve"> </w:t>
      </w:r>
      <w:r w:rsidRPr="00DD7BD1">
        <w:rPr>
          <w:rFonts w:cs="Calibri"/>
          <w:color w:val="auto"/>
          <w:w w:val="110"/>
          <w:szCs w:val="22"/>
        </w:rPr>
        <w:t xml:space="preserve">a comprehensive website dedicated to </w:t>
      </w:r>
      <w:hyperlink r:id="rId901">
        <w:r w:rsidRPr="00DD7BD1">
          <w:rPr>
            <w:rFonts w:cs="Calibri"/>
            <w:color w:val="0000FF"/>
            <w:w w:val="110"/>
            <w:szCs w:val="22"/>
            <w:u w:val="single" w:color="0000FF"/>
          </w:rPr>
          <w:t>Paid Leave Oregon</w:t>
        </w:r>
      </w:hyperlink>
      <w:r w:rsidRPr="00DD7BD1">
        <w:rPr>
          <w:rFonts w:cs="Calibri"/>
          <w:color w:val="C00000"/>
          <w:w w:val="110"/>
          <w:szCs w:val="22"/>
        </w:rPr>
        <w:t>.</w:t>
      </w:r>
    </w:p>
    <w:p w14:paraId="6BA122DE" w14:textId="77777777" w:rsidR="003D0CE0" w:rsidRPr="00DD7BD1" w:rsidRDefault="003D0CE0" w:rsidP="003D0CE0">
      <w:pPr>
        <w:pStyle w:val="Heading4"/>
        <w:spacing w:before="0"/>
        <w:ind w:right="-180"/>
        <w:rPr>
          <w:rFonts w:ascii="Calibri" w:hAnsi="Calibri" w:cs="Calibri"/>
          <w:sz w:val="16"/>
          <w:szCs w:val="16"/>
        </w:rPr>
      </w:pPr>
    </w:p>
    <w:p w14:paraId="1FC384D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Sick</w:t>
      </w:r>
      <w:r w:rsidRPr="00DD7BD1">
        <w:rPr>
          <w:rFonts w:ascii="Calibri" w:hAnsi="Calibri" w:cs="Calibri"/>
          <w:b/>
          <w:bCs/>
          <w:i w:val="0"/>
          <w:iCs w:val="0"/>
          <w:color w:val="auto"/>
          <w:spacing w:val="-8"/>
        </w:rPr>
        <w:t xml:space="preserve"> </w:t>
      </w:r>
      <w:r w:rsidRPr="00DD7BD1">
        <w:rPr>
          <w:rFonts w:ascii="Calibri" w:hAnsi="Calibri" w:cs="Calibri"/>
          <w:b/>
          <w:bCs/>
          <w:i w:val="0"/>
          <w:iCs w:val="0"/>
          <w:color w:val="auto"/>
          <w:spacing w:val="-2"/>
        </w:rPr>
        <w:t>Leave</w:t>
      </w:r>
    </w:p>
    <w:p w14:paraId="2ACC6FBF"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9"/>
          <w:w w:val="110"/>
          <w:szCs w:val="22"/>
        </w:rPr>
        <w:t xml:space="preserve"> </w:t>
      </w:r>
      <w:r w:rsidRPr="00DD7BD1">
        <w:rPr>
          <w:rFonts w:cs="Calibri"/>
          <w:color w:val="auto"/>
          <w:w w:val="110"/>
          <w:szCs w:val="22"/>
        </w:rPr>
        <w:t>sick</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i/>
          <w:color w:val="auto"/>
          <w:w w:val="110"/>
          <w:szCs w:val="22"/>
        </w:rPr>
        <w:t>any</w:t>
      </w:r>
      <w:r w:rsidRPr="00DD7BD1">
        <w:rPr>
          <w:rFonts w:cs="Calibri"/>
          <w:i/>
          <w:color w:val="auto"/>
          <w:spacing w:val="-11"/>
          <w:w w:val="110"/>
          <w:szCs w:val="22"/>
        </w:rPr>
        <w:t xml:space="preserve"> </w:t>
      </w:r>
      <w:r w:rsidRPr="00DD7BD1">
        <w:rPr>
          <w:rFonts w:cs="Calibri"/>
          <w:color w:val="auto"/>
          <w:w w:val="110"/>
          <w:szCs w:val="22"/>
        </w:rPr>
        <w:t>reason</w:t>
      </w:r>
      <w:r w:rsidRPr="00DD7BD1">
        <w:rPr>
          <w:rFonts w:cs="Calibri"/>
          <w:color w:val="auto"/>
          <w:spacing w:val="-12"/>
          <w:w w:val="110"/>
          <w:szCs w:val="22"/>
        </w:rPr>
        <w:t xml:space="preserve"> </w:t>
      </w:r>
      <w:r w:rsidRPr="00DD7BD1">
        <w:rPr>
          <w:rFonts w:cs="Calibri"/>
          <w:color w:val="auto"/>
          <w:w w:val="110"/>
          <w:szCs w:val="22"/>
        </w:rPr>
        <w:t>that’s</w:t>
      </w:r>
      <w:r w:rsidRPr="00DD7BD1">
        <w:rPr>
          <w:rFonts w:cs="Calibri"/>
          <w:color w:val="auto"/>
          <w:spacing w:val="-9"/>
          <w:w w:val="110"/>
          <w:szCs w:val="22"/>
        </w:rPr>
        <w:t xml:space="preserve"> </w:t>
      </w:r>
      <w:r w:rsidRPr="00DD7BD1">
        <w:rPr>
          <w:rFonts w:cs="Calibri"/>
          <w:color w:val="auto"/>
          <w:w w:val="110"/>
          <w:szCs w:val="22"/>
        </w:rPr>
        <w:t>covered</w:t>
      </w:r>
      <w:r w:rsidRPr="00DD7BD1">
        <w:rPr>
          <w:rFonts w:cs="Calibri"/>
          <w:color w:val="auto"/>
          <w:spacing w:val="-13"/>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spacing w:val="-4"/>
          <w:w w:val="110"/>
          <w:szCs w:val="22"/>
        </w:rPr>
        <w:t>PLO.</w:t>
      </w:r>
    </w:p>
    <w:p w14:paraId="7FE7AFF9" w14:textId="77777777" w:rsidR="003D0CE0" w:rsidRPr="00DD7BD1" w:rsidRDefault="003D0CE0" w:rsidP="003D0CE0">
      <w:pPr>
        <w:ind w:right="-180"/>
        <w:rPr>
          <w:rFonts w:ascii="Calibri" w:hAnsi="Calibri" w:cs="Calibri"/>
          <w:b/>
          <w:color w:val="000000"/>
          <w:sz w:val="16"/>
          <w:szCs w:val="16"/>
          <w:highlight w:val="lightGray"/>
        </w:rPr>
      </w:pPr>
    </w:p>
    <w:p w14:paraId="7656EF7F" w14:textId="77777777" w:rsidR="003D0CE0" w:rsidRPr="00DD7BD1" w:rsidRDefault="003D0CE0" w:rsidP="003D0CE0">
      <w:pPr>
        <w:spacing w:after="0" w:line="240" w:lineRule="auto"/>
        <w:ind w:right="-180"/>
        <w:rPr>
          <w:rFonts w:ascii="Calibri" w:hAnsi="Calibri" w:cs="Calibri"/>
        </w:rPr>
      </w:pPr>
      <w:r w:rsidRPr="00DD7BD1">
        <w:rPr>
          <w:rFonts w:ascii="Calibri" w:hAnsi="Calibri" w:cs="Calibri"/>
          <w:b/>
          <w:color w:val="000000"/>
          <w:highlight w:val="lightGray"/>
        </w:rPr>
        <w:t>Employer</w:t>
      </w:r>
      <w:r w:rsidRPr="00DD7BD1">
        <w:rPr>
          <w:rFonts w:ascii="Calibri" w:hAnsi="Calibri" w:cs="Calibri"/>
          <w:b/>
          <w:color w:val="000000"/>
          <w:spacing w:val="21"/>
          <w:highlight w:val="lightGray"/>
        </w:rPr>
        <w:t xml:space="preserve"> </w:t>
      </w:r>
      <w:r w:rsidRPr="00DD7BD1">
        <w:rPr>
          <w:rFonts w:ascii="Calibri" w:hAnsi="Calibri" w:cs="Calibri"/>
          <w:b/>
          <w:color w:val="000000"/>
          <w:highlight w:val="lightGray"/>
        </w:rPr>
        <w:t>Takeaway</w:t>
      </w:r>
      <w:r w:rsidRPr="00DD7BD1">
        <w:rPr>
          <w:rFonts w:ascii="Calibri" w:hAnsi="Calibri" w:cs="Calibri"/>
          <w:b/>
          <w:color w:val="000000"/>
        </w:rPr>
        <w:t>:</w:t>
      </w:r>
      <w:r w:rsidRPr="00DD7BD1">
        <w:rPr>
          <w:rFonts w:ascii="Calibri" w:hAnsi="Calibri" w:cs="Calibri"/>
          <w:b/>
          <w:color w:val="000000"/>
          <w:spacing w:val="25"/>
        </w:rPr>
        <w:t xml:space="preserve"> </w:t>
      </w:r>
      <w:r w:rsidRPr="00DD7BD1">
        <w:rPr>
          <w:rFonts w:ascii="Calibri" w:hAnsi="Calibri" w:cs="Calibri"/>
          <w:color w:val="000000"/>
        </w:rPr>
        <w:t>ETC’s</w:t>
      </w:r>
      <w:r w:rsidRPr="00DD7BD1">
        <w:rPr>
          <w:rFonts w:ascii="Calibri" w:hAnsi="Calibri" w:cs="Calibri"/>
          <w:color w:val="000000"/>
          <w:spacing w:val="24"/>
        </w:rPr>
        <w:t xml:space="preserve"> </w:t>
      </w:r>
      <w:r w:rsidRPr="00DD7BD1">
        <w:rPr>
          <w:rFonts w:ascii="Calibri" w:hAnsi="Calibri" w:cs="Calibri"/>
          <w:color w:val="000000"/>
        </w:rPr>
        <w:t>July</w:t>
      </w:r>
      <w:r w:rsidRPr="00DD7BD1">
        <w:rPr>
          <w:rFonts w:ascii="Calibri" w:hAnsi="Calibri" w:cs="Calibri"/>
          <w:color w:val="000000"/>
          <w:spacing w:val="22"/>
        </w:rPr>
        <w:t xml:space="preserve"> </w:t>
      </w:r>
      <w:r w:rsidRPr="00DD7BD1">
        <w:rPr>
          <w:rFonts w:ascii="Calibri" w:hAnsi="Calibri" w:cs="Calibri"/>
          <w:color w:val="000000"/>
        </w:rPr>
        <w:t>2025</w:t>
      </w:r>
      <w:r w:rsidRPr="00DD7BD1">
        <w:rPr>
          <w:rFonts w:ascii="Calibri" w:hAnsi="Calibri" w:cs="Calibri"/>
          <w:color w:val="000000"/>
          <w:spacing w:val="20"/>
        </w:rPr>
        <w:t xml:space="preserve"> </w:t>
      </w:r>
      <w:r w:rsidRPr="00DD7BD1">
        <w:rPr>
          <w:rFonts w:ascii="Calibri" w:hAnsi="Calibri" w:cs="Calibri"/>
          <w:color w:val="000000"/>
        </w:rPr>
        <w:t>OR</w:t>
      </w:r>
      <w:r w:rsidRPr="00DD7BD1">
        <w:rPr>
          <w:rFonts w:ascii="Calibri" w:hAnsi="Calibri" w:cs="Calibri"/>
          <w:color w:val="000000"/>
          <w:spacing w:val="21"/>
        </w:rPr>
        <w:t xml:space="preserve"> </w:t>
      </w:r>
      <w:r w:rsidRPr="00DD7BD1">
        <w:rPr>
          <w:rFonts w:ascii="Calibri" w:hAnsi="Calibri" w:cs="Calibri"/>
          <w:color w:val="000000"/>
        </w:rPr>
        <w:t>State</w:t>
      </w:r>
      <w:r w:rsidRPr="00DD7BD1">
        <w:rPr>
          <w:rFonts w:ascii="Calibri" w:hAnsi="Calibri" w:cs="Calibri"/>
          <w:color w:val="000000"/>
          <w:spacing w:val="20"/>
        </w:rPr>
        <w:t xml:space="preserve"> </w:t>
      </w:r>
      <w:r w:rsidRPr="00DD7BD1">
        <w:rPr>
          <w:rFonts w:ascii="Calibri" w:hAnsi="Calibri" w:cs="Calibri"/>
          <w:color w:val="000000"/>
        </w:rPr>
        <w:t>Handbook</w:t>
      </w:r>
      <w:r w:rsidRPr="00DD7BD1">
        <w:rPr>
          <w:rFonts w:ascii="Calibri" w:hAnsi="Calibri" w:cs="Calibri"/>
          <w:color w:val="000000"/>
          <w:spacing w:val="21"/>
        </w:rPr>
        <w:t xml:space="preserve"> </w:t>
      </w:r>
      <w:r w:rsidRPr="00DD7BD1">
        <w:rPr>
          <w:rFonts w:ascii="Calibri" w:hAnsi="Calibri" w:cs="Calibri"/>
          <w:color w:val="000000"/>
        </w:rPr>
        <w:t>Addendum</w:t>
      </w:r>
      <w:r w:rsidRPr="00DD7BD1">
        <w:rPr>
          <w:rFonts w:ascii="Calibri" w:hAnsi="Calibri" w:cs="Calibri"/>
          <w:color w:val="000000"/>
          <w:spacing w:val="22"/>
        </w:rPr>
        <w:t xml:space="preserve"> </w:t>
      </w:r>
      <w:r w:rsidRPr="00DD7BD1">
        <w:rPr>
          <w:rFonts w:ascii="Calibri" w:hAnsi="Calibri" w:cs="Calibri"/>
          <w:color w:val="000000"/>
        </w:rPr>
        <w:t>reflects</w:t>
      </w:r>
      <w:r w:rsidRPr="00DD7BD1">
        <w:rPr>
          <w:rFonts w:ascii="Calibri" w:hAnsi="Calibri" w:cs="Calibri"/>
          <w:color w:val="000000"/>
          <w:spacing w:val="32"/>
        </w:rPr>
        <w:t xml:space="preserve"> </w:t>
      </w:r>
      <w:r w:rsidRPr="00DD7BD1">
        <w:rPr>
          <w:rFonts w:ascii="Calibri" w:hAnsi="Calibri" w:cs="Calibri"/>
          <w:color w:val="000000"/>
          <w:spacing w:val="-2"/>
        </w:rPr>
        <w:t>changes.</w:t>
      </w:r>
    </w:p>
    <w:p w14:paraId="32EFBEC1" w14:textId="77777777" w:rsidR="003D0CE0" w:rsidRPr="00DD7BD1" w:rsidRDefault="003D0CE0" w:rsidP="003D0CE0">
      <w:pPr>
        <w:spacing w:after="0" w:line="240" w:lineRule="auto"/>
        <w:ind w:right="-180"/>
        <w:jc w:val="center"/>
        <w:rPr>
          <w:rFonts w:ascii="Calibri" w:hAnsi="Calibri" w:cs="Calibri"/>
          <w:b/>
          <w:sz w:val="28"/>
        </w:rPr>
      </w:pPr>
    </w:p>
    <w:p w14:paraId="4C15A0EA" w14:textId="77777777" w:rsidR="003D0CE0" w:rsidRPr="00DD7BD1" w:rsidRDefault="003D0CE0" w:rsidP="003D0CE0">
      <w:pPr>
        <w:ind w:right="-90"/>
        <w:jc w:val="center"/>
        <w:rPr>
          <w:rFonts w:ascii="Calibri" w:hAnsi="Calibri" w:cs="Calibri"/>
          <w:b/>
          <w:sz w:val="28"/>
        </w:rPr>
      </w:pPr>
      <w:r w:rsidRPr="00DD7BD1">
        <w:rPr>
          <w:rFonts w:ascii="Calibri" w:hAnsi="Calibri" w:cs="Calibri"/>
          <w:b/>
          <w:color w:val="C00000"/>
          <w:spacing w:val="-6"/>
          <w:sz w:val="28"/>
        </w:rPr>
        <w:t>Reminder:</w:t>
      </w:r>
      <w:r w:rsidRPr="00DD7BD1">
        <w:rPr>
          <w:rFonts w:ascii="Calibri" w:hAnsi="Calibri" w:cs="Calibri"/>
          <w:b/>
          <w:color w:val="C00000"/>
          <w:spacing w:val="-10"/>
          <w:sz w:val="28"/>
        </w:rPr>
        <w:t xml:space="preserve"> </w:t>
      </w: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Expands</w:t>
      </w:r>
      <w:r w:rsidRPr="00DD7BD1">
        <w:rPr>
          <w:rFonts w:ascii="Calibri" w:hAnsi="Calibri" w:cs="Calibri"/>
          <w:b/>
          <w:spacing w:val="-12"/>
          <w:sz w:val="28"/>
        </w:rPr>
        <w:t xml:space="preserve"> </w:t>
      </w:r>
      <w:r w:rsidRPr="00DD7BD1">
        <w:rPr>
          <w:rFonts w:ascii="Calibri" w:hAnsi="Calibri" w:cs="Calibri"/>
          <w:b/>
          <w:spacing w:val="-6"/>
          <w:sz w:val="28"/>
        </w:rPr>
        <w:t>Age</w:t>
      </w:r>
      <w:r w:rsidRPr="00DD7BD1">
        <w:rPr>
          <w:rFonts w:ascii="Calibri" w:hAnsi="Calibri" w:cs="Calibri"/>
          <w:b/>
          <w:spacing w:val="-10"/>
          <w:sz w:val="28"/>
        </w:rPr>
        <w:t xml:space="preserve"> </w:t>
      </w:r>
      <w:r w:rsidRPr="00DD7BD1">
        <w:rPr>
          <w:rFonts w:ascii="Calibri" w:hAnsi="Calibri" w:cs="Calibri"/>
          <w:b/>
          <w:spacing w:val="-6"/>
          <w:sz w:val="28"/>
        </w:rPr>
        <w:t>Discrimination</w:t>
      </w:r>
      <w:r w:rsidRPr="00DD7BD1">
        <w:rPr>
          <w:rFonts w:ascii="Calibri" w:hAnsi="Calibri" w:cs="Calibri"/>
          <w:b/>
          <w:spacing w:val="-9"/>
          <w:sz w:val="28"/>
        </w:rPr>
        <w:t xml:space="preserve"> </w:t>
      </w:r>
      <w:r w:rsidRPr="00DD7BD1">
        <w:rPr>
          <w:rFonts w:ascii="Calibri" w:hAnsi="Calibri" w:cs="Calibri"/>
          <w:b/>
          <w:spacing w:val="-6"/>
          <w:sz w:val="28"/>
        </w:rPr>
        <w:t>Protections</w:t>
      </w:r>
      <w:r w:rsidRPr="00DD7BD1">
        <w:rPr>
          <w:rFonts w:ascii="Calibri" w:hAnsi="Calibri" w:cs="Calibri"/>
          <w:b/>
          <w:spacing w:val="-9"/>
          <w:sz w:val="28"/>
        </w:rPr>
        <w:t xml:space="preserve"> </w:t>
      </w:r>
      <w:r w:rsidRPr="00DD7BD1">
        <w:rPr>
          <w:rFonts w:ascii="Calibri" w:hAnsi="Calibri" w:cs="Calibri"/>
          <w:b/>
          <w:spacing w:val="-6"/>
          <w:sz w:val="28"/>
        </w:rPr>
        <w:t>–</w:t>
      </w:r>
      <w:r w:rsidRPr="00DD7BD1">
        <w:rPr>
          <w:rFonts w:ascii="Calibri" w:hAnsi="Calibri" w:cs="Calibri"/>
          <w:b/>
          <w:spacing w:val="-9"/>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28,</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2025</w:t>
      </w:r>
    </w:p>
    <w:p w14:paraId="6F3E8232" w14:textId="7A49F434"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Oregon</w:t>
      </w:r>
      <w:r w:rsidRPr="00DD7BD1">
        <w:rPr>
          <w:rFonts w:cs="Calibri"/>
          <w:spacing w:val="-17"/>
          <w:w w:val="110"/>
          <w:szCs w:val="22"/>
        </w:rPr>
        <w:t xml:space="preserve"> </w:t>
      </w:r>
      <w:hyperlink r:id="rId902">
        <w:r w:rsidRPr="00DD7BD1">
          <w:rPr>
            <w:rFonts w:cs="Calibri"/>
            <w:color w:val="0000FF"/>
            <w:w w:val="110"/>
            <w:szCs w:val="22"/>
            <w:u w:val="single" w:color="0000FF"/>
          </w:rPr>
          <w:t>amended</w:t>
        </w:r>
      </w:hyperlink>
      <w:r w:rsidRPr="00DD7BD1">
        <w:rPr>
          <w:rFonts w:cs="Calibri"/>
          <w:color w:val="auto"/>
          <w:spacing w:val="-17"/>
          <w:w w:val="110"/>
          <w:szCs w:val="22"/>
        </w:rPr>
        <w:t xml:space="preserve"> </w:t>
      </w:r>
      <w:r w:rsidRPr="00DD7BD1">
        <w:rPr>
          <w:rFonts w:cs="Calibri"/>
          <w:color w:val="auto"/>
          <w:w w:val="110"/>
          <w:szCs w:val="22"/>
        </w:rPr>
        <w:t>its</w:t>
      </w:r>
      <w:r w:rsidRPr="00DD7BD1">
        <w:rPr>
          <w:rFonts w:cs="Calibri"/>
          <w:color w:val="auto"/>
          <w:spacing w:val="-17"/>
          <w:w w:val="110"/>
          <w:szCs w:val="22"/>
        </w:rPr>
        <w:t xml:space="preserve"> </w:t>
      </w:r>
      <w:r w:rsidRPr="00DD7BD1">
        <w:rPr>
          <w:rFonts w:cs="Calibri"/>
          <w:color w:val="auto"/>
          <w:w w:val="110"/>
          <w:szCs w:val="22"/>
        </w:rPr>
        <w:t>antidiscrimination</w:t>
      </w:r>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expand</w:t>
      </w:r>
      <w:r w:rsidRPr="00DD7BD1">
        <w:rPr>
          <w:rFonts w:cs="Calibri"/>
          <w:color w:val="auto"/>
          <w:spacing w:val="-17"/>
          <w:w w:val="110"/>
          <w:szCs w:val="22"/>
        </w:rPr>
        <w:t xml:space="preserve"> </w:t>
      </w:r>
      <w:r w:rsidRPr="00DD7BD1">
        <w:rPr>
          <w:rFonts w:cs="Calibri"/>
          <w:color w:val="auto"/>
          <w:w w:val="110"/>
          <w:szCs w:val="22"/>
        </w:rPr>
        <w:t>age</w:t>
      </w:r>
      <w:r w:rsidRPr="00DD7BD1">
        <w:rPr>
          <w:rFonts w:cs="Calibri"/>
          <w:color w:val="auto"/>
          <w:spacing w:val="-17"/>
          <w:w w:val="110"/>
          <w:szCs w:val="22"/>
        </w:rPr>
        <w:t xml:space="preserve"> </w:t>
      </w:r>
      <w:r w:rsidRPr="00DD7BD1">
        <w:rPr>
          <w:rFonts w:cs="Calibri"/>
          <w:color w:val="auto"/>
          <w:w w:val="110"/>
          <w:szCs w:val="22"/>
        </w:rPr>
        <w:t>discrimination</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prohibiting</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making</w:t>
      </w:r>
      <w:r w:rsidRPr="00DD7BD1">
        <w:rPr>
          <w:rFonts w:cs="Calibri"/>
          <w:color w:val="auto"/>
          <w:spacing w:val="-17"/>
          <w:w w:val="110"/>
          <w:szCs w:val="22"/>
        </w:rPr>
        <w:t xml:space="preserve"> </w:t>
      </w:r>
      <w:r w:rsidRPr="00DD7BD1">
        <w:rPr>
          <w:rFonts w:cs="Calibri"/>
          <w:color w:val="auto"/>
          <w:w w:val="110"/>
          <w:szCs w:val="22"/>
        </w:rPr>
        <w:t>age- related</w:t>
      </w:r>
      <w:r w:rsidRPr="00DD7BD1">
        <w:rPr>
          <w:rFonts w:cs="Calibri"/>
          <w:color w:val="auto"/>
          <w:spacing w:val="-9"/>
          <w:w w:val="110"/>
          <w:szCs w:val="22"/>
        </w:rPr>
        <w:t xml:space="preserve"> </w:t>
      </w:r>
      <w:r w:rsidRPr="00DD7BD1">
        <w:rPr>
          <w:rFonts w:cs="Calibri"/>
          <w:color w:val="auto"/>
          <w:w w:val="110"/>
          <w:szCs w:val="22"/>
        </w:rPr>
        <w:t>inquiries</w:t>
      </w:r>
      <w:r w:rsidRPr="00DD7BD1">
        <w:rPr>
          <w:rFonts w:cs="Calibri"/>
          <w:color w:val="auto"/>
          <w:spacing w:val="-8"/>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hiring</w:t>
      </w:r>
      <w:r w:rsidRPr="00DD7BD1">
        <w:rPr>
          <w:rFonts w:cs="Calibri"/>
          <w:color w:val="auto"/>
          <w:spacing w:val="-9"/>
          <w:w w:val="110"/>
          <w:szCs w:val="22"/>
        </w:rPr>
        <w:t xml:space="preserve"> </w:t>
      </w:r>
      <w:r w:rsidRPr="00DD7BD1">
        <w:rPr>
          <w:rFonts w:cs="Calibri"/>
          <w:color w:val="auto"/>
          <w:w w:val="110"/>
          <w:szCs w:val="22"/>
        </w:rPr>
        <w:t>process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restricting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age</w:t>
      </w:r>
      <w:r w:rsidRPr="00DD7BD1">
        <w:rPr>
          <w:rFonts w:cs="Calibri"/>
          <w:color w:val="auto"/>
          <w:spacing w:val="-9"/>
          <w:w w:val="110"/>
          <w:szCs w:val="22"/>
        </w:rPr>
        <w:t xml:space="preserve"> </w:t>
      </w:r>
      <w:r w:rsidRPr="00DD7BD1">
        <w:rPr>
          <w:rFonts w:cs="Calibri"/>
          <w:color w:val="auto"/>
          <w:w w:val="110"/>
          <w:szCs w:val="22"/>
        </w:rPr>
        <w:t>limits</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apprenticeships.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amended</w:t>
      </w:r>
      <w:r w:rsidRPr="00DD7BD1">
        <w:rPr>
          <w:rFonts w:cs="Calibri"/>
          <w:color w:val="auto"/>
          <w:spacing w:val="-9"/>
          <w:w w:val="110"/>
          <w:szCs w:val="22"/>
        </w:rPr>
        <w:t xml:space="preserve"> </w:t>
      </w:r>
      <w:r w:rsidRPr="00DD7BD1">
        <w:rPr>
          <w:rFonts w:cs="Calibri"/>
          <w:color w:val="auto"/>
          <w:w w:val="110"/>
          <w:szCs w:val="22"/>
        </w:rPr>
        <w:t>law takes effect on Sept. 28, 2025.</w:t>
      </w:r>
    </w:p>
    <w:p w14:paraId="31E6329A" w14:textId="77777777" w:rsidR="003D0CE0" w:rsidRPr="00DD7BD1" w:rsidRDefault="003D0CE0" w:rsidP="003D0CE0">
      <w:pPr>
        <w:pStyle w:val="BodyText"/>
        <w:spacing w:after="0" w:line="240" w:lineRule="auto"/>
        <w:ind w:right="-90"/>
        <w:jc w:val="left"/>
        <w:rPr>
          <w:rFonts w:cs="Calibri"/>
          <w:szCs w:val="22"/>
        </w:rPr>
      </w:pPr>
    </w:p>
    <w:p w14:paraId="27233AB3" w14:textId="394D8D9D"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96FD7CF" w14:textId="6CAF70BE"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26, 2025, Oregon </w:t>
      </w:r>
      <w:hyperlink r:id="rId903"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2B70979" w14:textId="77777777" w:rsidR="00406B06" w:rsidRPr="00DD7BD1" w:rsidRDefault="00406B06" w:rsidP="00406B06">
      <w:pPr>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2F348AA"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3A377634"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31FDC4E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Allowances, if any, claimed as part of minimum wage;</w:t>
      </w:r>
    </w:p>
    <w:p w14:paraId="6F769F1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6DFF5646" w14:textId="2C3C0046"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 payroll codes used for pay rates and deductions, along with a detailed description or definition of each code.</w:t>
      </w:r>
    </w:p>
    <w:p w14:paraId="7EB955F3" w14:textId="14E33D32" w:rsidR="00406B06" w:rsidRPr="00DD7BD1" w:rsidRDefault="00406B06" w:rsidP="00406B06">
      <w:pPr>
        <w:pStyle w:val="BodyText"/>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904"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51717201"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Expands Age Discrimination Protections – </w:t>
      </w:r>
      <w:r w:rsidRPr="00DD7BD1">
        <w:rPr>
          <w:rFonts w:ascii="Calibri" w:hAnsi="Calibri" w:cs="Calibri"/>
          <w:b/>
          <w:bCs/>
          <w:color w:val="C00000"/>
          <w:sz w:val="28"/>
          <w:szCs w:val="28"/>
          <w:shd w:val="clear" w:color="auto" w:fill="FFFFFF"/>
          <w:lang w:val="en"/>
        </w:rPr>
        <w:t>Eff Sept 28, 2025</w:t>
      </w:r>
    </w:p>
    <w:p w14:paraId="3214579A" w14:textId="63827230"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22, 2025, Oregon </w:t>
      </w:r>
      <w:hyperlink r:id="rId905"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antidiscrimination law to expand age discrimination by prohibiting employers from making age-related inquiries during the hiring process and restricting the use of age limits in apprenticeships. The amended law takes effect on Sept. 28, 2025.  Employers may wish to take this opportunity to ensure their current hiring practices to involve any age-related inquiries.</w:t>
      </w:r>
    </w:p>
    <w:p w14:paraId="2AFDA213"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Sick Leave for Blood Donation – </w:t>
      </w:r>
      <w:r w:rsidRPr="00DD7BD1">
        <w:rPr>
          <w:rFonts w:ascii="Calibri" w:hAnsi="Calibri" w:cs="Calibri"/>
          <w:b/>
          <w:bCs/>
          <w:color w:val="C00000"/>
          <w:sz w:val="28"/>
          <w:szCs w:val="28"/>
          <w:shd w:val="clear" w:color="auto" w:fill="FFFFFF"/>
          <w:lang w:val="en"/>
        </w:rPr>
        <w:t>Eff Jan 1, 2026</w:t>
      </w:r>
    </w:p>
    <w:p w14:paraId="07FA5E3B" w14:textId="12973B36" w:rsidR="00406B06" w:rsidRPr="00DD7BD1" w:rsidRDefault="00406B06" w:rsidP="00406B06">
      <w:pPr>
        <w:rPr>
          <w:rFonts w:ascii="Calibri" w:hAnsi="Calibri" w:cs="Calibri"/>
          <w:b/>
          <w:bCs/>
          <w:color w:val="C00000"/>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906"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and allows.  ETC will provide an updated State Handbook Addendum ahead of the effective date.</w:t>
      </w:r>
    </w:p>
    <w:p w14:paraId="21C97C90" w14:textId="7BDD9566"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w:t>
      </w:r>
      <w:r w:rsidRPr="00DD7BD1">
        <w:rPr>
          <w:rFonts w:ascii="Calibri" w:hAnsi="Calibri" w:cs="Calibri"/>
          <w:b/>
          <w:bCs/>
          <w:color w:val="C00000"/>
          <w:sz w:val="28"/>
          <w:szCs w:val="28"/>
          <w:shd w:val="clear" w:color="auto" w:fill="FFFFFF"/>
          <w:lang w:val="en"/>
        </w:rPr>
        <w:t>– Eff July 1, 2025</w:t>
      </w:r>
    </w:p>
    <w:p w14:paraId="49BC656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907" w:tgtFrame="_blank" w:history="1">
        <w:r w:rsidRPr="00DD7BD1">
          <w:rPr>
            <w:rStyle w:val="Hyperlink"/>
            <w:rFonts w:ascii="Calibri" w:hAnsi="Calibri" w:cs="Calibri"/>
            <w:shd w:val="clear" w:color="auto" w:fill="FFFFFF"/>
          </w:rPr>
          <w:t>BOLI’s website</w:t>
        </w:r>
      </w:hyperlink>
      <w:r w:rsidRPr="00DD7BD1">
        <w:rPr>
          <w:rFonts w:ascii="Calibri" w:hAnsi="Calibri" w:cs="Calibri"/>
          <w:color w:val="2E74B5" w:themeColor="accent5" w:themeShade="BF"/>
          <w:shd w:val="clear" w:color="auto" w:fill="FFFFFF"/>
        </w:rPr>
        <w:t>.</w:t>
      </w:r>
    </w:p>
    <w:p w14:paraId="6479BE0A" w14:textId="3C2A1FD7"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Updates Administrative Rules for Paid Leave – </w:t>
      </w:r>
      <w:r w:rsidRPr="00DD7BD1">
        <w:rPr>
          <w:rFonts w:ascii="Calibri" w:hAnsi="Calibri" w:cs="Calibri"/>
          <w:b/>
          <w:bCs/>
          <w:color w:val="C00000"/>
          <w:sz w:val="28"/>
          <w:szCs w:val="28"/>
          <w:shd w:val="clear" w:color="auto" w:fill="FFFFFF"/>
          <w:lang w:val="en"/>
        </w:rPr>
        <w:t>Jan 1, 2025</w:t>
      </w:r>
    </w:p>
    <w:p w14:paraId="2D7C809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Oregon’s updated administrative rules for Paid Leave Oregon took effect on January 1, 2025. </w:t>
      </w:r>
    </w:p>
    <w:p w14:paraId="1C5DFD78" w14:textId="77777777" w:rsidR="00BD445F" w:rsidRPr="00DD7BD1" w:rsidRDefault="00BD445F" w:rsidP="00BD445F">
      <w:pPr>
        <w:spacing w:after="0" w:line="240" w:lineRule="auto"/>
        <w:rPr>
          <w:rFonts w:ascii="Calibri" w:hAnsi="Calibri" w:cs="Calibri"/>
          <w:sz w:val="16"/>
          <w:szCs w:val="16"/>
          <w:shd w:val="clear" w:color="auto" w:fill="FFFFFF"/>
        </w:rPr>
      </w:pPr>
    </w:p>
    <w:p w14:paraId="5CD1AB8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These updates align with the 2024 law changes and include, but aren’t limited to, the following:</w:t>
      </w:r>
    </w:p>
    <w:p w14:paraId="72AF1A95"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Revised definitions for terms such as “care” and “child.”</w:t>
      </w:r>
    </w:p>
    <w:p w14:paraId="429BC894"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Added definitions for “foster care” and “pre-placement leave.”</w:t>
      </w:r>
    </w:p>
    <w:p w14:paraId="6D6AB8BE"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Pre-placement leave for adoption or foster care is limited to intermittent use only.</w:t>
      </w:r>
    </w:p>
    <w:p w14:paraId="323E4F34" w14:textId="77777777" w:rsidR="00BD445F" w:rsidRPr="00DD7BD1" w:rsidRDefault="00BD445F" w:rsidP="00BD445F">
      <w:pPr>
        <w:spacing w:after="0" w:line="240" w:lineRule="auto"/>
        <w:rPr>
          <w:rFonts w:ascii="Calibri" w:hAnsi="Calibri" w:cs="Calibri"/>
          <w:sz w:val="16"/>
          <w:szCs w:val="16"/>
          <w:shd w:val="clear" w:color="auto" w:fill="FFFFFF"/>
        </w:rPr>
      </w:pPr>
    </w:p>
    <w:p w14:paraId="73CAE560" w14:textId="2C6377EB" w:rsidR="00A83553" w:rsidRPr="00DD7BD1" w:rsidRDefault="00BD445F" w:rsidP="00AD4A8E">
      <w:pPr>
        <w:spacing w:after="0" w:line="240" w:lineRule="auto"/>
        <w:rPr>
          <w:rFonts w:ascii="Calibri" w:hAnsi="Calibri" w:cs="Calibri"/>
          <w:shd w:val="clear" w:color="auto" w:fill="FFFFFF"/>
        </w:rPr>
      </w:pPr>
      <w:r w:rsidRPr="00DD7BD1">
        <w:rPr>
          <w:rFonts w:ascii="Calibri" w:hAnsi="Calibri" w:cs="Calibri"/>
          <w:shd w:val="clear" w:color="auto" w:fill="FFFFFF"/>
        </w:rPr>
        <w:t>The Oregon Employment Department filed this </w:t>
      </w:r>
      <w:hyperlink r:id="rId908" w:tgtFrame="_blank" w:history="1">
        <w:r w:rsidRPr="00DD7BD1">
          <w:rPr>
            <w:rStyle w:val="Hyperlink"/>
            <w:rFonts w:ascii="Calibri" w:hAnsi="Calibri" w:cs="Calibri"/>
            <w:shd w:val="clear" w:color="auto" w:fill="FFFFFF"/>
          </w:rPr>
          <w:t>Permanent Administrative Order</w:t>
        </w:r>
      </w:hyperlink>
      <w:r w:rsidRPr="00DD7BD1">
        <w:rPr>
          <w:rFonts w:ascii="Calibri" w:hAnsi="Calibri" w:cs="Calibri"/>
          <w:shd w:val="clear" w:color="auto" w:fill="FFFFFF"/>
        </w:rPr>
        <w:t> on December 27, 2024.  The January 2025 State Handbook Addendum includes policy language edits to reflect needed changes.</w:t>
      </w:r>
    </w:p>
    <w:p w14:paraId="1202D865" w14:textId="77777777" w:rsidR="00A83553" w:rsidRPr="00DD7BD1" w:rsidRDefault="00A83553" w:rsidP="000B6BCC">
      <w:pPr>
        <w:spacing w:after="0" w:line="240" w:lineRule="auto"/>
        <w:jc w:val="center"/>
        <w:rPr>
          <w:rFonts w:ascii="Calibri" w:hAnsi="Calibri" w:cs="Calibri"/>
          <w:b/>
          <w:bCs/>
          <w:sz w:val="28"/>
          <w:szCs w:val="28"/>
          <w:shd w:val="clear" w:color="auto" w:fill="FFFFFF"/>
          <w:lang w:val="en"/>
        </w:rPr>
      </w:pPr>
    </w:p>
    <w:p w14:paraId="2F76E2C5" w14:textId="49CE7F9F" w:rsidR="000B6BCC" w:rsidRPr="00DD7BD1" w:rsidRDefault="000B6BCC" w:rsidP="000B6BC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35" w:name="_Hlk186728722"/>
      <w:r w:rsidRPr="00DD7BD1">
        <w:rPr>
          <w:rFonts w:ascii="Calibri" w:hAnsi="Calibri" w:cs="Calibri"/>
          <w:b/>
          <w:bCs/>
          <w:sz w:val="28"/>
          <w:szCs w:val="28"/>
          <w:shd w:val="clear" w:color="auto" w:fill="FFFFFF"/>
          <w:lang w:val="en"/>
        </w:rPr>
        <w:t xml:space="preserve">Paid Leave Oregon &amp; OFLA Leave Change - </w:t>
      </w:r>
      <w:r w:rsidRPr="00DD7BD1">
        <w:rPr>
          <w:rFonts w:ascii="Calibri" w:hAnsi="Calibri" w:cs="Calibri"/>
          <w:b/>
          <w:bCs/>
          <w:color w:val="C00000"/>
          <w:sz w:val="28"/>
          <w:szCs w:val="28"/>
          <w:shd w:val="clear" w:color="auto" w:fill="FFFFFF"/>
          <w:lang w:val="en"/>
        </w:rPr>
        <w:t>Jan 1, 2025</w:t>
      </w:r>
      <w:bookmarkEnd w:id="135"/>
    </w:p>
    <w:p w14:paraId="7EE67030" w14:textId="77777777" w:rsidR="000B6BCC" w:rsidRPr="00DD7BD1" w:rsidRDefault="000B6BCC" w:rsidP="000B6BCC">
      <w:pPr>
        <w:spacing w:after="0" w:line="240" w:lineRule="auto"/>
        <w:rPr>
          <w:rFonts w:ascii="Calibri" w:eastAsia="Times New Roman" w:hAnsi="Calibri" w:cs="Calibri"/>
          <w:szCs w:val="20"/>
        </w:rPr>
      </w:pPr>
      <w:r w:rsidRPr="00DD7BD1">
        <w:rPr>
          <w:rFonts w:ascii="Calibri" w:eastAsia="Times New Roman" w:hAnsi="Calibri" w:cs="Calibri"/>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  State Handbook Addendum verbiage changes forthcoming.</w:t>
      </w:r>
    </w:p>
    <w:p w14:paraId="75E0F6A5" w14:textId="77777777" w:rsidR="000B6BCC" w:rsidRPr="00DD7BD1" w:rsidRDefault="000B6BCC" w:rsidP="000B6BCC">
      <w:pPr>
        <w:spacing w:after="0" w:line="240" w:lineRule="auto"/>
        <w:rPr>
          <w:rFonts w:ascii="Calibri" w:eastAsia="Times New Roman" w:hAnsi="Calibri" w:cs="Calibri"/>
          <w:szCs w:val="20"/>
        </w:rPr>
      </w:pPr>
    </w:p>
    <w:p w14:paraId="0F308F2B" w14:textId="77777777"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lang w:val="en"/>
        </w:rPr>
      </w:pPr>
      <w:bookmarkStart w:id="136" w:name="_Hlk186728748"/>
      <w:r w:rsidRPr="00DD7BD1">
        <w:rPr>
          <w:rFonts w:ascii="Calibri" w:hAnsi="Calibri" w:cs="Calibri"/>
          <w:b/>
          <w:bCs/>
          <w:sz w:val="28"/>
          <w:szCs w:val="28"/>
          <w:shd w:val="clear" w:color="auto" w:fill="FFFFFF"/>
          <w:lang w:val="en"/>
        </w:rPr>
        <w:t xml:space="preserve">State Warehouse Quota Notification Requirements – </w:t>
      </w:r>
      <w:r w:rsidRPr="00DD7BD1">
        <w:rPr>
          <w:rFonts w:ascii="Calibri" w:hAnsi="Calibri" w:cs="Calibri"/>
          <w:b/>
          <w:bCs/>
          <w:color w:val="C00000"/>
          <w:sz w:val="28"/>
          <w:szCs w:val="28"/>
          <w:shd w:val="clear" w:color="auto" w:fill="FFFFFF"/>
          <w:lang w:val="en"/>
        </w:rPr>
        <w:t>Jan 1, 2025</w:t>
      </w:r>
    </w:p>
    <w:bookmarkEnd w:id="136"/>
    <w:p w14:paraId="54F1305F" w14:textId="77777777" w:rsidR="000B6BCC" w:rsidRPr="00DD7BD1" w:rsidRDefault="000B6BCC" w:rsidP="000B6BCC">
      <w:pPr>
        <w:pStyle w:val="BodyText"/>
        <w:rPr>
          <w:rFonts w:cs="Calibri"/>
          <w:color w:val="auto"/>
        </w:rPr>
      </w:pPr>
      <w:r w:rsidRPr="00DD7BD1">
        <w:rPr>
          <w:rFonts w:cs="Calibri"/>
          <w:color w:val="auto"/>
        </w:rPr>
        <w:t xml:space="preserve">Oregon enacted a new law </w:t>
      </w:r>
      <w:r w:rsidRPr="00DD7BD1">
        <w:rPr>
          <w:rFonts w:cs="Calibri"/>
        </w:rPr>
        <w:t>(</w:t>
      </w:r>
      <w:hyperlink r:id="rId909" w:history="1">
        <w:r w:rsidRPr="00DD7BD1">
          <w:rPr>
            <w:rStyle w:val="Hyperlink"/>
            <w:rFonts w:cs="Calibri"/>
          </w:rPr>
          <w:t>HB 4127</w:t>
        </w:r>
      </w:hyperlink>
      <w:r w:rsidRPr="00DD7BD1">
        <w:rPr>
          <w:rFonts w:cs="Calibri"/>
        </w:rPr>
        <w:t>)</w:t>
      </w:r>
      <w:r w:rsidRPr="00DD7BD1">
        <w:rPr>
          <w:rFonts w:cs="Calibri"/>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DD7BD1" w:rsidRDefault="000B6BCC" w:rsidP="000B6BCC">
      <w:pPr>
        <w:pStyle w:val="BodyText"/>
        <w:rPr>
          <w:rFonts w:cs="Calibri"/>
          <w:color w:val="auto"/>
        </w:rPr>
      </w:pPr>
      <w:r w:rsidRPr="00DD7BD1">
        <w:rPr>
          <w:rFonts w:cs="Calibri"/>
          <w:color w:val="auto"/>
        </w:rPr>
        <w:t>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MINIMUM WAGE INCREASES 7.1.24</w:t>
      </w:r>
      <w:r w:rsidRPr="00DD7BD1">
        <w:rPr>
          <w:rFonts w:ascii="Calibri" w:eastAsia="Times New Roman" w:hAnsi="Calibri" w:cs="Calibri"/>
        </w:rPr>
        <w:br/>
        <w:t>The hourly minimum wage in Oregon will increase as follows:</w:t>
      </w:r>
    </w:p>
    <w:p w14:paraId="6CFE8F73"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Portland Metro (within Portland’s Urban Growth Boundary): $15.95</w:t>
      </w:r>
    </w:p>
    <w:p w14:paraId="7CD218A6"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Nonurban Counties: $13.70</w:t>
      </w:r>
    </w:p>
    <w:p w14:paraId="23088B79"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(“Standard”) Counties: $14.70</w:t>
      </w:r>
    </w:p>
    <w:p w14:paraId="19DB5B7B" w14:textId="77777777" w:rsidR="004B7569" w:rsidRPr="00DD7BD1" w:rsidRDefault="004B7569" w:rsidP="004B7569">
      <w:pPr>
        <w:shd w:val="clear" w:color="auto" w:fill="FFFFFF"/>
        <w:spacing w:after="0" w:line="240" w:lineRule="auto"/>
        <w:ind w:left="945"/>
        <w:rPr>
          <w:rFonts w:ascii="Calibri" w:eastAsia="Times New Roman" w:hAnsi="Calibri" w:cs="Calibri"/>
          <w:sz w:val="16"/>
          <w:szCs w:val="16"/>
        </w:rPr>
      </w:pPr>
    </w:p>
    <w:p w14:paraId="0F512BD8" w14:textId="6AC3513C" w:rsidR="004B7569" w:rsidRPr="00DD7BD1" w:rsidRDefault="004B7569" w:rsidP="003B29FD">
      <w:pPr>
        <w:pStyle w:val="NormalWeb"/>
        <w:shd w:val="clear" w:color="auto" w:fill="FFFFFF"/>
        <w:spacing w:before="0" w:beforeAutospacing="0" w:after="0" w:afterAutospacing="0"/>
        <w:rPr>
          <w:rFonts w:ascii="Calibri" w:hAnsi="Calibri" w:cs="Calibri"/>
          <w:b/>
          <w:bCs/>
          <w:kern w:val="36"/>
          <w:sz w:val="28"/>
          <w:szCs w:val="28"/>
        </w:rPr>
      </w:pPr>
      <w:r w:rsidRPr="00DD7BD1">
        <w:rPr>
          <w:rFonts w:ascii="Calibri" w:hAnsi="Calibri" w:cs="Calibri"/>
          <w:b/>
          <w:bCs/>
          <w:kern w:val="36"/>
          <w:sz w:val="28"/>
          <w:szCs w:val="28"/>
        </w:rPr>
        <w:t>Predictive Scheduling Exceptions Broadened</w:t>
      </w:r>
      <w:r w:rsidRPr="00DD7BD1">
        <w:rPr>
          <w:rFonts w:ascii="Calibri" w:hAnsi="Calibri" w:cs="Calibri"/>
          <w:color w:val="282828"/>
        </w:rPr>
        <w:br/>
      </w:r>
      <w:r w:rsidRPr="00DD7BD1">
        <w:rPr>
          <w:rFonts w:ascii="Calibri" w:hAnsi="Calibri" w:cs="Calibri"/>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Takeaways</w:t>
      </w:r>
      <w:r w:rsidRPr="00DD7BD1">
        <w:rPr>
          <w:rStyle w:val="Strong"/>
          <w:rFonts w:ascii="Calibri" w:hAnsi="Calibri" w:cs="Calibri"/>
          <w:sz w:val="22"/>
          <w:szCs w:val="22"/>
        </w:rPr>
        <w:t xml:space="preserve">:  </w:t>
      </w:r>
      <w:r w:rsidRPr="00DD7BD1">
        <w:rPr>
          <w:rFonts w:ascii="Calibri" w:hAnsi="Calibri" w:cs="Calibri"/>
          <w:sz w:val="22"/>
          <w:szCs w:val="22"/>
        </w:rPr>
        <w:t>If this law applies to you and your policy includes exceptions to required pay, update it to include this scenario.</w:t>
      </w:r>
    </w:p>
    <w:p w14:paraId="3493134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0"/>
          <w:szCs w:val="20"/>
        </w:rPr>
      </w:pPr>
    </w:p>
    <w:p w14:paraId="4E831487" w14:textId="77777777" w:rsidR="004B7569" w:rsidRPr="00DD7BD1" w:rsidRDefault="004B7569" w:rsidP="004B7569">
      <w:pPr>
        <w:shd w:val="clear" w:color="auto" w:fill="FFFFFF"/>
        <w:spacing w:after="0" w:line="240" w:lineRule="auto"/>
        <w:jc w:val="center"/>
        <w:rPr>
          <w:rFonts w:ascii="Calibri" w:eastAsia="Times New Roman" w:hAnsi="Calibri" w:cs="Calibri"/>
          <w:color w:val="000000" w:themeColor="text1"/>
        </w:rPr>
      </w:pPr>
      <w:r w:rsidRPr="00DD7BD1">
        <w:rPr>
          <w:rFonts w:ascii="Calibri" w:eastAsia="Times New Roman" w:hAnsi="Calibri" w:cs="Calibri"/>
          <w:b/>
          <w:bCs/>
          <w:kern w:val="36"/>
          <w:sz w:val="28"/>
          <w:szCs w:val="28"/>
        </w:rPr>
        <w:t xml:space="preserve">Oregon Family Leave Act – </w:t>
      </w:r>
      <w:r w:rsidRPr="00DD7BD1">
        <w:rPr>
          <w:rFonts w:ascii="Calibri" w:eastAsia="Times New Roman" w:hAnsi="Calibri" w:cs="Calibri"/>
          <w:b/>
          <w:bCs/>
          <w:color w:val="C00000"/>
          <w:kern w:val="36"/>
          <w:sz w:val="28"/>
          <w:szCs w:val="28"/>
        </w:rPr>
        <w:t>July 1</w:t>
      </w:r>
    </w:p>
    <w:p w14:paraId="15B75E9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covered by the Oregon Family Leave Act (OFLA) (those with 25 or more employees in Oregon) should be aware of the following significant changes to the law.</w:t>
      </w:r>
    </w:p>
    <w:p w14:paraId="36B41DF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Forward-Looking Leave Year Required</w:t>
      </w:r>
      <w:r w:rsidRPr="00DD7BD1">
        <w:rPr>
          <w:rFonts w:ascii="Calibri" w:hAnsi="Calibri" w:cs="Calibri"/>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DD7BD1">
        <w:rPr>
          <w:rFonts w:ascii="Calibri" w:hAnsi="Calibri" w:cs="Calibri"/>
          <w:color w:val="C00000"/>
          <w:sz w:val="22"/>
          <w:szCs w:val="22"/>
        </w:rPr>
        <w:t>July 1</w:t>
      </w:r>
      <w:r w:rsidRPr="00DD7BD1">
        <w:rPr>
          <w:rFonts w:ascii="Calibri" w:hAnsi="Calibri" w:cs="Calibri"/>
          <w:color w:val="282828"/>
          <w:sz w:val="22"/>
          <w:szCs w:val="22"/>
        </w:rPr>
        <w:t>.</w:t>
      </w:r>
    </w:p>
    <w:p w14:paraId="36EDA00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Many Covered Reasons for Leave Eliminated</w:t>
      </w:r>
      <w:r w:rsidRPr="00DD7BD1">
        <w:rPr>
          <w:rFonts w:ascii="Calibri" w:hAnsi="Calibri" w:cs="Calibri"/>
          <w:sz w:val="22"/>
          <w:szCs w:val="22"/>
        </w:rPr>
        <w:br/>
        <w:t>OFLA’s covered reasons for leave will be significantly reduced to limit overlap with Paid Leave Oregon (PLO). OFLA will </w:t>
      </w:r>
      <w:r w:rsidRPr="00DD7BD1">
        <w:rPr>
          <w:rFonts w:ascii="Calibri" w:hAnsi="Calibri" w:cs="Calibri"/>
          <w:i/>
          <w:iCs/>
          <w:sz w:val="22"/>
          <w:szCs w:val="22"/>
        </w:rPr>
        <w:t>no longer cover</w:t>
      </w:r>
      <w:r w:rsidRPr="00DD7BD1">
        <w:rPr>
          <w:rFonts w:ascii="Calibri" w:hAnsi="Calibri" w:cs="Calibri"/>
          <w:sz w:val="22"/>
          <w:szCs w:val="22"/>
        </w:rPr>
        <w:t> the following reasons for leave:</w:t>
      </w:r>
    </w:p>
    <w:p w14:paraId="5520576C"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an infant or newly adopted or foster child</w:t>
      </w:r>
    </w:p>
    <w:p w14:paraId="54C6BD40"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 family member with a serious health condition (except for caring for a sick or injured child at home)</w:t>
      </w:r>
    </w:p>
    <w:p w14:paraId="6757131E"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recover from, or seek treatment for, the employee’s own serious health condition</w:t>
      </w:r>
    </w:p>
    <w:p w14:paraId="1285620F"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220F8C1A"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leave entitlement under OFLA will be limited to the following:</w:t>
      </w:r>
    </w:p>
    <w:p w14:paraId="497E933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four </w:t>
      </w:r>
      <w:r w:rsidRPr="00DD7BD1">
        <w:rPr>
          <w:rFonts w:ascii="Calibri" w:hAnsi="Calibri" w:cs="Calibri"/>
          <w:i/>
          <w:iCs/>
        </w:rPr>
        <w:t>total</w:t>
      </w:r>
      <w:r w:rsidRPr="00DD7BD1">
        <w:rPr>
          <w:rFonts w:ascii="Calibri" w:hAnsi="Calibri" w:cs="Calibri"/>
        </w:rPr>
        <w:t> weeks of leave per year for bereavement (employees are still allowed to take two weeks of leave for each death, but the total amount of leave has been reduced from 12 weeks to four weeks).</w:t>
      </w:r>
    </w:p>
    <w:p w14:paraId="45A3B200"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14 days per deployment under the Oregon Military Family Leave Act.</w:t>
      </w:r>
    </w:p>
    <w:p w14:paraId="2AF0987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Additionally, from</w:t>
      </w:r>
      <w:r w:rsidRPr="00DD7BD1">
        <w:rPr>
          <w:rFonts w:ascii="Calibri" w:hAnsi="Calibri" w:cs="Calibri"/>
          <w:color w:val="282828"/>
          <w:sz w:val="22"/>
          <w:szCs w:val="22"/>
        </w:rPr>
        <w:t xml:space="preserve"> </w:t>
      </w:r>
      <w:r w:rsidRPr="00DD7BD1">
        <w:rPr>
          <w:rFonts w:ascii="Calibri" w:hAnsi="Calibri" w:cs="Calibri"/>
          <w:color w:val="C00000"/>
          <w:sz w:val="22"/>
          <w:szCs w:val="22"/>
        </w:rPr>
        <w:t>July 1, 2024, through December 31, 2024</w:t>
      </w:r>
      <w:r w:rsidRPr="00DD7BD1">
        <w:rPr>
          <w:rFonts w:ascii="Calibri" w:hAnsi="Calibri" w:cs="Calibri"/>
          <w:color w:val="282828"/>
          <w:sz w:val="22"/>
          <w:szCs w:val="22"/>
        </w:rPr>
        <w:t xml:space="preserve">, </w:t>
      </w:r>
      <w:r w:rsidRPr="00DD7BD1">
        <w:rPr>
          <w:rFonts w:ascii="Calibri" w:hAnsi="Calibri" w:cs="Calibri"/>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DD7BD1">
        <w:rPr>
          <w:rFonts w:ascii="Calibri" w:hAnsi="Calibri" w:cs="Calibri"/>
          <w:color w:val="C00000"/>
          <w:sz w:val="22"/>
          <w:szCs w:val="22"/>
        </w:rPr>
        <w:t>January 1, 2025</w:t>
      </w:r>
      <w:r w:rsidRPr="00DD7BD1">
        <w:rPr>
          <w:rFonts w:ascii="Calibri" w:hAnsi="Calibri" w:cs="Calibri"/>
          <w:color w:val="282828"/>
          <w:sz w:val="22"/>
          <w:szCs w:val="22"/>
        </w:rPr>
        <w:t xml:space="preserve">, </w:t>
      </w:r>
      <w:r w:rsidRPr="00DD7BD1">
        <w:rPr>
          <w:rFonts w:ascii="Calibri" w:hAnsi="Calibri" w:cs="Calibri"/>
          <w:sz w:val="22"/>
          <w:szCs w:val="22"/>
        </w:rPr>
        <w:t>this will be covered under PLO.</w:t>
      </w:r>
    </w:p>
    <w:p w14:paraId="6B1519B0"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rPr>
        <w:t>Rescinding Previously Designated OFLA Leaves</w:t>
      </w:r>
      <w:r w:rsidRPr="00DD7BD1">
        <w:rPr>
          <w:rFonts w:ascii="Calibri" w:hAnsi="Calibri" w:cs="Calibri"/>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910" w:tgtFrame="_blank" w:history="1">
        <w:r w:rsidRPr="00DD7BD1">
          <w:rPr>
            <w:rStyle w:val="Hyperlink"/>
            <w:rFonts w:ascii="Calibri" w:eastAsiaTheme="minorHAnsi" w:hAnsi="Calibri" w:cs="Calibri"/>
            <w:sz w:val="22"/>
            <w:szCs w:val="22"/>
          </w:rPr>
          <w:t>model notice</w:t>
        </w:r>
      </w:hyperlink>
      <w:r w:rsidRPr="00DD7BD1">
        <w:rPr>
          <w:rFonts w:ascii="Calibri" w:hAnsi="Calibri" w:cs="Calibri"/>
          <w:color w:val="282828"/>
          <w:sz w:val="22"/>
          <w:szCs w:val="22"/>
        </w:rPr>
        <w:t> provided by the Oregon Employment Department for these communications. See the platform for more information or the recently updated</w:t>
      </w:r>
      <w:r w:rsidRPr="00DD7BD1">
        <w:rPr>
          <w:rStyle w:val="Hyperlink"/>
          <w:rFonts w:ascii="Calibri" w:eastAsiaTheme="minorHAnsi" w:hAnsi="Calibri" w:cs="Calibri"/>
        </w:rPr>
        <w:t> </w:t>
      </w:r>
      <w:hyperlink r:id="rId911" w:tgtFrame="_blank" w:history="1">
        <w:r w:rsidRPr="00DD7BD1">
          <w:rPr>
            <w:rStyle w:val="Hyperlink"/>
            <w:rFonts w:ascii="Calibri" w:eastAsiaTheme="minorHAnsi" w:hAnsi="Calibri" w:cs="Calibri"/>
            <w:sz w:val="22"/>
            <w:szCs w:val="22"/>
          </w:rPr>
          <w:t>BOLI page</w:t>
        </w:r>
      </w:hyperlink>
      <w:r w:rsidRPr="00DD7BD1">
        <w:rPr>
          <w:rFonts w:ascii="Calibri" w:hAnsi="Calibri" w:cs="Calibri"/>
          <w:color w:val="282828"/>
          <w:sz w:val="22"/>
          <w:szCs w:val="22"/>
        </w:rPr>
        <w:t> covering the changes.</w:t>
      </w:r>
    </w:p>
    <w:p w14:paraId="238771B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highlight w:val="lightGray"/>
        </w:rPr>
      </w:pPr>
      <w:r w:rsidRPr="00DD7BD1">
        <w:rPr>
          <w:rStyle w:val="Strong"/>
          <w:rFonts w:ascii="Calibri" w:hAnsi="Calibri" w:cs="Calibri"/>
          <w:color w:val="282828"/>
          <w:sz w:val="22"/>
          <w:szCs w:val="22"/>
        </w:rPr>
        <w:t>OFLA and PLO Won’t Run Concurrently</w:t>
      </w:r>
      <w:r w:rsidRPr="00DD7BD1">
        <w:rPr>
          <w:rFonts w:ascii="Calibri" w:hAnsi="Calibri" w:cs="Calibri"/>
          <w:color w:val="282828"/>
          <w:sz w:val="22"/>
          <w:szCs w:val="22"/>
        </w:rPr>
        <w:br/>
      </w:r>
      <w:r w:rsidRPr="00DD7BD1">
        <w:rPr>
          <w:rFonts w:ascii="Calibri" w:hAnsi="Calibri" w:cs="Calibri"/>
          <w:color w:val="282828"/>
          <w:sz w:val="22"/>
          <w:szCs w:val="22"/>
          <w:u w:val="single"/>
        </w:rPr>
        <w:t>OFLA and PLO will no longer run concurrently</w:t>
      </w:r>
      <w:r w:rsidRPr="00DD7BD1">
        <w:rPr>
          <w:rFonts w:ascii="Calibri" w:hAnsi="Calibri" w:cs="Calibri"/>
          <w:color w:val="282828"/>
          <w:sz w:val="22"/>
          <w:szCs w:val="22"/>
        </w:rPr>
        <w:t>. This means that any leave taken under one law will be </w:t>
      </w:r>
      <w:r w:rsidRPr="00DD7BD1">
        <w:rPr>
          <w:rFonts w:ascii="Calibri" w:hAnsi="Calibri" w:cs="Calibri"/>
          <w:i/>
          <w:iCs/>
          <w:color w:val="282828"/>
          <w:sz w:val="22"/>
          <w:szCs w:val="22"/>
        </w:rPr>
        <w:t>in addition to</w:t>
      </w:r>
      <w:r w:rsidRPr="00DD7BD1">
        <w:rPr>
          <w:rFonts w:ascii="Calibri" w:hAnsi="Calibri" w:cs="Calibri"/>
          <w:color w:val="282828"/>
          <w:sz w:val="22"/>
          <w:szCs w:val="22"/>
        </w:rPr>
        <w:t> any leave taken under the other.</w:t>
      </w:r>
    </w:p>
    <w:p w14:paraId="1E217DC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p>
    <w:p w14:paraId="05E2F30B"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Update your OFLA policies if still needed</w:t>
      </w:r>
    </w:p>
    <w:p w14:paraId="6E92A5DD"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Prepare for the new forward-looking OFLA leave year</w:t>
      </w:r>
    </w:p>
    <w:p w14:paraId="0AF20A52"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Provide necessary notices for leaves that will no longer be covered by OFLA</w:t>
      </w:r>
    </w:p>
    <w:p w14:paraId="0282A929"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69A0344D" w14:textId="48B134F8" w:rsidR="004B7569" w:rsidRPr="00DD7BD1" w:rsidRDefault="004B7569" w:rsidP="004B7569">
      <w:pPr>
        <w:pStyle w:val="NormalWeb"/>
        <w:shd w:val="clear" w:color="auto" w:fill="FFFFFF"/>
        <w:spacing w:before="0" w:beforeAutospacing="0" w:after="0" w:afterAutospacing="0"/>
        <w:jc w:val="center"/>
        <w:rPr>
          <w:rFonts w:ascii="Calibri" w:hAnsi="Calibri" w:cs="Calibri"/>
          <w:kern w:val="36"/>
          <w:sz w:val="28"/>
          <w:szCs w:val="28"/>
        </w:rPr>
      </w:pPr>
      <w:r w:rsidRPr="00DD7BD1">
        <w:rPr>
          <w:rFonts w:ascii="Calibri" w:hAnsi="Calibri" w:cs="Calibri"/>
          <w:b/>
          <w:bCs/>
          <w:kern w:val="36"/>
          <w:sz w:val="28"/>
          <w:szCs w:val="28"/>
        </w:rPr>
        <w:t>PLO &amp; Use of Accrued Paid Leave</w:t>
      </w:r>
    </w:p>
    <w:p w14:paraId="420366D6"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on PLO leave will be entitled to use any accrued paid leave in conjunction with PLO benefits, up to the amount that would result in full wage replacement. Employers will also have the</w:t>
      </w:r>
      <w:r w:rsidRPr="00DD7BD1">
        <w:rPr>
          <w:rFonts w:ascii="Calibri" w:hAnsi="Calibri" w:cs="Calibri"/>
          <w:i/>
          <w:iCs/>
          <w:sz w:val="22"/>
          <w:szCs w:val="22"/>
        </w:rPr>
        <w:t> option</w:t>
      </w:r>
      <w:r w:rsidRPr="00DD7BD1">
        <w:rPr>
          <w:rFonts w:ascii="Calibri" w:hAnsi="Calibri" w:cs="Calibri"/>
          <w:sz w:val="22"/>
          <w:szCs w:val="22"/>
        </w:rPr>
        <w:t> of allowing the use of accrued paid leave in an amount that would result in the employee getting </w:t>
      </w:r>
      <w:r w:rsidRPr="00DD7BD1">
        <w:rPr>
          <w:rFonts w:ascii="Calibri" w:hAnsi="Calibri" w:cs="Calibri"/>
          <w:i/>
          <w:iCs/>
          <w:sz w:val="22"/>
          <w:szCs w:val="22"/>
        </w:rPr>
        <w:t>more </w:t>
      </w:r>
      <w:r w:rsidRPr="00DD7BD1">
        <w:rPr>
          <w:rFonts w:ascii="Calibri" w:hAnsi="Calibri" w:cs="Calibri"/>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r w:rsidRPr="00DD7BD1">
        <w:rPr>
          <w:rStyle w:val="Strong"/>
          <w:rFonts w:ascii="Calibri" w:hAnsi="Calibri" w:cs="Calibri"/>
          <w:color w:val="282828"/>
          <w:sz w:val="22"/>
          <w:szCs w:val="22"/>
        </w:rPr>
        <w:t xml:space="preserve">:  </w:t>
      </w:r>
      <w:r w:rsidRPr="00DD7BD1">
        <w:rPr>
          <w:rFonts w:ascii="Calibri" w:hAnsi="Calibri" w:cs="Calibri"/>
          <w:sz w:val="22"/>
          <w:szCs w:val="22"/>
        </w:rPr>
        <w:t>Update your PLO policy to state that employees have the option to use any accrued paid leave they have available to make themselves whole and specify whether they will be permitted to use accrued paid leave to </w:t>
      </w:r>
      <w:r w:rsidRPr="00DD7BD1">
        <w:rPr>
          <w:rFonts w:ascii="Calibri" w:hAnsi="Calibri" w:cs="Calibri"/>
          <w:i/>
          <w:iCs/>
          <w:sz w:val="22"/>
          <w:szCs w:val="22"/>
        </w:rPr>
        <w:t>exceed</w:t>
      </w:r>
      <w:r w:rsidRPr="00DD7BD1">
        <w:rPr>
          <w:rFonts w:ascii="Calibri" w:hAnsi="Calibri" w:cs="Calibri"/>
          <w:sz w:val="22"/>
          <w:szCs w:val="22"/>
        </w:rPr>
        <w:t> full wage replacement.</w:t>
      </w:r>
    </w:p>
    <w:p w14:paraId="5CA7A2E8" w14:textId="77777777" w:rsidR="004B7569" w:rsidRPr="00DD7BD1" w:rsidRDefault="004B7569" w:rsidP="00837139">
      <w:pPr>
        <w:pStyle w:val="Heading1"/>
        <w:shd w:val="clear" w:color="auto" w:fill="FFFFFF"/>
        <w:spacing w:before="0" w:beforeAutospacing="0" w:after="0" w:afterAutospacing="0"/>
        <w:rPr>
          <w:rFonts w:ascii="Calibri" w:hAnsi="Calibri" w:cs="Calibri"/>
          <w:sz w:val="22"/>
          <w:szCs w:val="22"/>
          <w:shd w:val="clear" w:color="auto" w:fill="FFFFFF"/>
          <w:lang w:val="en"/>
        </w:rPr>
      </w:pPr>
    </w:p>
    <w:p w14:paraId="5D982658" w14:textId="0FDAEC4B" w:rsidR="00213EB3" w:rsidRPr="00DD7BD1" w:rsidRDefault="00213EB3" w:rsidP="00213EB3">
      <w:pPr>
        <w:pStyle w:val="Heading1"/>
        <w:shd w:val="clear" w:color="auto" w:fill="FFFFFF"/>
        <w:spacing w:before="0" w:beforeAutospacing="0" w:after="0" w:afterAutospacing="0"/>
        <w:jc w:val="center"/>
        <w:rPr>
          <w:rFonts w:ascii="Calibri" w:hAnsi="Calibri" w:cs="Calibri"/>
          <w:color w:val="C00000"/>
          <w:sz w:val="28"/>
          <w:szCs w:val="28"/>
          <w:shd w:val="clear" w:color="auto" w:fill="FFFFFF"/>
          <w:lang w:val="en"/>
        </w:rPr>
      </w:pPr>
      <w:r w:rsidRPr="00DD7BD1">
        <w:rPr>
          <w:rFonts w:ascii="Calibri" w:hAnsi="Calibri" w:cs="Calibri"/>
          <w:sz w:val="28"/>
          <w:szCs w:val="28"/>
          <w:shd w:val="clear" w:color="auto" w:fill="FFFFFF"/>
          <w:lang w:val="en"/>
        </w:rPr>
        <w:t xml:space="preserve">State’s </w:t>
      </w:r>
      <w:r w:rsidRPr="00DD7BD1">
        <w:rPr>
          <w:rStyle w:val="Strong"/>
          <w:rFonts w:ascii="Calibri" w:hAnsi="Calibri" w:cs="Calibri"/>
          <w:b/>
          <w:bCs/>
          <w:sz w:val="28"/>
          <w:szCs w:val="28"/>
        </w:rPr>
        <w:t>OFLA, PLO &amp; Sick Time Changes</w:t>
      </w:r>
    </w:p>
    <w:p w14:paraId="3103E9B8" w14:textId="77777777" w:rsidR="00213EB3" w:rsidRPr="00DD7BD1" w:rsidRDefault="00213EB3" w:rsidP="00213EB3">
      <w:pPr>
        <w:shd w:val="clear" w:color="auto" w:fill="FFFFFF"/>
        <w:spacing w:after="0" w:line="240" w:lineRule="auto"/>
        <w:rPr>
          <w:rFonts w:ascii="Calibri" w:eastAsia="Times New Roman" w:hAnsi="Calibri" w:cs="Calibri"/>
        </w:rPr>
      </w:pPr>
      <w:r w:rsidRPr="00DD7BD1">
        <w:rPr>
          <w:rFonts w:ascii="Calibri" w:hAnsi="Calibri" w:cs="Calibri"/>
          <w:b/>
          <w:bCs/>
          <w:u w:val="single"/>
        </w:rPr>
        <w:t>NOTE:</w:t>
      </w:r>
      <w:r w:rsidRPr="00DD7BD1">
        <w:rPr>
          <w:rFonts w:ascii="Calibri" w:eastAsia="Times New Roman" w:hAnsi="Calibri" w:cs="Calibri"/>
        </w:rPr>
        <w:t xml:space="preserve"> Under a temporary rule, Oregon employers have until </w:t>
      </w:r>
      <w:r w:rsidRPr="00DD7BD1">
        <w:rPr>
          <w:rFonts w:ascii="Calibri" w:eastAsia="Times New Roman" w:hAnsi="Calibri" w:cs="Calibri"/>
          <w:b/>
          <w:bCs/>
          <w:color w:val="C00000"/>
          <w:u w:val="single"/>
        </w:rPr>
        <w:t>June 1, 2024</w:t>
      </w:r>
      <w:r w:rsidRPr="00DD7BD1">
        <w:rPr>
          <w:rFonts w:ascii="Calibri" w:eastAsia="Times New Roman" w:hAnsi="Calibri" w:cs="Calibri"/>
        </w:rPr>
        <w:t xml:space="preserve">, to inform workers if their previously approved leave will not meet the requirements of the Oregon Family Leave Act (OFLA) as of July 1, 2024.  </w:t>
      </w:r>
      <w:r w:rsidRPr="00DD7BD1">
        <w:rPr>
          <w:rFonts w:ascii="Calibri" w:hAnsi="Calibri" w:cs="Calibri"/>
          <w:spacing w:val="3"/>
          <w:shd w:val="clear" w:color="auto" w:fill="FFFFFF"/>
        </w:rPr>
        <w:t xml:space="preserve">On March 20, 2024, Governor Tina Kotek signed into law Senate Bill 1515, which eliminated some qualifying reasons for leave under the Oregon Family Leave Act (OFLA) that overlapped with qualifying reasons for leave under Paid Leave Oregon, effective July 1, 2024.  </w:t>
      </w:r>
      <w:r w:rsidRPr="00DD7BD1">
        <w:rPr>
          <w:rFonts w:ascii="Calibri" w:hAnsi="Calibri" w:cs="Calibri"/>
          <w:color w:val="292929"/>
          <w:spacing w:val="3"/>
          <w:shd w:val="clear" w:color="auto" w:fill="FFFFFF"/>
        </w:rPr>
        <w:t xml:space="preserve">On </w:t>
      </w:r>
      <w:r w:rsidRPr="00DD7BD1">
        <w:rPr>
          <w:rFonts w:ascii="Calibri" w:hAnsi="Calibri" w:cs="Calibri"/>
          <w:b/>
          <w:bCs/>
          <w:color w:val="292929"/>
          <w:spacing w:val="3"/>
          <w:shd w:val="clear" w:color="auto" w:fill="FFFFFF"/>
        </w:rPr>
        <w:t>May 8, 2024</w:t>
      </w:r>
      <w:r w:rsidRPr="00DD7BD1">
        <w:rPr>
          <w:rFonts w:ascii="Calibri" w:hAnsi="Calibri" w:cs="Calibri"/>
          <w:color w:val="292929"/>
          <w:spacing w:val="3"/>
          <w:shd w:val="clear" w:color="auto" w:fill="FFFFFF"/>
        </w:rPr>
        <w:t>, the Oregon Bureau of Labor and Industries issued a </w:t>
      </w:r>
      <w:hyperlink r:id="rId912" w:history="1">
        <w:r w:rsidRPr="00DD7BD1">
          <w:rPr>
            <w:rStyle w:val="Hyperlink"/>
            <w:rFonts w:ascii="Calibri" w:hAnsi="Calibri" w:cs="Calibri"/>
          </w:rPr>
          <w:t>temporary administrative order</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to address the fact that some employers will have approved employees take OFLA leave for reasons that, as of July 1, 2024</w:t>
      </w:r>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will no longer qualify for OFLA leave but that will qualify for Paid Leave Oregon.</w:t>
      </w:r>
    </w:p>
    <w:p w14:paraId="7E29F2F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DD7BD1" w:rsidRDefault="00213EB3" w:rsidP="00213EB3">
      <w:pPr>
        <w:pStyle w:val="NormalWeb"/>
        <w:shd w:val="clear" w:color="auto" w:fill="FFFFFF"/>
        <w:spacing w:before="0" w:beforeAutospacing="0" w:after="0" w:afterAutospacing="0"/>
        <w:rPr>
          <w:rFonts w:ascii="Calibri" w:hAnsi="Calibri" w:cs="Calibri"/>
          <w:sz w:val="12"/>
          <w:szCs w:val="12"/>
        </w:rPr>
      </w:pPr>
    </w:p>
    <w:p w14:paraId="73B60B1A"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Definition of Family Member</w:t>
      </w:r>
    </w:p>
    <w:p w14:paraId="29D4D8E3"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definition of </w:t>
      </w:r>
      <w:r w:rsidRPr="00DD7BD1">
        <w:rPr>
          <w:rStyle w:val="Strong"/>
          <w:rFonts w:ascii="Calibri" w:hAnsi="Calibri" w:cs="Calibri"/>
          <w:i/>
          <w:iCs/>
          <w:sz w:val="22"/>
          <w:szCs w:val="22"/>
        </w:rPr>
        <w:t>family member</w:t>
      </w:r>
      <w:r w:rsidRPr="00DD7BD1">
        <w:rPr>
          <w:rFonts w:ascii="Calibri" w:hAnsi="Calibri" w:cs="Calibri"/>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37" w:name="_Hlk158020216"/>
      <w:r w:rsidRPr="00DD7BD1">
        <w:rPr>
          <w:rFonts w:ascii="Calibri" w:hAnsi="Calibri" w:cs="Calibri"/>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37"/>
    <w:p w14:paraId="65913A6E"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0F7B701F"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Leaves Run Concurrently</w:t>
      </w:r>
    </w:p>
    <w:p w14:paraId="0D8906CB"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OFLA must run concurrently with PLO—not in addition to it—when the leave reason qualifies under both laws.</w:t>
      </w:r>
    </w:p>
    <w:p w14:paraId="5CD64FB1"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24BC311D"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Mandatory Forward-Looking OFLA Benefit Year in 2024</w:t>
      </w:r>
    </w:p>
    <w:p w14:paraId="62B4EA0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on </w:t>
      </w:r>
      <w:r w:rsidRPr="00DD7BD1">
        <w:rPr>
          <w:rFonts w:ascii="Calibri" w:hAnsi="Calibri" w:cs="Calibri"/>
          <w:color w:val="C00000"/>
          <w:sz w:val="22"/>
          <w:szCs w:val="22"/>
        </w:rPr>
        <w:t xml:space="preserve">July 1, 2024, </w:t>
      </w:r>
      <w:r w:rsidRPr="00DD7BD1">
        <w:rPr>
          <w:rFonts w:ascii="Calibri" w:hAnsi="Calibri" w:cs="Calibri"/>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1AB70C6A"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Employer Action Items</w:t>
      </w:r>
    </w:p>
    <w:p w14:paraId="7B63EEAF"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Ensure that you are running OFLA concurrently with PLO when the absence qualifies for both types of leave</w:t>
      </w:r>
    </w:p>
    <w:p w14:paraId="03DE64B3"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 xml:space="preserve">Implement a forward-looking benefit year for OFLA by </w:t>
      </w:r>
      <w:r w:rsidRPr="00DD7BD1">
        <w:rPr>
          <w:rFonts w:ascii="Calibri" w:hAnsi="Calibri" w:cs="Calibri"/>
          <w:color w:val="C00000"/>
        </w:rPr>
        <w:t xml:space="preserve">July 1, 2024 </w:t>
      </w:r>
      <w:r w:rsidRPr="00DD7BD1">
        <w:rPr>
          <w:rFonts w:ascii="Calibri" w:hAnsi="Calibri" w:cs="Calibri"/>
        </w:rPr>
        <w:t>(if you don’t already use that method), and consider changing your FMLA benefit year to match</w:t>
      </w:r>
    </w:p>
    <w:p w14:paraId="05C9CC58" w14:textId="77777777" w:rsidR="00213EB3" w:rsidRPr="00DD7BD1" w:rsidRDefault="00213EB3" w:rsidP="00213EB3">
      <w:pPr>
        <w:pStyle w:val="Heading2"/>
        <w:shd w:val="clear" w:color="auto" w:fill="FFFFFF"/>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Resources:</w:t>
      </w:r>
    </w:p>
    <w:p w14:paraId="29B110FB"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13" w:anchor=":~:text=659A.150%20Definitions%20for%20ORS%20659A.150%20to%20659A.186." w:history="1">
        <w:r w:rsidRPr="00DD7BD1">
          <w:rPr>
            <w:rStyle w:val="Hyperlink"/>
            <w:rFonts w:ascii="Calibri" w:hAnsi="Calibri" w:cs="Calibri"/>
          </w:rPr>
          <w:t>Family Leave Act</w:t>
        </w:r>
      </w:hyperlink>
      <w:r w:rsidRPr="00DD7BD1">
        <w:rPr>
          <w:rFonts w:ascii="Calibri" w:hAnsi="Calibri" w:cs="Calibri"/>
        </w:rPr>
        <w:t xml:space="preserve"> (OFLA)</w:t>
      </w:r>
    </w:p>
    <w:p w14:paraId="08E52BD4"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14" w:history="1">
        <w:r w:rsidRPr="00DD7BD1">
          <w:rPr>
            <w:rStyle w:val="Hyperlink"/>
            <w:rFonts w:ascii="Calibri" w:hAnsi="Calibri" w:cs="Calibri"/>
          </w:rPr>
          <w:t>Paid Leave Oregon</w:t>
        </w:r>
      </w:hyperlink>
      <w:r w:rsidRPr="00DD7BD1">
        <w:rPr>
          <w:rFonts w:ascii="Calibri" w:hAnsi="Calibri" w:cs="Calibri"/>
        </w:rPr>
        <w:t xml:space="preserve"> (PLO)</w:t>
      </w:r>
    </w:p>
    <w:p w14:paraId="5ACF11CC"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15" w:history="1">
        <w:r w:rsidRPr="00DD7BD1">
          <w:rPr>
            <w:rStyle w:val="Hyperlink"/>
            <w:rFonts w:ascii="Calibri" w:hAnsi="Calibri" w:cs="Calibri"/>
          </w:rPr>
          <w:t>SB 1515</w:t>
        </w:r>
      </w:hyperlink>
    </w:p>
    <w:p w14:paraId="4DC01951" w14:textId="77777777" w:rsidR="00213EB3" w:rsidRPr="00DD7BD1" w:rsidRDefault="00213EB3" w:rsidP="00427CA7">
      <w:pPr>
        <w:pStyle w:val="NormalWeb"/>
        <w:shd w:val="clear" w:color="auto" w:fill="FFFFFF"/>
        <w:spacing w:before="0" w:beforeAutospacing="0" w:after="0" w:afterAutospacing="0"/>
        <w:jc w:val="center"/>
        <w:rPr>
          <w:rFonts w:ascii="Calibri" w:hAnsi="Calibri" w:cs="Calibri"/>
          <w:b/>
          <w:bCs/>
          <w:sz w:val="16"/>
          <w:szCs w:val="16"/>
          <w:shd w:val="clear" w:color="auto" w:fill="FFFFFF"/>
        </w:rPr>
      </w:pPr>
    </w:p>
    <w:p w14:paraId="6DE25DF0" w14:textId="6455E1B0" w:rsidR="00427CA7" w:rsidRPr="00DD7BD1" w:rsidRDefault="00427CA7" w:rsidP="00427CA7">
      <w:pPr>
        <w:pStyle w:val="NormalWeb"/>
        <w:shd w:val="clear" w:color="auto" w:fill="FFFFFF"/>
        <w:spacing w:before="0" w:beforeAutospacing="0" w:after="0" w:afterAutospacing="0"/>
        <w:jc w:val="center"/>
        <w:rPr>
          <w:rFonts w:ascii="Calibri" w:hAnsi="Calibri" w:cs="Calibri"/>
          <w:color w:val="282828"/>
          <w:sz w:val="54"/>
          <w:szCs w:val="54"/>
          <w:shd w:val="clear" w:color="auto" w:fill="FFFFFF"/>
        </w:rPr>
      </w:pPr>
      <w:r w:rsidRPr="00DD7BD1">
        <w:rPr>
          <w:rFonts w:ascii="Calibri" w:hAnsi="Calibri" w:cs="Calibri"/>
          <w:b/>
          <w:bCs/>
          <w:sz w:val="28"/>
          <w:szCs w:val="28"/>
          <w:shd w:val="clear" w:color="auto" w:fill="FFFFFF"/>
        </w:rPr>
        <w:t>Oregon Updates Leave Regulations</w:t>
      </w:r>
    </w:p>
    <w:p w14:paraId="203AB813"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February 29, 2024, Oregon finalized regulations affecting the Oregon Family Leave Act (OFLA) and the Sick Time law—(</w:t>
      </w:r>
      <w:hyperlink r:id="rId916" w:tgtFrame="_blank" w:history="1">
        <w:r w:rsidRPr="00DD7BD1">
          <w:rPr>
            <w:rStyle w:val="Hyperlink"/>
            <w:rFonts w:ascii="Calibri" w:hAnsi="Calibri" w:cs="Calibri"/>
            <w:color w:val="3052DA"/>
            <w:sz w:val="22"/>
            <w:szCs w:val="22"/>
          </w:rPr>
          <w:t>BLI 9-2024</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took effect just a few days later on </w:t>
      </w:r>
      <w:r w:rsidRPr="00DD7BD1">
        <w:rPr>
          <w:rFonts w:ascii="Calibri" w:hAnsi="Calibri" w:cs="Calibri"/>
          <w:color w:val="C00000"/>
          <w:sz w:val="22"/>
          <w:szCs w:val="22"/>
        </w:rPr>
        <w:t>March 2, 2024</w:t>
      </w:r>
      <w:r w:rsidRPr="00DD7BD1">
        <w:rPr>
          <w:rFonts w:ascii="Calibri" w:hAnsi="Calibri" w:cs="Calibri"/>
          <w:color w:val="282828"/>
          <w:sz w:val="22"/>
          <w:szCs w:val="22"/>
        </w:rPr>
        <w:t xml:space="preserve">. </w:t>
      </w:r>
      <w:r w:rsidRPr="00DD7BD1">
        <w:rPr>
          <w:rFonts w:ascii="Calibri" w:hAnsi="Calibri" w:cs="Calibri"/>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color w:val="282828"/>
          <w:sz w:val="12"/>
          <w:szCs w:val="12"/>
        </w:rPr>
      </w:pPr>
    </w:p>
    <w:p w14:paraId="32138587"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The updated regulations</w:t>
      </w:r>
      <w:r w:rsidRPr="00DD7BD1">
        <w:rPr>
          <w:rFonts w:ascii="Calibri" w:hAnsi="Calibri" w:cs="Calibri"/>
          <w:sz w:val="22"/>
          <w:szCs w:val="22"/>
        </w:rPr>
        <w:t>:</w:t>
      </w:r>
    </w:p>
    <w:p w14:paraId="31F6570C"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employers to require that employees document the existence of an “affinity” relationship when using sick leave or OFLA leave to care for or grieve a family member and provide sample language.</w:t>
      </w:r>
    </w:p>
    <w:p w14:paraId="52763A61"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Eliminate the requirement, under both laws, that a domestic partner (as a type of family member) be of the same sex as the employee.</w:t>
      </w:r>
    </w:p>
    <w:p w14:paraId="1CAA7EF8"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Require employers to count any hours of protected leave the employee has taken when calculating an employee’s average hours per week for OFLA eligibility purposes.</w:t>
      </w:r>
    </w:p>
    <w:p w14:paraId="53D5C0DE"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Expand OFLA’s definition of </w:t>
      </w:r>
      <w:r w:rsidRPr="00DD7BD1">
        <w:rPr>
          <w:rFonts w:ascii="Calibri" w:hAnsi="Calibri" w:cs="Calibri"/>
          <w:i/>
          <w:iCs/>
        </w:rPr>
        <w:t>serious health condition</w:t>
      </w:r>
      <w:r w:rsidRPr="00DD7BD1">
        <w:rPr>
          <w:rFonts w:ascii="Calibri" w:hAnsi="Calibri" w:cs="Calibri"/>
        </w:rPr>
        <w:t xml:space="preserve"> to include disability resulting from the </w:t>
      </w:r>
      <w:bookmarkStart w:id="138" w:name="_Hlk163136665"/>
      <w:r w:rsidRPr="00DD7BD1">
        <w:rPr>
          <w:rFonts w:ascii="Calibri" w:hAnsi="Calibri" w:cs="Calibri"/>
        </w:rPr>
        <w:t xml:space="preserve">termination of a pregnancy </w:t>
      </w:r>
      <w:bookmarkEnd w:id="138"/>
      <w:r w:rsidRPr="00DD7BD1">
        <w:rPr>
          <w:rFonts w:ascii="Calibri" w:hAnsi="Calibri" w:cs="Calibri"/>
        </w:rPr>
        <w:t xml:space="preserve">and </w:t>
      </w:r>
      <w:bookmarkStart w:id="139" w:name="_Hlk163136336"/>
      <w:r w:rsidRPr="00DD7BD1">
        <w:rPr>
          <w:rFonts w:ascii="Calibri" w:hAnsi="Calibri" w:cs="Calibri"/>
        </w:rPr>
        <w:t>absences due to fertility or infertility treatments (reasons employees can take pregnancy disability leave)</w:t>
      </w:r>
      <w:bookmarkEnd w:id="139"/>
      <w:r w:rsidRPr="00DD7BD1">
        <w:rPr>
          <w:rFonts w:ascii="Calibri" w:hAnsi="Calibri" w:cs="Calibri"/>
        </w:rPr>
        <w:t>.</w:t>
      </w:r>
    </w:p>
    <w:p w14:paraId="4A54D725"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employees who qualify for leave under both OFLA and Paid Leave Oregon (PLO) to use any available paid time off during that dual-coverage leave.</w:t>
      </w:r>
    </w:p>
    <w:p w14:paraId="33CE7FC2"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Require employers that transition to a rolling-forward, one-year period to provide all eligible employees with a new, full leave bank at the beginning of the new OFLA leave year.</w:t>
      </w:r>
    </w:p>
    <w:p w14:paraId="1407FCBD"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Clarify that when an employer receives notice (from any source) that an employee has applied for PLO, they have sufficient information to temporarily designate the absence as OFLA leave.</w:t>
      </w:r>
    </w:p>
    <w:p w14:paraId="1177882C" w14:textId="77777777" w:rsidR="00427CA7" w:rsidRPr="00DD7BD1" w:rsidRDefault="00427CA7" w:rsidP="00427CA7">
      <w:pPr>
        <w:pStyle w:val="Heading1"/>
        <w:shd w:val="clear" w:color="auto" w:fill="FFFFFF"/>
        <w:spacing w:before="0" w:beforeAutospacing="0" w:after="0" w:afterAutospacing="0"/>
        <w:rPr>
          <w:rFonts w:ascii="Calibri" w:hAnsi="Calibri" w:cs="Calibri"/>
          <w:sz w:val="16"/>
          <w:szCs w:val="16"/>
          <w:highlight w:val="lightGray"/>
        </w:rPr>
      </w:pPr>
    </w:p>
    <w:p w14:paraId="31AFCB97" w14:textId="77777777" w:rsidR="00427CA7" w:rsidRPr="00DD7BD1" w:rsidRDefault="00427CA7" w:rsidP="00427CA7">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Update your leave policies to include these details if they are topics you have covered within those policies</w:t>
      </w:r>
    </w:p>
    <w:p w14:paraId="5BE7FD04" w14:textId="77777777" w:rsidR="00427CA7" w:rsidRPr="00DD7BD1" w:rsidRDefault="00427CA7" w:rsidP="00022BF0">
      <w:pPr>
        <w:pStyle w:val="NormalWeb"/>
        <w:shd w:val="clear" w:color="auto" w:fill="FFFFFF"/>
        <w:spacing w:before="0" w:beforeAutospacing="0" w:after="0" w:afterAutospacing="0"/>
        <w:jc w:val="both"/>
        <w:rPr>
          <w:rFonts w:ascii="Calibri" w:hAnsi="Calibri" w:cs="Calibri"/>
          <w:spacing w:val="3"/>
          <w:sz w:val="16"/>
          <w:szCs w:val="16"/>
        </w:rPr>
      </w:pPr>
    </w:p>
    <w:p w14:paraId="5547B8D3" w14:textId="77777777" w:rsidR="00837139" w:rsidRPr="00DD7BD1" w:rsidRDefault="00837139" w:rsidP="0083713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Pennsylvania</w:t>
      </w:r>
    </w:p>
    <w:p w14:paraId="077269A3" w14:textId="77777777" w:rsidR="008B508A" w:rsidRPr="00DD7BD1" w:rsidRDefault="008B508A" w:rsidP="008B508A">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Reminder:</w:t>
      </w: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Criminal History Protections – Eff </w:t>
      </w:r>
      <w:r w:rsidRPr="00DD7BD1">
        <w:rPr>
          <w:rFonts w:ascii="Calibri" w:hAnsi="Calibri" w:cs="Calibri"/>
          <w:b/>
          <w:bCs/>
          <w:color w:val="C00000"/>
          <w:sz w:val="28"/>
          <w:szCs w:val="28"/>
          <w:shd w:val="clear" w:color="auto" w:fill="FFFFFF"/>
          <w:lang w:val="en"/>
        </w:rPr>
        <w:t>Jan 6, 2026</w:t>
      </w:r>
    </w:p>
    <w:p w14:paraId="086B0885" w14:textId="05198407" w:rsidR="00625397" w:rsidRPr="00DD7BD1" w:rsidRDefault="00A03ECA" w:rsidP="001940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Reminder:</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u w:val="single"/>
          <w:shd w:val="clear" w:color="auto" w:fill="FFFFFF"/>
        </w:rPr>
        <w:t>Pittsburg</w:t>
      </w:r>
      <w:r w:rsidRPr="00DD7BD1">
        <w:rPr>
          <w:rFonts w:ascii="Calibri" w:hAnsi="Calibri" w:cs="Calibri"/>
          <w:b/>
          <w:bCs/>
          <w:sz w:val="28"/>
          <w:szCs w:val="28"/>
          <w:shd w:val="clear" w:color="auto" w:fill="FFFFFF"/>
        </w:rPr>
        <w:t xml:space="preserve">’s Amended Paid Sick Leave Updates in Effect – </w:t>
      </w:r>
      <w:r w:rsidRPr="00DD7BD1">
        <w:rPr>
          <w:rFonts w:ascii="Calibri" w:hAnsi="Calibri" w:cs="Calibri"/>
          <w:b/>
          <w:bCs/>
          <w:color w:val="C00000"/>
          <w:sz w:val="28"/>
          <w:szCs w:val="28"/>
          <w:shd w:val="clear" w:color="auto" w:fill="FFFFFF"/>
        </w:rPr>
        <w:t>Jan 1, 2026</w:t>
      </w:r>
    </w:p>
    <w:p w14:paraId="78C480B4" w14:textId="77777777" w:rsidR="00A03ECA" w:rsidRPr="00DD7BD1" w:rsidRDefault="00A03ECA" w:rsidP="001940D8">
      <w:pPr>
        <w:spacing w:after="0" w:line="240" w:lineRule="auto"/>
        <w:jc w:val="center"/>
        <w:rPr>
          <w:rFonts w:ascii="Calibri" w:hAnsi="Calibri" w:cs="Calibri"/>
          <w:b/>
          <w:bCs/>
          <w:shd w:val="clear" w:color="auto" w:fill="FFFFFF"/>
          <w:lang w:val="en"/>
        </w:rPr>
      </w:pPr>
    </w:p>
    <w:p w14:paraId="3C25DA8B" w14:textId="1BFE5E0E" w:rsidR="001940D8" w:rsidRPr="00DD7BD1" w:rsidRDefault="001940D8" w:rsidP="001940D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Amends “Crown Act” Regulations /Expanded Protections for Race &amp; Religion –</w:t>
      </w:r>
      <w:r w:rsidRPr="00DD7BD1">
        <w:rPr>
          <w:rFonts w:ascii="Calibri" w:hAnsi="Calibri" w:cs="Calibri"/>
          <w:b/>
          <w:bCs/>
          <w:color w:val="C00000"/>
          <w:sz w:val="28"/>
          <w:szCs w:val="28"/>
          <w:shd w:val="clear" w:color="auto" w:fill="FFFFFF"/>
          <w:lang w:val="en"/>
        </w:rPr>
        <w:t xml:space="preserve"> Eff Jan 24, 2026</w:t>
      </w:r>
    </w:p>
    <w:p w14:paraId="133DC7B0" w14:textId="77777777" w:rsidR="001940D8" w:rsidRPr="00DD7BD1" w:rsidRDefault="001940D8" w:rsidP="001940D8">
      <w:pPr>
        <w:spacing w:after="0" w:line="240" w:lineRule="auto"/>
        <w:jc w:val="both"/>
        <w:rPr>
          <w:rFonts w:ascii="Calibri" w:hAnsi="Calibri" w:cs="Calibri"/>
        </w:rPr>
      </w:pPr>
      <w:r w:rsidRPr="00DD7BD1">
        <w:rPr>
          <w:rFonts w:ascii="Calibri" w:hAnsi="Calibri" w:cs="Calibri"/>
        </w:rPr>
        <w:t xml:space="preserve">On Nov. 25, 2025, Pennsylvania </w:t>
      </w:r>
      <w:hyperlink r:id="rId917" w:history="1">
        <w:r w:rsidRPr="00DD7BD1">
          <w:rPr>
            <w:rStyle w:val="Hyperlink"/>
            <w:rFonts w:ascii="Calibri" w:hAnsi="Calibri" w:cs="Calibri"/>
          </w:rPr>
          <w:t>amended</w:t>
        </w:r>
      </w:hyperlink>
      <w:r w:rsidRPr="00DD7BD1">
        <w:rPr>
          <w:rFonts w:ascii="Calibri" w:hAnsi="Calibri" w:cs="Calibri"/>
        </w:rPr>
        <w:t xml:space="preserve"> the Pennsylvania Human Relations Act (PHRA) to prohibit employers from discriminating against individuals on the basis of</w:t>
      </w:r>
      <w:r w:rsidRPr="00DD7BD1">
        <w:rPr>
          <w:rFonts w:ascii="Calibri" w:hAnsi="Calibri" w:cs="Calibri"/>
          <w:u w:val="single"/>
        </w:rPr>
        <w:t xml:space="preserve"> traits historically associated with race or religious creed</w:t>
      </w:r>
      <w:r w:rsidRPr="00DD7BD1">
        <w:rPr>
          <w:rFonts w:ascii="Calibri" w:hAnsi="Calibri" w:cs="Calibri"/>
        </w:rPr>
        <w:t xml:space="preserve">, such as </w:t>
      </w:r>
      <w:r w:rsidRPr="00DD7BD1">
        <w:rPr>
          <w:rFonts w:ascii="Calibri" w:hAnsi="Calibri" w:cs="Calibri"/>
          <w:u w:val="single"/>
        </w:rPr>
        <w:t>hairstyles and head coverings</w:t>
      </w:r>
      <w:r w:rsidRPr="00DD7BD1">
        <w:rPr>
          <w:rFonts w:ascii="Calibri" w:hAnsi="Calibri" w:cs="Calibri"/>
        </w:rPr>
        <w:t xml:space="preserve">. The amendment takes effect on </w:t>
      </w:r>
      <w:r w:rsidRPr="00DD7BD1">
        <w:rPr>
          <w:rFonts w:ascii="Calibri" w:hAnsi="Calibri" w:cs="Calibri"/>
          <w:b/>
          <w:bCs/>
        </w:rPr>
        <w:t>Jan. 24, 2026</w:t>
      </w:r>
      <w:r w:rsidRPr="00DD7BD1">
        <w:rPr>
          <w:rFonts w:ascii="Calibri" w:hAnsi="Calibri" w:cs="Calibri"/>
        </w:rPr>
        <w:t>.</w:t>
      </w:r>
    </w:p>
    <w:p w14:paraId="44225F76" w14:textId="77777777" w:rsidR="001940D8" w:rsidRPr="00DD7BD1" w:rsidRDefault="001940D8" w:rsidP="001940D8">
      <w:pPr>
        <w:pStyle w:val="Heading2"/>
        <w:spacing w:before="0" w:line="240" w:lineRule="auto"/>
        <w:rPr>
          <w:rFonts w:ascii="Calibri" w:hAnsi="Calibri" w:cs="Calibri"/>
          <w:sz w:val="16"/>
          <w:szCs w:val="16"/>
        </w:rPr>
      </w:pPr>
    </w:p>
    <w:p w14:paraId="75B5185E" w14:textId="77777777" w:rsidR="001940D8" w:rsidRPr="00DD7BD1" w:rsidRDefault="001940D8" w:rsidP="001940D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Amendment Overview</w:t>
      </w:r>
    </w:p>
    <w:p w14:paraId="3F74BA92" w14:textId="77777777" w:rsidR="001940D8" w:rsidRPr="00DD7BD1" w:rsidRDefault="001940D8" w:rsidP="001940D8">
      <w:pPr>
        <w:spacing w:after="0" w:line="240" w:lineRule="auto"/>
        <w:rPr>
          <w:rFonts w:ascii="Calibri" w:hAnsi="Calibri" w:cs="Calibri"/>
        </w:rPr>
      </w:pPr>
      <w:r w:rsidRPr="00DD7BD1">
        <w:rPr>
          <w:rFonts w:ascii="Calibri" w:hAnsi="Calibri" w:cs="Calibri"/>
        </w:rPr>
        <w:t xml:space="preserve">The PHRA prohibits employers with </w:t>
      </w:r>
      <w:r w:rsidRPr="00DD7BD1">
        <w:rPr>
          <w:rFonts w:ascii="Calibri" w:hAnsi="Calibri" w:cs="Calibri"/>
          <w:b/>
          <w:bCs/>
        </w:rPr>
        <w:t xml:space="preserve">4 or more employees </w:t>
      </w:r>
      <w:r w:rsidRPr="00DD7BD1">
        <w:rPr>
          <w:rFonts w:ascii="Calibri" w:hAnsi="Calibri" w:cs="Calibri"/>
        </w:rPr>
        <w:t xml:space="preserve">from refusing to hire, discharging or discriminating against an individual with respect to terms and conditions of employment on the basis of a protected trait (including race and religious creed). </w:t>
      </w:r>
    </w:p>
    <w:p w14:paraId="7C264695" w14:textId="77777777" w:rsidR="001940D8" w:rsidRPr="00DD7BD1" w:rsidRDefault="001940D8" w:rsidP="001940D8">
      <w:pPr>
        <w:spacing w:after="0" w:line="240" w:lineRule="auto"/>
        <w:rPr>
          <w:rFonts w:ascii="Calibri" w:hAnsi="Calibri" w:cs="Calibri"/>
          <w:sz w:val="16"/>
          <w:szCs w:val="16"/>
        </w:rPr>
      </w:pPr>
    </w:p>
    <w:p w14:paraId="636EB046" w14:textId="77777777" w:rsidR="001940D8" w:rsidRPr="00DD7BD1" w:rsidRDefault="001940D8" w:rsidP="001940D8">
      <w:pPr>
        <w:spacing w:after="0" w:line="240" w:lineRule="auto"/>
        <w:rPr>
          <w:rFonts w:ascii="Calibri" w:hAnsi="Calibri" w:cs="Calibri"/>
        </w:rPr>
      </w:pPr>
      <w:r w:rsidRPr="00DD7BD1">
        <w:rPr>
          <w:rFonts w:ascii="Calibri" w:hAnsi="Calibri" w:cs="Calibri"/>
        </w:rPr>
        <w:t>The amendment expands the definition of “</w:t>
      </w:r>
      <w:r w:rsidRPr="00DD7BD1">
        <w:rPr>
          <w:rFonts w:ascii="Calibri" w:hAnsi="Calibri" w:cs="Calibri"/>
          <w:b/>
          <w:bCs/>
        </w:rPr>
        <w:t>race</w:t>
      </w:r>
      <w:r w:rsidRPr="00DD7BD1">
        <w:rPr>
          <w:rFonts w:ascii="Calibri" w:hAnsi="Calibri" w:cs="Calibri"/>
        </w:rPr>
        <w:t>” to include traits historically associated with race, including but not limited to hair texture and protected hairstyles (e.g., locs, braids, twists, coils, Bantu knots, afros and extensions). The amendment also expands the definition of “</w:t>
      </w:r>
      <w:r w:rsidRPr="00DD7BD1">
        <w:rPr>
          <w:rFonts w:ascii="Calibri" w:hAnsi="Calibri" w:cs="Calibri"/>
          <w:b/>
          <w:bCs/>
        </w:rPr>
        <w:t>religious creed</w:t>
      </w:r>
      <w:r w:rsidRPr="00DD7BD1">
        <w:rPr>
          <w:rFonts w:ascii="Calibri" w:hAnsi="Calibri" w:cs="Calibri"/>
        </w:rPr>
        <w:t xml:space="preserve">” to include head coverings and hairstyles historically associated with religious creeds. </w:t>
      </w:r>
    </w:p>
    <w:p w14:paraId="286D47DF" w14:textId="77777777" w:rsidR="001940D8" w:rsidRPr="00DD7BD1" w:rsidRDefault="001940D8" w:rsidP="001940D8">
      <w:pPr>
        <w:spacing w:after="0" w:line="240" w:lineRule="auto"/>
        <w:rPr>
          <w:rFonts w:ascii="Calibri" w:hAnsi="Calibri" w:cs="Calibri"/>
        </w:rPr>
      </w:pPr>
    </w:p>
    <w:p w14:paraId="036AF2B5" w14:textId="77777777" w:rsidR="001940D8" w:rsidRPr="00DD7BD1" w:rsidRDefault="001940D8" w:rsidP="001940D8">
      <w:pPr>
        <w:spacing w:after="0" w:line="240" w:lineRule="auto"/>
        <w:rPr>
          <w:rFonts w:ascii="Calibri" w:hAnsi="Calibri" w:cs="Calibri"/>
        </w:rPr>
      </w:pPr>
      <w:r w:rsidRPr="00DD7BD1">
        <w:rPr>
          <w:rFonts w:ascii="Calibri" w:hAnsi="Calibri" w:cs="Calibri"/>
        </w:rPr>
        <w:t>However, employers may adopt or enforce otherwise valid workplace health and safety rules or policies justified as bona fide occupational qualifications or policies to prevent a hostile work environment if such policies are nondiscriminatory, necessary, narrowly tailored and applied equally.</w:t>
      </w:r>
    </w:p>
    <w:p w14:paraId="38EDC22D" w14:textId="77777777" w:rsidR="001940D8" w:rsidRPr="00DD7BD1" w:rsidRDefault="001940D8" w:rsidP="001940D8">
      <w:pPr>
        <w:spacing w:after="0" w:line="240" w:lineRule="auto"/>
        <w:jc w:val="both"/>
        <w:rPr>
          <w:rFonts w:ascii="Calibri" w:hAnsi="Calibri" w:cs="Calibri"/>
          <w:b/>
          <w:bCs/>
          <w:color w:val="C00000"/>
          <w:sz w:val="16"/>
          <w:szCs w:val="16"/>
          <w:shd w:val="clear" w:color="auto" w:fill="FFFFFF"/>
          <w:lang w:val="en"/>
        </w:rPr>
      </w:pPr>
    </w:p>
    <w:p w14:paraId="143F0993" w14:textId="77777777" w:rsidR="001940D8" w:rsidRPr="00DD7BD1" w:rsidRDefault="001940D8" w:rsidP="001940D8">
      <w:pPr>
        <w:spacing w:after="0" w:line="240" w:lineRule="auto"/>
        <w:rPr>
          <w:rFonts w:ascii="Calibri" w:hAnsi="Calibri" w:cs="Calibri"/>
        </w:rPr>
      </w:pPr>
      <w:r w:rsidRPr="00DD7BD1">
        <w:rPr>
          <w:rFonts w:ascii="Calibri" w:hAnsi="Calibri" w:cs="Calibri"/>
          <w:b/>
          <w:bCs/>
          <w:highlight w:val="lightGray"/>
          <w:shd w:val="clear" w:color="auto" w:fill="FFFFFF"/>
          <w:lang w:val="en"/>
        </w:rPr>
        <w:t>Employer Takeaway:</w:t>
      </w:r>
      <w:r w:rsidRPr="00DD7BD1">
        <w:rPr>
          <w:rFonts w:ascii="Calibri" w:hAnsi="Calibri" w:cs="Calibri"/>
          <w:b/>
          <w:bCs/>
          <w:color w:val="C00000"/>
          <w:shd w:val="clear" w:color="auto" w:fill="FFFFFF"/>
          <w:lang w:val="en"/>
        </w:rPr>
        <w:t xml:space="preserve"> </w:t>
      </w:r>
      <w:r w:rsidRPr="00DD7BD1">
        <w:rPr>
          <w:rFonts w:ascii="Calibri" w:hAnsi="Calibri" w:cs="Calibri"/>
        </w:rPr>
        <w:t xml:space="preserve">Prior to the amendment, the Pennsylvania Human Relations Commission had already included protections against discrimination against individuals on the basis of hair texture and protective hairstyles associated with race in agency guidance. Therefore, </w:t>
      </w:r>
      <w:r w:rsidRPr="00DD7BD1">
        <w:rPr>
          <w:rFonts w:ascii="Calibri" w:hAnsi="Calibri" w:cs="Calibri"/>
          <w:u w:val="single"/>
        </w:rPr>
        <w:t>covered Pennsylvania employers should already be in compliance with the amendment’s updated definition of race.</w:t>
      </w:r>
      <w:r w:rsidRPr="00DD7BD1">
        <w:rPr>
          <w:rFonts w:ascii="Calibri" w:hAnsi="Calibri" w:cs="Calibri"/>
        </w:rPr>
        <w:t xml:space="preserve"> However,</w:t>
      </w:r>
      <w:r w:rsidRPr="00DD7BD1">
        <w:rPr>
          <w:rFonts w:ascii="Calibri" w:hAnsi="Calibri" w:cs="Calibri"/>
          <w:u w:val="single"/>
        </w:rPr>
        <w:t xml:space="preserve"> employers may consider reviewing employment policies to ensure they do not discriminate</w:t>
      </w:r>
      <w:r w:rsidRPr="00DD7BD1">
        <w:rPr>
          <w:rFonts w:ascii="Calibri" w:hAnsi="Calibri" w:cs="Calibri"/>
        </w:rPr>
        <w:t xml:space="preserve"> on the basis of traits historically associated with either race or religious creed. ETC’s EEO policy addresses both hairstyles and head coverings.</w:t>
      </w:r>
    </w:p>
    <w:p w14:paraId="04B202E6" w14:textId="77777777" w:rsidR="001940D8" w:rsidRPr="00DD7BD1" w:rsidRDefault="001940D8" w:rsidP="001940D8">
      <w:pPr>
        <w:spacing w:after="0" w:line="240" w:lineRule="auto"/>
        <w:jc w:val="center"/>
        <w:rPr>
          <w:rFonts w:ascii="Calibri" w:hAnsi="Calibri" w:cs="Calibri"/>
          <w:b/>
          <w:bCs/>
          <w:u w:val="single"/>
          <w:shd w:val="clear" w:color="auto" w:fill="FFFFFF"/>
          <w:lang w:val="en"/>
        </w:rPr>
      </w:pPr>
    </w:p>
    <w:p w14:paraId="4AD5CF99" w14:textId="7433E565" w:rsidR="00B83B7F" w:rsidRPr="00DD7BD1" w:rsidRDefault="00B83B7F" w:rsidP="001940D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w:t>
      </w:r>
      <w:r w:rsidR="00572C14" w:rsidRPr="00DD7BD1">
        <w:rPr>
          <w:rFonts w:ascii="Calibri" w:hAnsi="Calibri" w:cs="Calibri"/>
          <w:b/>
          <w:bCs/>
          <w:sz w:val="28"/>
          <w:szCs w:val="28"/>
          <w:shd w:val="clear" w:color="auto" w:fill="FFFFFF"/>
          <w:lang w:val="en"/>
        </w:rPr>
        <w:t xml:space="preserve">(Criminal History Protections) </w:t>
      </w:r>
      <w:r w:rsidRPr="00DD7BD1">
        <w:rPr>
          <w:rFonts w:ascii="Calibri" w:hAnsi="Calibri" w:cs="Calibri"/>
          <w:b/>
          <w:bCs/>
          <w:sz w:val="28"/>
          <w:szCs w:val="28"/>
          <w:shd w:val="clear" w:color="auto" w:fill="FFFFFF"/>
          <w:lang w:val="en"/>
        </w:rPr>
        <w:t xml:space="preserve">Restrictions – Eff </w:t>
      </w:r>
      <w:r w:rsidRPr="00DD7BD1">
        <w:rPr>
          <w:rFonts w:ascii="Calibri" w:hAnsi="Calibri" w:cs="Calibri"/>
          <w:b/>
          <w:bCs/>
          <w:color w:val="C00000"/>
          <w:sz w:val="28"/>
          <w:szCs w:val="28"/>
          <w:shd w:val="clear" w:color="auto" w:fill="FFFFFF"/>
          <w:lang w:val="en"/>
        </w:rPr>
        <w:t>Jan 6, 2026</w:t>
      </w:r>
    </w:p>
    <w:p w14:paraId="5119ECC5" w14:textId="041B84A4" w:rsidR="00B83B7F" w:rsidRPr="00DD7BD1" w:rsidRDefault="00B83B7F" w:rsidP="0031050B">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City of Philadelphia recently amended its Fair Criminal Record Screening Standards Ordinance (FCRSS), commonly known as Philadelphia’s “Ban the Box” law, to make it </w:t>
      </w:r>
      <w:r w:rsidRPr="00DD7BD1">
        <w:rPr>
          <w:rFonts w:ascii="Calibri" w:hAnsi="Calibri" w:cs="Calibri"/>
          <w:u w:val="single"/>
          <w:shd w:val="clear" w:color="auto" w:fill="FFFFFF"/>
        </w:rPr>
        <w:t>more difficult for employers to consider criminal history information in employment actions.</w:t>
      </w:r>
      <w:r w:rsidRPr="00DD7BD1">
        <w:rPr>
          <w:rFonts w:ascii="Calibri" w:hAnsi="Calibri" w:cs="Calibri"/>
          <w:shd w:val="clear" w:color="auto" w:fill="FFFFFF"/>
        </w:rPr>
        <w:t xml:space="preserve"> The amendments, which were signed into law on Oct. 8, 2025, will go into effect on Jan. 6, 2026. </w:t>
      </w:r>
    </w:p>
    <w:p w14:paraId="6A9D2D89" w14:textId="77777777"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w:t>
      </w:r>
      <w:hyperlink r:id="rId918" w:tgtFrame="_blank" w:history="1">
        <w:r w:rsidRPr="00DD7BD1">
          <w:rPr>
            <w:rStyle w:val="Hyperlink"/>
            <w:rFonts w:ascii="Calibri" w:hAnsi="Calibri" w:cs="Calibri"/>
            <w:shd w:val="clear" w:color="auto" w:fill="FFFFFF"/>
          </w:rPr>
          <w:t> amendments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make three critical changes to the FCRSS: </w:t>
      </w:r>
    </w:p>
    <w:p w14:paraId="2AE8D728" w14:textId="77777777" w:rsidR="00B83B7F" w:rsidRPr="00DD7BD1" w:rsidRDefault="00B83B7F" w:rsidP="00B83B7F">
      <w:pPr>
        <w:pStyle w:val="ListParagraph"/>
        <w:numPr>
          <w:ilvl w:val="0"/>
          <w:numId w:val="267"/>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they further limit the convictions that employers may consider in hiring and other employment decisions, </w:t>
      </w:r>
    </w:p>
    <w:p w14:paraId="4192F312" w14:textId="77777777"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they expand the notices that candidates must receive concerning criminal background checks, and </w:t>
      </w:r>
    </w:p>
    <w:p w14:paraId="05AA1DE8" w14:textId="0F58F812"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they add a strong antiretaliation provision.</w:t>
      </w:r>
    </w:p>
    <w:p w14:paraId="3214DAC8" w14:textId="03450D6D"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30F1FBE8" w14:textId="5ADFF471"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of the factors delineated in the FCRSS, a reasonable person would conclude that employing the applicant or employee would pose a specific unacceptable risk to the operation of the business or to coworkers or customers.</w:t>
      </w:r>
    </w:p>
    <w:p w14:paraId="646163FA" w14:textId="7CF1D882"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0B86E5C8" w14:textId="13B85404"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79EB16C7" w14:textId="146CDBA8" w:rsidR="00B83B7F" w:rsidRPr="00DD7BD1" w:rsidRDefault="00B83B7F" w:rsidP="0031050B">
      <w:pPr>
        <w:jc w:val="both"/>
        <w:rPr>
          <w:rFonts w:ascii="Calibri" w:hAnsi="Calibri" w:cs="Calibri"/>
          <w:shd w:val="clear" w:color="auto" w:fill="FFFFFF"/>
        </w:rPr>
      </w:pPr>
      <w:r w:rsidRPr="00DD7BD1">
        <w:rPr>
          <w:rFonts w:ascii="Calibri" w:hAnsi="Calibri" w:cs="Calibri"/>
          <w:shd w:val="clear" w:color="auto" w:fill="FFFFFF"/>
        </w:rPr>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591A0054" w14:textId="2B01AA32"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Philadelphia Enacts POWER Act Expanding Worker Protections </w:t>
      </w:r>
      <w:r w:rsidRPr="00DD7BD1">
        <w:rPr>
          <w:rFonts w:ascii="Calibri" w:hAnsi="Calibri" w:cs="Calibri"/>
          <w:b/>
          <w:bCs/>
          <w:color w:val="C00000"/>
          <w:sz w:val="28"/>
          <w:szCs w:val="28"/>
          <w:shd w:val="clear" w:color="auto" w:fill="FFFFFF"/>
          <w:lang w:val="en"/>
        </w:rPr>
        <w:t>– Eff May 27, 2025</w:t>
      </w:r>
    </w:p>
    <w:p w14:paraId="558B85A2"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27, 2025, Philadelphia enacted the </w:t>
      </w:r>
      <w:hyperlink r:id="rId919" w:history="1">
        <w:r w:rsidRPr="00DD7BD1">
          <w:rPr>
            <w:rStyle w:val="Hyperlink"/>
            <w:rFonts w:ascii="Calibri" w:hAnsi="Calibri" w:cs="Calibri"/>
            <w:shd w:val="clear" w:color="auto" w:fill="FFFFFF"/>
          </w:rPr>
          <w:t>Protect Our Workers, Enforce Rights (POWER) Act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DD7BD1" w:rsidRDefault="00406B06" w:rsidP="00406B06">
      <w:pPr>
        <w:spacing w:after="0" w:line="240" w:lineRule="auto"/>
        <w:rPr>
          <w:rFonts w:ascii="Calibri" w:hAnsi="Calibri" w:cs="Calibri"/>
          <w:b/>
          <w:color w:val="C00000"/>
          <w:shd w:val="clear" w:color="auto" w:fill="FFFFFF"/>
        </w:rPr>
      </w:pPr>
      <w:r w:rsidRPr="00DD7BD1">
        <w:rPr>
          <w:rFonts w:ascii="Calibri" w:hAnsi="Calibri" w:cs="Calibri"/>
          <w:b/>
          <w:color w:val="C00000"/>
          <w:shd w:val="clear" w:color="auto" w:fill="FFFFFF"/>
        </w:rPr>
        <w:t>Changes to Paid Sick Requirements</w:t>
      </w:r>
    </w:p>
    <w:p w14:paraId="4924C5BE"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POWER Act revised the </w:t>
      </w:r>
      <w:hyperlink r:id="rId920" w:history="1">
        <w:r w:rsidRPr="00DD7BD1">
          <w:rPr>
            <w:rStyle w:val="Hyperlink"/>
            <w:rFonts w:ascii="Calibri" w:hAnsi="Calibri" w:cs="Calibri"/>
            <w:shd w:val="clear" w:color="auto" w:fill="FFFFFF"/>
          </w:rPr>
          <w:t>Promoting Healthy Families and Workplaces Act</w:t>
        </w:r>
      </w:hyperlink>
      <w:r w:rsidRPr="00DD7BD1">
        <w:rPr>
          <w:rFonts w:ascii="Calibri" w:hAnsi="Calibri" w:cs="Calibri"/>
          <w:shd w:val="clear" w:color="auto" w:fill="FFFFFF"/>
        </w:rPr>
        <w:t>, the city’s paid sick leave law. Key revisions include those discussed below.</w:t>
      </w:r>
    </w:p>
    <w:p w14:paraId="22C2E6DD" w14:textId="77777777" w:rsidR="00406B06" w:rsidRPr="00DD7BD1" w:rsidRDefault="00406B06" w:rsidP="00406B06">
      <w:pPr>
        <w:spacing w:after="0" w:line="240" w:lineRule="auto"/>
        <w:rPr>
          <w:rFonts w:ascii="Calibri" w:hAnsi="Calibri" w:cs="Calibri"/>
          <w:b/>
          <w:bCs/>
          <w:i/>
          <w:iCs/>
          <w:shd w:val="clear" w:color="auto" w:fill="FFFFFF"/>
        </w:rPr>
      </w:pPr>
    </w:p>
    <w:p w14:paraId="2A1F61C9" w14:textId="77777777" w:rsidR="00406B06" w:rsidRPr="00DD7BD1" w:rsidRDefault="00406B06" w:rsidP="00406B06">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Notice Requirements</w:t>
      </w:r>
    </w:p>
    <w:p w14:paraId="10F72A06"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Pr="00DD7BD1" w:rsidRDefault="00406B06" w:rsidP="00406B06">
      <w:pPr>
        <w:spacing w:after="0" w:line="240" w:lineRule="auto"/>
        <w:rPr>
          <w:rFonts w:ascii="Calibri" w:hAnsi="Calibri" w:cs="Calibri"/>
          <w:shd w:val="clear" w:color="auto" w:fill="FFFFFF"/>
        </w:rPr>
      </w:pPr>
    </w:p>
    <w:p w14:paraId="165FE7E3"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 new workplace poster from the </w:t>
      </w:r>
      <w:hyperlink r:id="rId921" w:history="1">
        <w:r w:rsidRPr="00DD7BD1">
          <w:rPr>
            <w:rStyle w:val="Hyperlink"/>
            <w:rFonts w:ascii="Calibri" w:hAnsi="Calibri" w:cs="Calibri"/>
            <w:shd w:val="clear" w:color="auto" w:fill="FFFFFF"/>
          </w:rPr>
          <w:t>Philadelphia DOL</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has yet to be released. </w:t>
      </w:r>
    </w:p>
    <w:p w14:paraId="784FA8EF" w14:textId="77777777" w:rsidR="00406B06" w:rsidRPr="00DD7BD1" w:rsidRDefault="00406B06" w:rsidP="00406B06">
      <w:pPr>
        <w:spacing w:after="0" w:line="240" w:lineRule="auto"/>
        <w:rPr>
          <w:rFonts w:ascii="Calibri" w:hAnsi="Calibri" w:cs="Calibri"/>
          <w:shd w:val="clear" w:color="auto" w:fill="FFFFFF"/>
        </w:rPr>
      </w:pPr>
    </w:p>
    <w:p w14:paraId="2310BEE1"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Enforcement of Worker Protection Ordinances</w:t>
      </w:r>
    </w:p>
    <w:p w14:paraId="5477808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also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41576DC1" w14:textId="77777777" w:rsidR="00406B06" w:rsidRPr="00DD7BD1" w:rsidRDefault="00406B06" w:rsidP="00406B06">
      <w:pPr>
        <w:pStyle w:val="SubHeader"/>
        <w:spacing w:line="240" w:lineRule="auto"/>
        <w:rPr>
          <w:rFonts w:cs="Calibri"/>
          <w:color w:val="auto"/>
          <w:sz w:val="22"/>
          <w:szCs w:val="22"/>
        </w:rPr>
      </w:pPr>
    </w:p>
    <w:p w14:paraId="521A530A" w14:textId="77777777" w:rsidR="00406B06" w:rsidRPr="00DD7BD1" w:rsidRDefault="00406B06" w:rsidP="00406B06">
      <w:pPr>
        <w:pStyle w:val="SubHeader"/>
        <w:spacing w:line="240" w:lineRule="auto"/>
        <w:rPr>
          <w:rFonts w:cs="Calibri"/>
          <w:color w:val="auto"/>
        </w:rPr>
      </w:pPr>
      <w:r w:rsidRPr="00DD7BD1">
        <w:rPr>
          <w:rFonts w:cs="Calibri"/>
          <w:color w:val="auto"/>
        </w:rPr>
        <w:t>Amendments to Wage Theft Provisions</w:t>
      </w:r>
    </w:p>
    <w:p w14:paraId="56F07CE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The POWER Act changed the definition of “employee” under </w:t>
      </w:r>
      <w:r w:rsidRPr="00DD7BD1">
        <w:rPr>
          <w:rFonts w:cs="Calibri"/>
          <w:szCs w:val="22"/>
        </w:rPr>
        <w:t xml:space="preserve">the </w:t>
      </w:r>
      <w:hyperlink r:id="rId922" w:history="1">
        <w:r w:rsidRPr="00DD7BD1">
          <w:rPr>
            <w:rStyle w:val="Hyperlink"/>
            <w:rFonts w:cs="Calibri"/>
            <w:szCs w:val="22"/>
          </w:rPr>
          <w:t>Wage Theft Complaints law</w:t>
        </w:r>
      </w:hyperlink>
      <w:r w:rsidRPr="00DD7BD1">
        <w:rPr>
          <w:rFonts w:cs="Calibri"/>
          <w:szCs w:val="22"/>
        </w:rPr>
        <w:t xml:space="preserve">. </w:t>
      </w:r>
      <w:r w:rsidRPr="00DD7BD1">
        <w:rPr>
          <w:rFonts w:cs="Calibri"/>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Pr="00DD7BD1" w:rsidRDefault="00406B06" w:rsidP="00406B06">
      <w:pPr>
        <w:pStyle w:val="BodyText"/>
        <w:spacing w:after="0" w:line="240" w:lineRule="auto"/>
        <w:rPr>
          <w:rFonts w:cs="Calibri"/>
          <w:b/>
          <w:bCs/>
          <w:i/>
          <w:iCs/>
          <w:color w:val="auto"/>
          <w:szCs w:val="22"/>
        </w:rPr>
      </w:pPr>
    </w:p>
    <w:p w14:paraId="62F379D6" w14:textId="23526419"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Employer Notice Requirements</w:t>
      </w:r>
    </w:p>
    <w:p w14:paraId="3195E621"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Pr="00DD7BD1" w:rsidRDefault="00406B06" w:rsidP="00406B06">
      <w:pPr>
        <w:pStyle w:val="BodyText"/>
        <w:spacing w:after="0" w:line="240" w:lineRule="auto"/>
        <w:rPr>
          <w:rFonts w:cs="Calibri"/>
          <w:b/>
          <w:bCs/>
          <w:i/>
          <w:iCs/>
          <w:color w:val="auto"/>
          <w:szCs w:val="22"/>
        </w:rPr>
      </w:pPr>
    </w:p>
    <w:p w14:paraId="5EAA3C3B" w14:textId="0D41457A"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Recordkeeping Requirements When Resolving Disputes</w:t>
      </w:r>
    </w:p>
    <w:p w14:paraId="43D57EC5"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DD7BD1" w:rsidRDefault="00406B06" w:rsidP="00406B06">
      <w:pPr>
        <w:pStyle w:val="SubHeader"/>
        <w:spacing w:line="240" w:lineRule="auto"/>
        <w:rPr>
          <w:rFonts w:cs="Calibri"/>
          <w:sz w:val="22"/>
          <w:szCs w:val="22"/>
        </w:rPr>
      </w:pPr>
      <w:r w:rsidRPr="00DD7BD1">
        <w:rPr>
          <w:rFonts w:cs="Calibri"/>
          <w:sz w:val="22"/>
          <w:szCs w:val="22"/>
        </w:rPr>
        <w:t>Retaliation Protections</w:t>
      </w:r>
    </w:p>
    <w:p w14:paraId="3DDFA21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Seeking information about their rights; </w:t>
      </w:r>
    </w:p>
    <w:p w14:paraId="73D7FAD3"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Communicating with another person about their rights or an alleged violation;</w:t>
      </w:r>
    </w:p>
    <w:p w14:paraId="3FBE7760"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Opposing or refusing to participate in any practice that violates any worker protection ordinance;</w:t>
      </w:r>
    </w:p>
    <w:p w14:paraId="08F66822"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Making an oral or written complaint to an employer; </w:t>
      </w:r>
    </w:p>
    <w:p w14:paraId="7005940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Filing a complaint with the OWP or a court of competent jurisdiction; or </w:t>
      </w:r>
    </w:p>
    <w:p w14:paraId="210D9D4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Providing evidence or participating in a proceeding related to a formal or informal complaint. </w:t>
      </w:r>
    </w:p>
    <w:p w14:paraId="22586013" w14:textId="77777777" w:rsidR="00406B06" w:rsidRPr="00DD7BD1" w:rsidRDefault="00406B06" w:rsidP="00406B06">
      <w:pPr>
        <w:pStyle w:val="BodyText"/>
        <w:spacing w:after="0" w:line="240" w:lineRule="auto"/>
        <w:rPr>
          <w:rFonts w:cs="Calibri"/>
          <w:color w:val="auto"/>
          <w:sz w:val="16"/>
          <w:szCs w:val="16"/>
        </w:rPr>
      </w:pPr>
    </w:p>
    <w:p w14:paraId="366C5B68" w14:textId="303DA250"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1C0A6B95"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Pittsburg Increases Paid Sick Leave – </w:t>
      </w:r>
      <w:r w:rsidRPr="00DD7BD1">
        <w:rPr>
          <w:rFonts w:ascii="Calibri" w:hAnsi="Calibri" w:cs="Calibri"/>
          <w:b/>
          <w:bCs/>
          <w:color w:val="C00000"/>
          <w:sz w:val="28"/>
          <w:szCs w:val="28"/>
          <w:shd w:val="clear" w:color="auto" w:fill="FFFFFF"/>
          <w:lang w:val="en"/>
        </w:rPr>
        <w:t>Eff Jan 1, 2026</w:t>
      </w:r>
    </w:p>
    <w:p w14:paraId="56CDEDB9" w14:textId="77777777" w:rsidR="00406B06" w:rsidRPr="00DD7BD1" w:rsidRDefault="00406B06" w:rsidP="00406B06">
      <w:pPr>
        <w:pStyle w:val="BodyText"/>
        <w:spacing w:after="0" w:line="240" w:lineRule="auto"/>
        <w:rPr>
          <w:rFonts w:cs="Calibri"/>
          <w:szCs w:val="22"/>
        </w:rPr>
      </w:pPr>
      <w:r w:rsidRPr="00DD7BD1">
        <w:rPr>
          <w:rFonts w:cs="Calibri"/>
          <w:b/>
          <w:bCs/>
          <w:color w:val="auto"/>
          <w:szCs w:val="22"/>
        </w:rPr>
        <w:t>Pittsburgh</w:t>
      </w:r>
      <w:r w:rsidRPr="00DD7BD1">
        <w:rPr>
          <w:rFonts w:cs="Calibri"/>
          <w:color w:val="auto"/>
          <w:szCs w:val="22"/>
        </w:rPr>
        <w:t xml:space="preserve"> has </w:t>
      </w:r>
      <w:hyperlink r:id="rId923"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the city’s Paid Sick Days Act to provide faster accrual of sick time and increase paid sick leave hours. The amendments take effect </w:t>
      </w:r>
      <w:r w:rsidRPr="00DD7BD1">
        <w:rPr>
          <w:rFonts w:cs="Calibri"/>
          <w:b/>
          <w:bCs/>
          <w:color w:val="auto"/>
          <w:szCs w:val="22"/>
        </w:rPr>
        <w:t>Jan. 1, 2026</w:t>
      </w:r>
      <w:r w:rsidRPr="00DD7BD1">
        <w:rPr>
          <w:rFonts w:cs="Calibri"/>
          <w:color w:val="auto"/>
          <w:szCs w:val="22"/>
        </w:rPr>
        <w:t>.</w:t>
      </w:r>
    </w:p>
    <w:p w14:paraId="3525ADB2" w14:textId="77777777" w:rsidR="00406B06" w:rsidRPr="00DD7BD1" w:rsidRDefault="00406B06" w:rsidP="00406B06">
      <w:pPr>
        <w:pStyle w:val="SubHeader"/>
        <w:spacing w:line="240" w:lineRule="auto"/>
        <w:rPr>
          <w:rFonts w:cs="Calibri"/>
          <w:sz w:val="22"/>
          <w:szCs w:val="22"/>
        </w:rPr>
      </w:pPr>
    </w:p>
    <w:p w14:paraId="01855731" w14:textId="77777777" w:rsidR="00406B06" w:rsidRPr="00DD7BD1" w:rsidRDefault="00406B06" w:rsidP="00406B06">
      <w:pPr>
        <w:pStyle w:val="SubHeader"/>
        <w:spacing w:line="240" w:lineRule="auto"/>
        <w:rPr>
          <w:rFonts w:cs="Calibri"/>
          <w:color w:val="auto"/>
          <w:sz w:val="22"/>
          <w:szCs w:val="22"/>
        </w:rPr>
      </w:pPr>
      <w:bookmarkStart w:id="140" w:name="_Hlk201582690"/>
      <w:r w:rsidRPr="00DD7BD1">
        <w:rPr>
          <w:rFonts w:cs="Calibri"/>
          <w:color w:val="auto"/>
          <w:sz w:val="22"/>
          <w:szCs w:val="22"/>
        </w:rPr>
        <w:t>New Accrual Rate and Maximum</w:t>
      </w:r>
    </w:p>
    <w:p w14:paraId="736E97E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under the amendments, employers will have to allow a maximum accrual of at least the following amounts:</w:t>
      </w:r>
    </w:p>
    <w:p w14:paraId="65A1262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per year (or at any time); and</w:t>
      </w:r>
    </w:p>
    <w:p w14:paraId="7241783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 per year (or at any time).</w:t>
      </w:r>
    </w:p>
    <w:p w14:paraId="54ADABD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br/>
      </w:r>
      <w:r w:rsidRPr="00DD7BD1">
        <w:rPr>
          <w:rStyle w:val="BodyTextChar"/>
          <w:rFonts w:cs="Calibri"/>
          <w:color w:val="auto"/>
          <w:szCs w:val="22"/>
        </w:rPr>
        <w:t>Previously, employers with at least 15 employees could cap accrual at 40 hours, while smaller employers could set the maximum at 24 hours</w:t>
      </w:r>
      <w:r w:rsidRPr="00DD7BD1">
        <w:rPr>
          <w:rFonts w:cs="Calibri"/>
          <w:color w:val="auto"/>
          <w:szCs w:val="22"/>
        </w:rPr>
        <w:t xml:space="preserve">. </w:t>
      </w:r>
    </w:p>
    <w:p w14:paraId="25A683F8"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Carryover and Front-loading</w:t>
      </w:r>
    </w:p>
    <w:p w14:paraId="0021764C"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and</w:t>
      </w:r>
    </w:p>
    <w:p w14:paraId="5E6A60FE"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w:t>
      </w:r>
    </w:p>
    <w:bookmarkEnd w:id="140"/>
    <w:p w14:paraId="3217D581" w14:textId="77777777" w:rsidR="00406B06" w:rsidRPr="00DD7BD1" w:rsidRDefault="00406B06" w:rsidP="00406B06">
      <w:pPr>
        <w:pStyle w:val="SubHeader"/>
        <w:rPr>
          <w:rFonts w:cs="Calibri"/>
          <w:color w:val="auto"/>
          <w:sz w:val="22"/>
          <w:szCs w:val="22"/>
        </w:rPr>
      </w:pPr>
    </w:p>
    <w:p w14:paraId="5766788C" w14:textId="77777777" w:rsidR="00406B06" w:rsidRPr="00DD7BD1" w:rsidRDefault="00406B06" w:rsidP="00406B06">
      <w:pPr>
        <w:pStyle w:val="SubHeader"/>
        <w:rPr>
          <w:rFonts w:cs="Calibri"/>
          <w:color w:val="auto"/>
          <w:sz w:val="22"/>
          <w:szCs w:val="22"/>
        </w:rPr>
      </w:pPr>
      <w:r w:rsidRPr="00DD7BD1">
        <w:rPr>
          <w:rFonts w:cs="Calibri"/>
          <w:color w:val="auto"/>
          <w:sz w:val="22"/>
          <w:szCs w:val="22"/>
        </w:rPr>
        <w:t>ETC will release an updated State Handbook Addendum in advance of the effective date.</w:t>
      </w:r>
    </w:p>
    <w:p w14:paraId="3D05A151"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6F219FA8" w14:textId="3444588B" w:rsidR="003B29FD" w:rsidRPr="00DD7BD1" w:rsidRDefault="003B29FD" w:rsidP="00406B06">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color w:val="000000" w:themeColor="text1"/>
          <w:sz w:val="28"/>
          <w:szCs w:val="28"/>
          <w:shd w:val="clear" w:color="auto" w:fill="FFFFFF"/>
        </w:rPr>
        <w:t>PA Now Permits Direct Deposit Payment of Workers’ Compensation Benefits</w:t>
      </w:r>
    </w:p>
    <w:p w14:paraId="77F6E55E"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Oct. 29, 2024, Pennsylvania amended its workers’ compensation laws to provide </w:t>
      </w:r>
      <w:hyperlink r:id="rId924" w:history="1">
        <w:r w:rsidRPr="00DD7BD1">
          <w:rPr>
            <w:rStyle w:val="Hyperlink"/>
            <w:rFonts w:ascii="Calibri" w:hAnsi="Calibri" w:cs="Calibri"/>
            <w:color w:val="auto"/>
            <w:shd w:val="clear" w:color="auto" w:fill="FFFFFF"/>
          </w:rPr>
          <w:t>standards</w:t>
        </w:r>
      </w:hyperlink>
      <w:r w:rsidRPr="00DD7BD1">
        <w:rPr>
          <w:rFonts w:ascii="Calibri" w:hAnsi="Calibri" w:cs="Calibri"/>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goes into effect on Dec. 29, 2024. However, on Dec. 29, 2025, all self-insured employers must permit payment by direct deposit.  Interested employers are advised to check out the state’s website to learn more.</w:t>
      </w:r>
    </w:p>
    <w:p w14:paraId="469BFA5D" w14:textId="77777777" w:rsidR="003B29FD" w:rsidRPr="00DD7BD1" w:rsidRDefault="003B29FD" w:rsidP="00837139">
      <w:pPr>
        <w:spacing w:after="0" w:line="240" w:lineRule="auto"/>
        <w:jc w:val="center"/>
        <w:rPr>
          <w:rFonts w:ascii="Calibri" w:hAnsi="Calibri" w:cs="Calibri"/>
          <w:b/>
          <w:bCs/>
          <w:shd w:val="clear" w:color="auto" w:fill="FFFFFF"/>
          <w:lang w:val="en"/>
        </w:rPr>
      </w:pPr>
    </w:p>
    <w:p w14:paraId="3B8A6BB1" w14:textId="0E82AFB9" w:rsidR="00837139" w:rsidRPr="00DD7BD1" w:rsidRDefault="00837139" w:rsidP="0083713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Amends Data Breach Reporting Law –</w:t>
      </w:r>
      <w:r w:rsidRPr="00DD7BD1">
        <w:rPr>
          <w:rFonts w:ascii="Calibri" w:hAnsi="Calibri" w:cs="Calibri"/>
          <w:b/>
          <w:bCs/>
          <w:color w:val="C00000"/>
          <w:sz w:val="28"/>
          <w:szCs w:val="28"/>
          <w:shd w:val="clear" w:color="auto" w:fill="FFFFFF"/>
          <w:lang w:val="en"/>
        </w:rPr>
        <w:t xml:space="preserve"> Sept 26, 2024</w:t>
      </w:r>
    </w:p>
    <w:p w14:paraId="48523480"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 June 28, 2024, Pennsylvania enacted </w:t>
      </w:r>
      <w:hyperlink r:id="rId925" w:history="1">
        <w:r w:rsidRPr="00DD7BD1">
          <w:rPr>
            <w:rStyle w:val="Hyperlink"/>
            <w:rFonts w:ascii="Calibri" w:hAnsi="Calibri" w:cs="Calibri"/>
          </w:rPr>
          <w:t>Senate Bill 824</w:t>
        </w:r>
      </w:hyperlink>
      <w:r w:rsidRPr="00DD7BD1">
        <w:rPr>
          <w:rFonts w:ascii="Calibri" w:hAnsi="Calibri" w:cs="Calibri"/>
        </w:rPr>
        <w:t xml:space="preserve"> (SB 824), which makes significant changes to the state’s </w:t>
      </w:r>
      <w:hyperlink r:id="rId926" w:history="1">
        <w:r w:rsidRPr="00DD7BD1">
          <w:rPr>
            <w:rStyle w:val="Hyperlink"/>
            <w:rFonts w:ascii="Calibri" w:hAnsi="Calibri" w:cs="Calibri"/>
          </w:rPr>
          <w:t>Breach of Personal Information Act</w:t>
        </w:r>
      </w:hyperlink>
      <w:r w:rsidRPr="00DD7BD1">
        <w:rPr>
          <w:rFonts w:ascii="Calibri" w:hAnsi="Calibri" w:cs="Calibri"/>
        </w:rPr>
        <w:t xml:space="preserve"> (the Act). SB 824 establishes </w:t>
      </w:r>
      <w:r w:rsidRPr="00DD7BD1">
        <w:rPr>
          <w:rFonts w:ascii="Calibri" w:hAnsi="Calibri" w:cs="Calibri"/>
          <w:u w:val="single"/>
        </w:rPr>
        <w:t>new requirements to notify the Office of the Attorney General</w:t>
      </w:r>
      <w:r w:rsidRPr="00DD7BD1">
        <w:rPr>
          <w:rFonts w:ascii="Calibri" w:hAnsi="Calibri" w:cs="Calibri"/>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DD7BD1" w:rsidRDefault="00837139" w:rsidP="00837139">
      <w:pPr>
        <w:spacing w:after="0" w:line="240" w:lineRule="auto"/>
        <w:rPr>
          <w:rFonts w:ascii="Calibri" w:hAnsi="Calibri" w:cs="Calibri"/>
          <w:sz w:val="16"/>
          <w:szCs w:val="16"/>
        </w:rPr>
      </w:pPr>
    </w:p>
    <w:p w14:paraId="7BD2F7A9" w14:textId="77777777" w:rsidR="00837139" w:rsidRPr="00DD7BD1" w:rsidRDefault="00837139" w:rsidP="00837139">
      <w:pPr>
        <w:spacing w:after="0" w:line="240" w:lineRule="auto"/>
        <w:rPr>
          <w:rFonts w:ascii="Calibri" w:eastAsiaTheme="majorEastAsia" w:hAnsi="Calibri" w:cs="Calibri"/>
          <w:b/>
          <w:bCs/>
          <w:highlight w:val="lightGray"/>
        </w:rPr>
      </w:pPr>
      <w:r w:rsidRPr="00DD7BD1">
        <w:rPr>
          <w:rFonts w:ascii="Calibri" w:eastAsiaTheme="majorEastAsia" w:hAnsi="Calibri" w:cs="Calibri"/>
          <w:b/>
          <w:bCs/>
          <w:highlight w:val="lightGray"/>
        </w:rPr>
        <w:t xml:space="preserve">Employer Takeaway: </w:t>
      </w:r>
      <w:r w:rsidRPr="00DD7BD1">
        <w:rPr>
          <w:rFonts w:ascii="Calibri" w:eastAsiaTheme="majorEastAsia" w:hAnsi="Calibri" w:cs="Calibri"/>
        </w:rPr>
        <w:t xml:space="preserve">Organizations that are covered by the Act </w:t>
      </w:r>
      <w:r w:rsidRPr="00DD7BD1">
        <w:rPr>
          <w:rFonts w:ascii="Calibri" w:hAnsi="Calibri" w:cs="Calibri"/>
        </w:rPr>
        <w:t xml:space="preserve">should evaluate and update their data breach response plans and procedures to ensure that the new requirements are met. Additionally, organizations are advised to assess their cyber insurance policies and the corresponding limits to determine if they are adequate in light of the new requirements. </w:t>
      </w:r>
    </w:p>
    <w:p w14:paraId="67741A82"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6C29E0D7" w14:textId="77777777" w:rsidR="00837139" w:rsidRPr="00DD7BD1" w:rsidRDefault="00837139" w:rsidP="00837139">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Changes to Regulatory Notification</w:t>
      </w:r>
    </w:p>
    <w:p w14:paraId="1DA37C5D"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organization’s name and location;</w:t>
      </w:r>
    </w:p>
    <w:p w14:paraId="6417EC6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date of the breach;</w:t>
      </w:r>
    </w:p>
    <w:p w14:paraId="04D5E54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 summary of the breach incident;</w:t>
      </w:r>
    </w:p>
    <w:p w14:paraId="1CCA43F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An estimated total number of individuals affected by the breach; and</w:t>
      </w:r>
    </w:p>
    <w:p w14:paraId="169E2CC8" w14:textId="77777777" w:rsidR="00837139" w:rsidRPr="00DD7BD1" w:rsidRDefault="00837139" w:rsidP="00A83553">
      <w:pPr>
        <w:pStyle w:val="Bullet"/>
        <w:spacing w:line="240" w:lineRule="auto"/>
        <w:ind w:left="576" w:hanging="288"/>
        <w:rPr>
          <w:rFonts w:cs="Calibri"/>
          <w:color w:val="auto"/>
          <w:szCs w:val="22"/>
        </w:rPr>
      </w:pPr>
      <w:r w:rsidRPr="00DD7BD1">
        <w:rPr>
          <w:rFonts w:cs="Calibri"/>
          <w:color w:val="auto"/>
          <w:szCs w:val="22"/>
        </w:rPr>
        <w:t>An estimated total number of individuals in Pennsylvania affected by the breach.</w:t>
      </w:r>
    </w:p>
    <w:p w14:paraId="4D28A429" w14:textId="77777777" w:rsidR="00837139" w:rsidRPr="00DD7BD1" w:rsidRDefault="00837139" w:rsidP="00A83553">
      <w:pPr>
        <w:pStyle w:val="Heading2"/>
        <w:spacing w:before="0" w:line="240" w:lineRule="auto"/>
        <w:rPr>
          <w:rFonts w:ascii="Calibri" w:hAnsi="Calibri" w:cs="Calibri"/>
          <w:b/>
          <w:bCs/>
          <w:color w:val="auto"/>
          <w:sz w:val="16"/>
          <w:szCs w:val="16"/>
          <w:highlight w:val="lightGray"/>
        </w:rPr>
      </w:pPr>
    </w:p>
    <w:p w14:paraId="2B2E98E1" w14:textId="77777777" w:rsidR="00837139" w:rsidRPr="00DD7BD1" w:rsidRDefault="00837139" w:rsidP="00A83553">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Changes to the Threshold for Notice to Credit Reporting Agencies</w:t>
      </w:r>
    </w:p>
    <w:p w14:paraId="35ABBD5D"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The Act currently requires any organization providing notice of a data breach to 1,000 or more Pennsylvania residents to </w:t>
      </w:r>
      <w:r w:rsidRPr="00DD7BD1">
        <w:rPr>
          <w:rFonts w:ascii="Calibri" w:hAnsi="Calibri" w:cs="Calibri"/>
          <w:b/>
          <w:bCs/>
          <w:i/>
          <w:iCs/>
          <w:color w:val="auto"/>
          <w:sz w:val="22"/>
          <w:szCs w:val="22"/>
        </w:rPr>
        <w:t>also</w:t>
      </w:r>
      <w:r w:rsidRPr="00DD7BD1">
        <w:rPr>
          <w:rFonts w:ascii="Calibri" w:hAnsi="Calibri" w:cs="Calibri"/>
          <w:color w:val="auto"/>
          <w:sz w:val="22"/>
          <w:szCs w:val="22"/>
        </w:rPr>
        <w:t xml:space="preserve"> provide notice to the consumer reporting agencies that compile and maintain files on consumers on a nationwide basis. </w:t>
      </w:r>
    </w:p>
    <w:p w14:paraId="188C7985"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SB 824 lowers that threshold from 1,000 to 500. </w:t>
      </w:r>
    </w:p>
    <w:p w14:paraId="601EA9E6" w14:textId="77777777" w:rsidR="00837139" w:rsidRPr="00DD7BD1" w:rsidRDefault="00837139">
      <w:pPr>
        <w:pStyle w:val="Heading2"/>
        <w:numPr>
          <w:ilvl w:val="0"/>
          <w:numId w:val="91"/>
        </w:numPr>
        <w:tabs>
          <w:tab w:val="num" w:pos="720"/>
        </w:tabs>
        <w:spacing w:before="0" w:line="240" w:lineRule="auto"/>
        <w:rPr>
          <w:rFonts w:ascii="Calibri" w:hAnsi="Calibri" w:cs="Calibri"/>
          <w:b/>
          <w:color w:val="auto"/>
          <w:sz w:val="22"/>
          <w:szCs w:val="22"/>
        </w:rPr>
      </w:pPr>
      <w:r w:rsidRPr="00DD7BD1">
        <w:rPr>
          <w:rFonts w:ascii="Calibri" w:hAnsi="Calibri" w:cs="Calibri"/>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33C54B61" w14:textId="77777777" w:rsidR="00837139" w:rsidRPr="00DD7BD1" w:rsidRDefault="00837139" w:rsidP="00837139">
      <w:pPr>
        <w:pStyle w:val="Heading2"/>
        <w:spacing w:before="0" w:line="240" w:lineRule="auto"/>
        <w:rPr>
          <w:rFonts w:ascii="Calibri" w:hAnsi="Calibri" w:cs="Calibri"/>
          <w:sz w:val="22"/>
          <w:szCs w:val="22"/>
        </w:rPr>
      </w:pPr>
      <w:r w:rsidRPr="00DD7BD1">
        <w:rPr>
          <w:rFonts w:ascii="Calibri" w:hAnsi="Calibri" w:cs="Calibri"/>
          <w:b/>
          <w:bCs/>
          <w:color w:val="auto"/>
          <w:sz w:val="22"/>
          <w:szCs w:val="22"/>
          <w:highlight w:val="lightGray"/>
        </w:rPr>
        <w:t>New Credit Reporting and Credit Monitoring Requirements</w:t>
      </w:r>
    </w:p>
    <w:p w14:paraId="32E9A946" w14:textId="77777777" w:rsidR="00837139" w:rsidRPr="00DD7BD1" w:rsidRDefault="00837139" w:rsidP="00837139">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SB 824, organizations will be required to provide impacted Pennsylvania residents with free access to credit reporting and credit monitoring services if:</w:t>
      </w:r>
    </w:p>
    <w:p w14:paraId="490F9E86"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 xml:space="preserve">There was a data breach as defined by Pennsylvania law; and </w:t>
      </w:r>
    </w:p>
    <w:p w14:paraId="77414814"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DD7BD1" w:rsidRDefault="00837139" w:rsidP="00837139">
      <w:pPr>
        <w:pStyle w:val="Bullet"/>
        <w:numPr>
          <w:ilvl w:val="0"/>
          <w:numId w:val="0"/>
        </w:numPr>
        <w:spacing w:line="240" w:lineRule="auto"/>
        <w:rPr>
          <w:rFonts w:cs="Calibri"/>
          <w:color w:val="auto"/>
          <w:sz w:val="16"/>
          <w:szCs w:val="16"/>
        </w:rPr>
      </w:pPr>
    </w:p>
    <w:p w14:paraId="5A187073" w14:textId="77777777" w:rsidR="00837139" w:rsidRPr="00DD7BD1" w:rsidRDefault="00837139" w:rsidP="00837139">
      <w:pPr>
        <w:pStyle w:val="Bullet"/>
        <w:numPr>
          <w:ilvl w:val="0"/>
          <w:numId w:val="0"/>
        </w:numPr>
        <w:spacing w:line="240" w:lineRule="auto"/>
        <w:rPr>
          <w:rFonts w:cs="Calibri"/>
          <w:color w:val="auto"/>
          <w:szCs w:val="22"/>
        </w:rPr>
      </w:pPr>
      <w:r w:rsidRPr="00DD7BD1">
        <w:rPr>
          <w:rFonts w:cs="Calibri"/>
          <w:color w:val="auto"/>
          <w:szCs w:val="22"/>
        </w:rPr>
        <w:t xml:space="preserve">If these two conditions are met, organizations must provide the impacted individuals with: </w:t>
      </w:r>
    </w:p>
    <w:p w14:paraId="769EC889"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DD7BD1" w:rsidRDefault="00837139" w:rsidP="009040C5">
      <w:pPr>
        <w:spacing w:after="0" w:line="240" w:lineRule="auto"/>
        <w:jc w:val="both"/>
        <w:rPr>
          <w:rFonts w:ascii="Calibri" w:hAnsi="Calibri" w:cs="Calibri"/>
          <w:b/>
          <w:bCs/>
          <w:color w:val="2E74B5" w:themeColor="accent5" w:themeShade="BF"/>
          <w:shd w:val="clear" w:color="auto" w:fill="FFFFFF"/>
          <w:lang w:val="en"/>
        </w:rPr>
      </w:pPr>
    </w:p>
    <w:p w14:paraId="3A4E7671" w14:textId="6F2299ED" w:rsidR="00A33FCC" w:rsidRPr="00DD7BD1" w:rsidRDefault="004B7569" w:rsidP="00A33FCC">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Rhode Island</w:t>
      </w:r>
    </w:p>
    <w:p w14:paraId="54F72E47" w14:textId="77777777" w:rsidR="0035344A" w:rsidRPr="00DD7BD1" w:rsidRDefault="0035344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Minimum Wage Increase</w:t>
      </w:r>
      <w:r w:rsidRPr="00DD7BD1">
        <w:rPr>
          <w:rFonts w:ascii="Calibri" w:hAnsi="Calibri" w:cs="Calibri"/>
          <w:b/>
          <w:bCs/>
          <w:color w:val="C00000"/>
          <w:sz w:val="28"/>
          <w:szCs w:val="28"/>
          <w:shd w:val="clear" w:color="auto" w:fill="FFFFFF"/>
        </w:rPr>
        <w:t xml:space="preserve"> – Eff Jan 1, 2026</w:t>
      </w:r>
    </w:p>
    <w:p w14:paraId="29B72BFE" w14:textId="77777777" w:rsidR="0035344A" w:rsidRPr="00DD7BD1" w:rsidRDefault="0035344A" w:rsidP="00193B33">
      <w:pPr>
        <w:spacing w:after="0" w:line="240" w:lineRule="auto"/>
        <w:rPr>
          <w:rFonts w:ascii="Calibri" w:hAnsi="Calibri" w:cs="Calibri"/>
          <w:shd w:val="clear" w:color="auto" w:fill="FFFFFF"/>
        </w:rPr>
      </w:pPr>
      <w:r w:rsidRPr="00DD7BD1">
        <w:rPr>
          <w:rFonts w:ascii="Calibri" w:hAnsi="Calibri" w:cs="Calibri"/>
          <w:shd w:val="clear" w:color="auto" w:fill="FFFFFF"/>
        </w:rPr>
        <w:t>The state’s minimum wage will increase to $16 per hour. The minimum base wage for tipped employees will remain at $3.89 per hour.</w:t>
      </w:r>
    </w:p>
    <w:p w14:paraId="1C34D6FB" w14:textId="36562014" w:rsidR="004C429A" w:rsidRPr="00DD7BD1" w:rsidRDefault="004C429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Temporary Caregiver Insurance (Paid Medical Leave) Expands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Jan 1, 2026</w:t>
      </w:r>
    </w:p>
    <w:p w14:paraId="322811E2"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Employees will be able to use Temporary Caregiver Insurance (TCI) for two new reasons:</w:t>
      </w:r>
    </w:p>
    <w:p w14:paraId="4642D581"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To care for a</w:t>
      </w:r>
      <w:r w:rsidRPr="00DD7BD1">
        <w:rPr>
          <w:rFonts w:ascii="Calibri" w:hAnsi="Calibri" w:cs="Calibri"/>
          <w:b/>
          <w:bCs/>
          <w:shd w:val="clear" w:color="auto" w:fill="FFFFFF"/>
        </w:rPr>
        <w:t xml:space="preserve"> sibling</w:t>
      </w:r>
      <w:r w:rsidRPr="00DD7BD1">
        <w:rPr>
          <w:rFonts w:ascii="Calibri" w:hAnsi="Calibri" w:cs="Calibri"/>
          <w:i/>
          <w:iCs/>
          <w:shd w:val="clear" w:color="auto" w:fill="FFFFFF"/>
        </w:rPr>
        <w:t> </w:t>
      </w:r>
      <w:r w:rsidRPr="00DD7BD1">
        <w:rPr>
          <w:rFonts w:ascii="Calibri" w:hAnsi="Calibri" w:cs="Calibri"/>
          <w:shd w:val="clear" w:color="auto" w:fill="FFFFFF"/>
        </w:rPr>
        <w:t>who has a serious health condition</w:t>
      </w:r>
    </w:p>
    <w:p w14:paraId="0D059DDE"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For </w:t>
      </w:r>
      <w:r w:rsidRPr="00DD7BD1">
        <w:rPr>
          <w:rFonts w:ascii="Calibri" w:hAnsi="Calibri" w:cs="Calibri"/>
          <w:b/>
          <w:bCs/>
          <w:shd w:val="clear" w:color="auto" w:fill="FFFFFF"/>
        </w:rPr>
        <w:t>bone marrow and living organ donation</w:t>
      </w:r>
      <w:r w:rsidRPr="00DD7BD1">
        <w:rPr>
          <w:rFonts w:ascii="Calibri" w:hAnsi="Calibri" w:cs="Calibri"/>
          <w:shd w:val="clear" w:color="auto" w:fill="FFFFFF"/>
        </w:rPr>
        <w:t xml:space="preserve"> (retroactive to January 1, 2025)</w:t>
      </w:r>
    </w:p>
    <w:p w14:paraId="2B86059F" w14:textId="77777777" w:rsidR="004C429A" w:rsidRPr="00DD7BD1" w:rsidRDefault="004C429A" w:rsidP="00193B33">
      <w:pPr>
        <w:spacing w:after="0" w:line="240" w:lineRule="auto"/>
        <w:rPr>
          <w:rFonts w:ascii="Calibri" w:hAnsi="Calibri" w:cs="Calibri"/>
          <w:sz w:val="16"/>
          <w:szCs w:val="16"/>
          <w:shd w:val="clear" w:color="auto" w:fill="FFFFFF"/>
        </w:rPr>
      </w:pPr>
    </w:p>
    <w:p w14:paraId="4F927289"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As a reminder, also on January 1, TCI benefits will increase up to a maximum of eight weeks in a benefit year.</w:t>
      </w:r>
    </w:p>
    <w:p w14:paraId="4040E070"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Learn more on the Rhode Island Department of Labor and Training </w:t>
      </w:r>
      <w:hyperlink r:id="rId927"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13EF0D65" w14:textId="77777777" w:rsidR="004C429A" w:rsidRPr="00DD7BD1" w:rsidRDefault="004C429A" w:rsidP="00193B33">
      <w:pPr>
        <w:spacing w:after="0" w:line="240" w:lineRule="auto"/>
        <w:rPr>
          <w:rFonts w:ascii="Calibri" w:hAnsi="Calibri" w:cs="Calibri"/>
          <w:sz w:val="16"/>
          <w:szCs w:val="16"/>
          <w:shd w:val="clear" w:color="auto" w:fill="FFFFFF"/>
        </w:rPr>
      </w:pPr>
    </w:p>
    <w:p w14:paraId="54E193F6"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RI State Handbook Addendum updated and distributed alongside the October HR WIRE ahead of the Jan 1, 2026 effective date.</w:t>
      </w:r>
    </w:p>
    <w:p w14:paraId="0519C33E" w14:textId="77777777" w:rsidR="00193B33" w:rsidRPr="00DD7BD1" w:rsidRDefault="00193B33" w:rsidP="00193B33">
      <w:pPr>
        <w:spacing w:after="0" w:line="240" w:lineRule="auto"/>
        <w:rPr>
          <w:rFonts w:ascii="Calibri" w:hAnsi="Calibri" w:cs="Calibri"/>
          <w:shd w:val="clear" w:color="auto" w:fill="FFFFFF"/>
        </w:rPr>
      </w:pPr>
    </w:p>
    <w:p w14:paraId="73D30AB3" w14:textId="77777777" w:rsidR="00813AC0" w:rsidRPr="00DD7BD1" w:rsidRDefault="00813AC0" w:rsidP="00193B33">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Human Trafficking Training for Hotel Employees – Eff </w:t>
      </w:r>
      <w:r w:rsidRPr="00DD7BD1">
        <w:rPr>
          <w:rFonts w:ascii="Calibri" w:hAnsi="Calibri" w:cs="Calibri"/>
          <w:b/>
          <w:bCs/>
          <w:color w:val="C00000"/>
          <w:sz w:val="28"/>
          <w:szCs w:val="28"/>
          <w:shd w:val="clear" w:color="auto" w:fill="FFFFFF"/>
        </w:rPr>
        <w:t>Jan 1, 2026</w:t>
      </w:r>
    </w:p>
    <w:p w14:paraId="024E73BC" w14:textId="77777777" w:rsidR="00813AC0" w:rsidRPr="00DD7BD1" w:rsidRDefault="00813AC0" w:rsidP="00193B33">
      <w:pPr>
        <w:spacing w:after="0" w:line="240" w:lineRule="auto"/>
        <w:rPr>
          <w:rFonts w:ascii="Calibri" w:hAnsi="Calibri" w:cs="Calibri"/>
          <w:shd w:val="clear" w:color="auto" w:fill="FFFFFF"/>
        </w:rPr>
      </w:pPr>
      <w:r w:rsidRPr="00DD7BD1">
        <w:rPr>
          <w:rFonts w:ascii="Calibri" w:hAnsi="Calibri" w:cs="Calibri"/>
          <w:shd w:val="clear" w:color="auto" w:fill="FFFFFF"/>
        </w:rPr>
        <w:t>ETC rarely follows or reports industry -specific enactments, however, hotel employers should be aware that hotel employees will be required to complete human trafficking awareness training within 180 days of hire, and each calendar year thereafter. The training will need to include specific components and be approved by the state. Records of employee training need to be kept for the duration of employment, plus one year. Hotels will also be required to create a policy for reporting suspected human trafficking to the National Human Trafficking Hotline or local law enforcement.</w:t>
      </w:r>
    </w:p>
    <w:p w14:paraId="57236F19" w14:textId="77777777" w:rsidR="00193B33" w:rsidRPr="00DD7BD1" w:rsidRDefault="00193B33" w:rsidP="00193B33">
      <w:pPr>
        <w:spacing w:after="0" w:line="240" w:lineRule="auto"/>
        <w:rPr>
          <w:rFonts w:ascii="Calibri" w:hAnsi="Calibri" w:cs="Calibri"/>
          <w:shd w:val="clear" w:color="auto" w:fill="FFFFFF"/>
        </w:rPr>
      </w:pPr>
    </w:p>
    <w:p w14:paraId="0569EA94" w14:textId="77777777" w:rsidR="00193B33" w:rsidRPr="00DD7BD1" w:rsidRDefault="00193B33" w:rsidP="00193B33">
      <w:pPr>
        <w:spacing w:after="0" w:line="240" w:lineRule="auto"/>
        <w:jc w:val="center"/>
        <w:rPr>
          <w:rFonts w:ascii="Calibri" w:hAnsi="Calibri" w:cs="Calibri"/>
          <w:sz w:val="16"/>
          <w:szCs w:val="16"/>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shd w:val="clear" w:color="auto" w:fill="FFFFFF"/>
        </w:rPr>
        <w:t xml:space="preserve">New Written Notice – Payment of Wages – </w:t>
      </w:r>
      <w:r w:rsidRPr="00DD7BD1">
        <w:rPr>
          <w:rFonts w:ascii="Calibri" w:hAnsi="Calibri" w:cs="Calibri"/>
          <w:b/>
          <w:bCs/>
          <w:color w:val="C00000"/>
          <w:sz w:val="28"/>
          <w:szCs w:val="28"/>
          <w:shd w:val="clear" w:color="auto" w:fill="FFFFFF"/>
        </w:rPr>
        <w:t>Eff January 1, 2026</w:t>
      </w:r>
    </w:p>
    <w:p w14:paraId="4B58D0BC" w14:textId="77777777" w:rsidR="00193B33"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928"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294C9324"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79B5938E"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allowances, if any, claimed for meals and lodging;</w:t>
      </w:r>
    </w:p>
    <w:p w14:paraId="45EAB9B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policy on sick, vacation, personal leave, holidays, and hours;</w:t>
      </w:r>
    </w:p>
    <w:p w14:paraId="58E3FA3F"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D042F62"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649A9D0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1A876BB1"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583B1DB8" w14:textId="77777777" w:rsidR="00193B33" w:rsidRPr="00DD7BD1" w:rsidRDefault="00193B33" w:rsidP="00193B33">
      <w:pPr>
        <w:spacing w:after="0" w:line="240" w:lineRule="auto"/>
        <w:jc w:val="both"/>
        <w:rPr>
          <w:rFonts w:ascii="Calibri" w:hAnsi="Calibri" w:cs="Calibri"/>
          <w:sz w:val="16"/>
          <w:szCs w:val="16"/>
          <w:shd w:val="clear" w:color="auto" w:fill="FFFFFF"/>
        </w:rPr>
      </w:pPr>
    </w:p>
    <w:p w14:paraId="34BD15B9" w14:textId="1E2FC7EE" w:rsidR="0035344A"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373D2633" w14:textId="77777777" w:rsidR="00193B33" w:rsidRPr="00DD7BD1" w:rsidRDefault="00193B33" w:rsidP="00193B33">
      <w:pPr>
        <w:spacing w:after="0" w:line="240" w:lineRule="auto"/>
        <w:jc w:val="both"/>
        <w:rPr>
          <w:rFonts w:ascii="Calibri" w:hAnsi="Calibri" w:cs="Calibri"/>
          <w:shd w:val="clear" w:color="auto" w:fill="FFFFFF"/>
        </w:rPr>
      </w:pPr>
    </w:p>
    <w:p w14:paraId="352E79CB" w14:textId="063B872A" w:rsidR="003D0CE0" w:rsidRPr="00DD7BD1" w:rsidRDefault="003D0CE0" w:rsidP="00193B33">
      <w:pPr>
        <w:spacing w:after="0" w:line="240" w:lineRule="auto"/>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Rules</w:t>
      </w:r>
      <w:r w:rsidRPr="00DD7BD1">
        <w:rPr>
          <w:rFonts w:ascii="Calibri" w:hAnsi="Calibri" w:cs="Calibri"/>
          <w:b/>
          <w:spacing w:val="-12"/>
          <w:sz w:val="28"/>
        </w:rPr>
        <w:t xml:space="preserve"> </w:t>
      </w:r>
      <w:r w:rsidRPr="00DD7BD1">
        <w:rPr>
          <w:rFonts w:ascii="Calibri" w:hAnsi="Calibri" w:cs="Calibri"/>
          <w:b/>
          <w:spacing w:val="-6"/>
          <w:sz w:val="28"/>
        </w:rPr>
        <w:t>Clarify</w:t>
      </w:r>
      <w:r w:rsidRPr="00DD7BD1">
        <w:rPr>
          <w:rFonts w:ascii="Calibri" w:hAnsi="Calibri" w:cs="Calibri"/>
          <w:b/>
          <w:spacing w:val="-8"/>
          <w:sz w:val="28"/>
        </w:rPr>
        <w:t xml:space="preserve"> </w:t>
      </w:r>
      <w:r w:rsidRPr="00DD7BD1">
        <w:rPr>
          <w:rFonts w:ascii="Calibri" w:hAnsi="Calibri" w:cs="Calibri"/>
          <w:b/>
          <w:spacing w:val="-6"/>
          <w:sz w:val="28"/>
        </w:rPr>
        <w:t>Sunday</w:t>
      </w:r>
      <w:r w:rsidRPr="00DD7BD1">
        <w:rPr>
          <w:rFonts w:ascii="Calibri" w:hAnsi="Calibri" w:cs="Calibri"/>
          <w:b/>
          <w:spacing w:val="-8"/>
          <w:sz w:val="28"/>
        </w:rPr>
        <w:t xml:space="preserve"> </w:t>
      </w:r>
      <w:r w:rsidRPr="00DD7BD1">
        <w:rPr>
          <w:rFonts w:ascii="Calibri" w:hAnsi="Calibri" w:cs="Calibri"/>
          <w:b/>
          <w:spacing w:val="-6"/>
          <w:sz w:val="28"/>
        </w:rPr>
        <w:t>&amp;</w:t>
      </w:r>
      <w:r w:rsidRPr="00DD7BD1">
        <w:rPr>
          <w:rFonts w:ascii="Calibri" w:hAnsi="Calibri" w:cs="Calibri"/>
          <w:b/>
          <w:spacing w:val="-11"/>
          <w:sz w:val="28"/>
        </w:rPr>
        <w:t xml:space="preserve"> </w:t>
      </w:r>
      <w:r w:rsidRPr="00DD7BD1">
        <w:rPr>
          <w:rFonts w:ascii="Calibri" w:hAnsi="Calibri" w:cs="Calibri"/>
          <w:b/>
          <w:spacing w:val="-6"/>
          <w:sz w:val="28"/>
        </w:rPr>
        <w:t>Holiday</w:t>
      </w:r>
      <w:r w:rsidRPr="00DD7BD1">
        <w:rPr>
          <w:rFonts w:ascii="Calibri" w:hAnsi="Calibri" w:cs="Calibri"/>
          <w:b/>
          <w:spacing w:val="-8"/>
          <w:sz w:val="28"/>
        </w:rPr>
        <w:t xml:space="preserve"> </w:t>
      </w:r>
      <w:r w:rsidRPr="00DD7BD1">
        <w:rPr>
          <w:rFonts w:ascii="Calibri" w:hAnsi="Calibri" w:cs="Calibri"/>
          <w:b/>
          <w:spacing w:val="-6"/>
          <w:sz w:val="28"/>
        </w:rPr>
        <w:t>Premium</w:t>
      </w:r>
      <w:r w:rsidRPr="00DD7BD1">
        <w:rPr>
          <w:rFonts w:ascii="Calibri" w:hAnsi="Calibri" w:cs="Calibri"/>
          <w:b/>
          <w:spacing w:val="-10"/>
          <w:sz w:val="28"/>
        </w:rPr>
        <w:t xml:space="preserve"> </w:t>
      </w:r>
      <w:r w:rsidRPr="00DD7BD1">
        <w:rPr>
          <w:rFonts w:ascii="Calibri" w:hAnsi="Calibri" w:cs="Calibri"/>
          <w:b/>
          <w:spacing w:val="-6"/>
          <w:sz w:val="28"/>
        </w:rPr>
        <w:t>Pay</w:t>
      </w:r>
      <w:r w:rsidRPr="00DD7BD1">
        <w:rPr>
          <w:rFonts w:ascii="Calibri" w:hAnsi="Calibri" w:cs="Calibri"/>
          <w:b/>
          <w:spacing w:val="-11"/>
          <w:sz w:val="28"/>
        </w:rPr>
        <w:t xml:space="preserve"> </w:t>
      </w:r>
      <w:r w:rsidRPr="00DD7BD1">
        <w:rPr>
          <w:rFonts w:ascii="Calibri" w:hAnsi="Calibri" w:cs="Calibri"/>
          <w:b/>
          <w:spacing w:val="-6"/>
          <w:sz w:val="28"/>
        </w:rPr>
        <w:t xml:space="preserve">Calculations </w:t>
      </w:r>
      <w:r w:rsidRPr="00DD7BD1">
        <w:rPr>
          <w:rFonts w:ascii="Calibri" w:hAnsi="Calibri" w:cs="Calibri"/>
          <w:b/>
          <w:color w:val="C00000"/>
          <w:spacing w:val="-6"/>
          <w:sz w:val="28"/>
        </w:rPr>
        <w:t>–</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Aug</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17,</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53034047"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6"/>
          <w:szCs w:val="22"/>
        </w:rPr>
        <w:t xml:space="preserve"> </w:t>
      </w:r>
      <w:r w:rsidRPr="00DD7BD1">
        <w:rPr>
          <w:rFonts w:cs="Calibri"/>
          <w:color w:val="auto"/>
          <w:szCs w:val="22"/>
        </w:rPr>
        <w:t>RI Employers</w:t>
      </w:r>
      <w:r w:rsidRPr="00DD7BD1">
        <w:rPr>
          <w:rFonts w:cs="Calibri"/>
          <w:color w:val="auto"/>
          <w:spacing w:val="38"/>
          <w:szCs w:val="22"/>
        </w:rPr>
        <w:t xml:space="preserve"> </w:t>
      </w:r>
      <w:r w:rsidRPr="00DD7BD1">
        <w:rPr>
          <w:rFonts w:cs="Calibri"/>
          <w:color w:val="auto"/>
          <w:szCs w:val="22"/>
        </w:rPr>
        <w:t>are</w:t>
      </w:r>
      <w:r w:rsidRPr="00DD7BD1">
        <w:rPr>
          <w:rFonts w:cs="Calibri"/>
          <w:color w:val="auto"/>
          <w:spacing w:val="39"/>
          <w:szCs w:val="22"/>
        </w:rPr>
        <w:t xml:space="preserve"> </w:t>
      </w:r>
      <w:r w:rsidRPr="00DD7BD1">
        <w:rPr>
          <w:rFonts w:cs="Calibri"/>
          <w:color w:val="auto"/>
          <w:szCs w:val="22"/>
        </w:rPr>
        <w:t>advised</w:t>
      </w:r>
      <w:r w:rsidRPr="00DD7BD1">
        <w:rPr>
          <w:rFonts w:cs="Calibri"/>
          <w:color w:val="auto"/>
          <w:spacing w:val="39"/>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review</w:t>
      </w:r>
      <w:r w:rsidRPr="00DD7BD1">
        <w:rPr>
          <w:rFonts w:cs="Calibri"/>
          <w:color w:val="auto"/>
          <w:spacing w:val="31"/>
          <w:szCs w:val="22"/>
        </w:rPr>
        <w:t xml:space="preserve"> </w:t>
      </w:r>
      <w:r w:rsidRPr="00DD7BD1">
        <w:rPr>
          <w:rFonts w:cs="Calibri"/>
          <w:color w:val="auto"/>
          <w:szCs w:val="22"/>
        </w:rPr>
        <w:t>the</w:t>
      </w:r>
      <w:r w:rsidRPr="00DD7BD1">
        <w:rPr>
          <w:rFonts w:cs="Calibri"/>
          <w:color w:val="auto"/>
          <w:spacing w:val="32"/>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rules</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determine</w:t>
      </w:r>
      <w:r w:rsidRPr="00DD7BD1">
        <w:rPr>
          <w:rFonts w:cs="Calibri"/>
          <w:color w:val="auto"/>
          <w:spacing w:val="32"/>
          <w:szCs w:val="22"/>
        </w:rPr>
        <w:t xml:space="preserve"> </w:t>
      </w:r>
      <w:r w:rsidRPr="00DD7BD1">
        <w:rPr>
          <w:rFonts w:cs="Calibri"/>
          <w:color w:val="auto"/>
          <w:szCs w:val="22"/>
        </w:rPr>
        <w:t>whether</w:t>
      </w:r>
      <w:r w:rsidRPr="00DD7BD1">
        <w:rPr>
          <w:rFonts w:cs="Calibri"/>
          <w:color w:val="auto"/>
          <w:spacing w:val="31"/>
          <w:szCs w:val="22"/>
        </w:rPr>
        <w:t xml:space="preserve"> </w:t>
      </w:r>
      <w:r w:rsidRPr="00DD7BD1">
        <w:rPr>
          <w:rFonts w:cs="Calibri"/>
          <w:color w:val="auto"/>
          <w:szCs w:val="22"/>
        </w:rPr>
        <w:t>they</w:t>
      </w:r>
      <w:r w:rsidRPr="00DD7BD1">
        <w:rPr>
          <w:rFonts w:cs="Calibri"/>
          <w:color w:val="auto"/>
          <w:spacing w:val="34"/>
          <w:szCs w:val="22"/>
        </w:rPr>
        <w:t xml:space="preserve"> </w:t>
      </w:r>
      <w:r w:rsidRPr="00DD7BD1">
        <w:rPr>
          <w:rFonts w:cs="Calibri"/>
          <w:color w:val="auto"/>
          <w:szCs w:val="22"/>
        </w:rPr>
        <w:t>are</w:t>
      </w:r>
      <w:r w:rsidRPr="00DD7BD1">
        <w:rPr>
          <w:rFonts w:cs="Calibri"/>
          <w:color w:val="auto"/>
          <w:spacing w:val="32"/>
          <w:szCs w:val="22"/>
        </w:rPr>
        <w:t xml:space="preserve"> </w:t>
      </w:r>
      <w:r w:rsidRPr="00DD7BD1">
        <w:rPr>
          <w:rFonts w:cs="Calibri"/>
          <w:color w:val="auto"/>
          <w:szCs w:val="22"/>
        </w:rPr>
        <w:t xml:space="preserve">in </w:t>
      </w:r>
      <w:r w:rsidRPr="00DD7BD1">
        <w:rPr>
          <w:rFonts w:cs="Calibri"/>
          <w:color w:val="auto"/>
          <w:w w:val="110"/>
          <w:szCs w:val="22"/>
        </w:rPr>
        <w:t>compliance</w:t>
      </w:r>
      <w:r w:rsidRPr="00DD7BD1">
        <w:rPr>
          <w:rFonts w:cs="Calibri"/>
          <w:color w:val="auto"/>
          <w:spacing w:val="-12"/>
          <w:w w:val="110"/>
          <w:szCs w:val="22"/>
        </w:rPr>
        <w:t xml:space="preserve"> </w:t>
      </w:r>
      <w:r w:rsidRPr="00DD7BD1">
        <w:rPr>
          <w:rFonts w:cs="Calibri"/>
          <w:color w:val="auto"/>
          <w:w w:val="110"/>
          <w:szCs w:val="22"/>
        </w:rPr>
        <w:t>with</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overtime</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2"/>
          <w:w w:val="110"/>
          <w:szCs w:val="22"/>
        </w:rPr>
        <w:t xml:space="preserve"> </w:t>
      </w:r>
      <w:r w:rsidRPr="00DD7BD1">
        <w:rPr>
          <w:rFonts w:cs="Calibri"/>
          <w:color w:val="auto"/>
          <w:w w:val="110"/>
          <w:szCs w:val="22"/>
        </w:rPr>
        <w:t>obligations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considered</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3"/>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 xml:space="preserve">wholesale </w:t>
      </w:r>
      <w:r w:rsidRPr="00DD7BD1">
        <w:rPr>
          <w:rFonts w:cs="Calibri"/>
          <w:color w:val="auto"/>
          <w:spacing w:val="-2"/>
          <w:w w:val="110"/>
          <w:szCs w:val="22"/>
        </w:rPr>
        <w:t>business.</w:t>
      </w:r>
    </w:p>
    <w:p w14:paraId="3EC5D456" w14:textId="77777777" w:rsidR="003D0CE0" w:rsidRPr="00DD7BD1" w:rsidRDefault="003D0CE0" w:rsidP="003D0CE0">
      <w:pPr>
        <w:pStyle w:val="BodyText"/>
        <w:spacing w:after="0" w:line="240" w:lineRule="auto"/>
        <w:ind w:right="-90"/>
        <w:jc w:val="left"/>
        <w:rPr>
          <w:rFonts w:cs="Calibri"/>
          <w:color w:val="auto"/>
          <w:sz w:val="16"/>
          <w:szCs w:val="16"/>
        </w:rPr>
      </w:pPr>
    </w:p>
    <w:p w14:paraId="466FBA56"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rules</w:t>
      </w:r>
      <w:r w:rsidRPr="00DD7BD1">
        <w:rPr>
          <w:rFonts w:cs="Calibri"/>
          <w:color w:val="auto"/>
          <w:spacing w:val="-5"/>
          <w:w w:val="110"/>
          <w:szCs w:val="22"/>
        </w:rPr>
        <w:t xml:space="preserve"> </w:t>
      </w:r>
      <w:r w:rsidRPr="00DD7BD1">
        <w:rPr>
          <w:rFonts w:cs="Calibri"/>
          <w:color w:val="auto"/>
          <w:w w:val="110"/>
          <w:szCs w:val="22"/>
        </w:rPr>
        <w:t>confirm</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general</w:t>
      </w:r>
      <w:r w:rsidRPr="00DD7BD1">
        <w:rPr>
          <w:rFonts w:cs="Calibri"/>
          <w:color w:val="auto"/>
          <w:spacing w:val="-8"/>
          <w:w w:val="110"/>
          <w:szCs w:val="22"/>
        </w:rPr>
        <w:t xml:space="preserve"> </w:t>
      </w:r>
      <w:r w:rsidRPr="00DD7BD1">
        <w:rPr>
          <w:rFonts w:cs="Calibri"/>
          <w:color w:val="auto"/>
          <w:w w:val="110"/>
          <w:szCs w:val="22"/>
        </w:rPr>
        <w:t>understanding</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overtime</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requirements</w:t>
      </w:r>
      <w:r w:rsidRPr="00DD7BD1">
        <w:rPr>
          <w:rFonts w:cs="Calibri"/>
          <w:color w:val="auto"/>
          <w:spacing w:val="-8"/>
          <w:w w:val="110"/>
          <w:szCs w:val="22"/>
        </w:rPr>
        <w:t xml:space="preserve"> </w:t>
      </w:r>
      <w:r w:rsidRPr="00DD7BD1">
        <w:rPr>
          <w:rFonts w:cs="Calibri"/>
          <w:color w:val="auto"/>
          <w:w w:val="110"/>
          <w:szCs w:val="22"/>
        </w:rPr>
        <w:t>but</w:t>
      </w:r>
      <w:r w:rsidRPr="00DD7BD1">
        <w:rPr>
          <w:rFonts w:cs="Calibri"/>
          <w:color w:val="auto"/>
          <w:spacing w:val="-9"/>
          <w:w w:val="110"/>
          <w:szCs w:val="22"/>
        </w:rPr>
        <w:t xml:space="preserve"> </w:t>
      </w:r>
      <w:r w:rsidRPr="00DD7BD1">
        <w:rPr>
          <w:rFonts w:cs="Calibri"/>
          <w:color w:val="auto"/>
          <w:w w:val="110"/>
          <w:szCs w:val="22"/>
        </w:rPr>
        <w:t>provide additional certainty for employers</w:t>
      </w:r>
      <w:r w:rsidRPr="00DD7BD1">
        <w:rPr>
          <w:rFonts w:cs="Calibri"/>
          <w:color w:val="auto"/>
          <w:spacing w:val="-1"/>
          <w:w w:val="110"/>
          <w:szCs w:val="22"/>
        </w:rPr>
        <w:t xml:space="preserve"> </w:t>
      </w:r>
      <w:r w:rsidRPr="00DD7BD1">
        <w:rPr>
          <w:rFonts w:cs="Calibri"/>
          <w:color w:val="auto"/>
          <w:w w:val="110"/>
          <w:szCs w:val="22"/>
        </w:rPr>
        <w:t>on which businesses are and are</w:t>
      </w:r>
      <w:r w:rsidRPr="00DD7BD1">
        <w:rPr>
          <w:rFonts w:cs="Calibri"/>
          <w:color w:val="auto"/>
          <w:spacing w:val="-2"/>
          <w:w w:val="110"/>
          <w:szCs w:val="22"/>
        </w:rPr>
        <w:t xml:space="preserve"> </w:t>
      </w:r>
      <w:r w:rsidRPr="00DD7BD1">
        <w:rPr>
          <w:rFonts w:cs="Calibri"/>
          <w:color w:val="auto"/>
          <w:w w:val="110"/>
          <w:szCs w:val="22"/>
        </w:rPr>
        <w:t>not considered retail.</w:t>
      </w:r>
    </w:p>
    <w:p w14:paraId="474C5FF1" w14:textId="77777777" w:rsidR="003D0CE0" w:rsidRPr="00DD7BD1" w:rsidRDefault="003D0CE0" w:rsidP="003D0CE0">
      <w:pPr>
        <w:pStyle w:val="BodyText"/>
        <w:spacing w:after="0" w:line="240" w:lineRule="auto"/>
        <w:ind w:right="-90"/>
        <w:jc w:val="left"/>
        <w:rPr>
          <w:rFonts w:cs="Calibri"/>
          <w:color w:val="auto"/>
          <w:sz w:val="16"/>
          <w:szCs w:val="16"/>
        </w:rPr>
      </w:pPr>
    </w:p>
    <w:p w14:paraId="58096D34"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Rhode</w:t>
      </w:r>
      <w:r w:rsidRPr="00DD7BD1">
        <w:rPr>
          <w:rFonts w:ascii="Calibri" w:hAnsi="Calibri" w:cs="Calibri"/>
          <w:spacing w:val="13"/>
          <w:w w:val="110"/>
        </w:rPr>
        <w:t xml:space="preserve"> </w:t>
      </w:r>
      <w:r w:rsidRPr="00DD7BD1">
        <w:rPr>
          <w:rFonts w:ascii="Calibri" w:hAnsi="Calibri" w:cs="Calibri"/>
          <w:w w:val="110"/>
        </w:rPr>
        <w:t>Island</w:t>
      </w:r>
      <w:r w:rsidRPr="00DD7BD1">
        <w:rPr>
          <w:rFonts w:ascii="Calibri" w:hAnsi="Calibri" w:cs="Calibri"/>
          <w:spacing w:val="11"/>
          <w:w w:val="110"/>
        </w:rPr>
        <w:t xml:space="preserve"> </w:t>
      </w:r>
      <w:r w:rsidRPr="00DD7BD1">
        <w:rPr>
          <w:rFonts w:ascii="Calibri" w:hAnsi="Calibri" w:cs="Calibri"/>
          <w:w w:val="110"/>
        </w:rPr>
        <w:t>DLT</w:t>
      </w:r>
      <w:r w:rsidRPr="00DD7BD1">
        <w:rPr>
          <w:rFonts w:ascii="Calibri" w:hAnsi="Calibri" w:cs="Calibri"/>
          <w:spacing w:val="11"/>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established</w:t>
      </w:r>
      <w:r w:rsidRPr="00DD7BD1">
        <w:rPr>
          <w:rFonts w:ascii="Calibri" w:hAnsi="Calibri" w:cs="Calibri"/>
          <w:spacing w:val="11"/>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rules</w:t>
      </w:r>
      <w:r w:rsidRPr="00DD7BD1">
        <w:rPr>
          <w:rFonts w:ascii="Calibri" w:hAnsi="Calibri" w:cs="Calibri"/>
          <w:spacing w:val="15"/>
          <w:w w:val="110"/>
        </w:rPr>
        <w:t xml:space="preserve"> </w:t>
      </w:r>
      <w:r w:rsidRPr="00DD7BD1">
        <w:rPr>
          <w:rFonts w:ascii="Calibri" w:hAnsi="Calibri" w:cs="Calibri"/>
          <w:w w:val="110"/>
        </w:rPr>
        <w:t>defining</w:t>
      </w:r>
      <w:r w:rsidRPr="00DD7BD1">
        <w:rPr>
          <w:rFonts w:ascii="Calibri" w:hAnsi="Calibri" w:cs="Calibri"/>
          <w:spacing w:val="11"/>
          <w:w w:val="110"/>
        </w:rPr>
        <w:t xml:space="preserve"> </w:t>
      </w:r>
      <w:r w:rsidRPr="00DD7BD1">
        <w:rPr>
          <w:rFonts w:ascii="Calibri" w:hAnsi="Calibri" w:cs="Calibri"/>
          <w:w w:val="110"/>
        </w:rPr>
        <w:t>“retail</w:t>
      </w:r>
      <w:r w:rsidRPr="00DD7BD1">
        <w:rPr>
          <w:rFonts w:ascii="Calibri" w:hAnsi="Calibri" w:cs="Calibri"/>
          <w:spacing w:val="11"/>
          <w:w w:val="110"/>
        </w:rPr>
        <w:t xml:space="preserve"> </w:t>
      </w:r>
      <w:r w:rsidRPr="00DD7BD1">
        <w:rPr>
          <w:rFonts w:ascii="Calibri" w:hAnsi="Calibri" w:cs="Calibri"/>
          <w:w w:val="110"/>
        </w:rPr>
        <w:t>businesses”</w:t>
      </w:r>
      <w:r w:rsidRPr="00DD7BD1">
        <w:rPr>
          <w:rFonts w:ascii="Calibri" w:hAnsi="Calibri" w:cs="Calibri"/>
          <w:spacing w:val="13"/>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clarifying</w:t>
      </w:r>
      <w:r w:rsidRPr="00DD7BD1">
        <w:rPr>
          <w:rFonts w:ascii="Calibri" w:hAnsi="Calibri" w:cs="Calibri"/>
          <w:spacing w:val="12"/>
          <w:w w:val="110"/>
        </w:rPr>
        <w:t xml:space="preserve"> </w:t>
      </w:r>
      <w:r w:rsidRPr="00DD7BD1">
        <w:rPr>
          <w:rFonts w:ascii="Calibri" w:hAnsi="Calibri" w:cs="Calibri"/>
          <w:w w:val="110"/>
        </w:rPr>
        <w:t>overtime</w:t>
      </w:r>
      <w:r w:rsidRPr="00DD7BD1">
        <w:rPr>
          <w:rFonts w:ascii="Calibri" w:hAnsi="Calibri" w:cs="Calibri"/>
          <w:spacing w:val="13"/>
          <w:w w:val="110"/>
        </w:rPr>
        <w:t xml:space="preserve"> </w:t>
      </w:r>
      <w:r w:rsidRPr="00DD7BD1">
        <w:rPr>
          <w:rFonts w:ascii="Calibri" w:hAnsi="Calibri" w:cs="Calibri"/>
          <w:spacing w:val="-5"/>
          <w:w w:val="110"/>
        </w:rPr>
        <w:t xml:space="preserve">and </w:t>
      </w:r>
      <w:r w:rsidRPr="00DD7BD1">
        <w:rPr>
          <w:rFonts w:ascii="Calibri" w:hAnsi="Calibri" w:cs="Calibri"/>
          <w:w w:val="110"/>
        </w:rPr>
        <w:t>holiday</w:t>
      </w:r>
      <w:r w:rsidRPr="00DD7BD1">
        <w:rPr>
          <w:rFonts w:ascii="Calibri" w:hAnsi="Calibri" w:cs="Calibri"/>
          <w:spacing w:val="-2"/>
          <w:w w:val="110"/>
        </w:rPr>
        <w:t xml:space="preserve"> </w:t>
      </w:r>
      <w:r w:rsidRPr="00DD7BD1">
        <w:rPr>
          <w:rFonts w:ascii="Calibri" w:hAnsi="Calibri" w:cs="Calibri"/>
          <w:w w:val="110"/>
        </w:rPr>
        <w:t>pay</w:t>
      </w:r>
      <w:r w:rsidRPr="00DD7BD1">
        <w:rPr>
          <w:rFonts w:ascii="Calibri" w:hAnsi="Calibri" w:cs="Calibri"/>
          <w:spacing w:val="-3"/>
          <w:w w:val="110"/>
        </w:rPr>
        <w:t xml:space="preserve"> </w:t>
      </w:r>
      <w:r w:rsidRPr="00DD7BD1">
        <w:rPr>
          <w:rFonts w:ascii="Calibri" w:hAnsi="Calibri" w:cs="Calibri"/>
          <w:w w:val="110"/>
        </w:rPr>
        <w:t>calculations,</w:t>
      </w:r>
      <w:r w:rsidRPr="00DD7BD1">
        <w:rPr>
          <w:rFonts w:ascii="Calibri" w:hAnsi="Calibri" w:cs="Calibri"/>
          <w:spacing w:val="-5"/>
          <w:w w:val="110"/>
        </w:rPr>
        <w:t xml:space="preserve"> </w:t>
      </w:r>
      <w:r w:rsidRPr="00DD7BD1">
        <w:rPr>
          <w:rFonts w:ascii="Calibri" w:hAnsi="Calibri" w:cs="Calibri"/>
          <w:w w:val="110"/>
        </w:rPr>
        <w:t>emphasizing</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3"/>
          <w:w w:val="110"/>
        </w:rPr>
        <w:t xml:space="preserve"> </w:t>
      </w:r>
      <w:r w:rsidRPr="00DD7BD1">
        <w:rPr>
          <w:rFonts w:ascii="Calibri" w:hAnsi="Calibri" w:cs="Calibri"/>
          <w:w w:val="110"/>
        </w:rPr>
        <w:t>those</w:t>
      </w:r>
      <w:r w:rsidRPr="00DD7BD1">
        <w:rPr>
          <w:rFonts w:ascii="Calibri" w:hAnsi="Calibri" w:cs="Calibri"/>
          <w:spacing w:val="-4"/>
          <w:w w:val="110"/>
        </w:rPr>
        <w:t xml:space="preserve"> </w:t>
      </w:r>
      <w:r w:rsidRPr="00DD7BD1">
        <w:rPr>
          <w:rFonts w:ascii="Calibri" w:hAnsi="Calibri" w:cs="Calibri"/>
          <w:w w:val="110"/>
        </w:rPr>
        <w:t>selling</w:t>
      </w:r>
      <w:r w:rsidRPr="00DD7BD1">
        <w:rPr>
          <w:rFonts w:ascii="Calibri" w:hAnsi="Calibri" w:cs="Calibri"/>
          <w:spacing w:val="-4"/>
          <w:w w:val="110"/>
        </w:rPr>
        <w:t xml:space="preserve"> </w:t>
      </w:r>
      <w:r w:rsidRPr="00DD7BD1">
        <w:rPr>
          <w:rFonts w:ascii="Calibri" w:hAnsi="Calibri" w:cs="Calibri"/>
          <w:w w:val="110"/>
        </w:rPr>
        <w:t>directly</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consumers</w:t>
      </w:r>
      <w:r w:rsidRPr="00DD7BD1">
        <w:rPr>
          <w:rFonts w:ascii="Calibri" w:hAnsi="Calibri" w:cs="Calibri"/>
          <w:spacing w:val="-1"/>
          <w:w w:val="110"/>
        </w:rPr>
        <w:t xml:space="preserve"> </w:t>
      </w:r>
      <w:r w:rsidRPr="00DD7BD1">
        <w:rPr>
          <w:rFonts w:ascii="Calibri" w:hAnsi="Calibri" w:cs="Calibri"/>
          <w:spacing w:val="-2"/>
          <w:w w:val="110"/>
        </w:rPr>
        <w:t>qualify.</w:t>
      </w:r>
    </w:p>
    <w:p w14:paraId="7CAF36C2"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 rules clarify that retail businesses can count Sunday and holiday hours towards overtime calculations, impacting how premium pay is administered during those periods.</w:t>
      </w:r>
    </w:p>
    <w:p w14:paraId="68D4ACA1"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41EF9B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 xml:space="preserve">Effective August 17, 2025, the DLT regulation, </w:t>
      </w:r>
      <w:r w:rsidRPr="00DD7BD1">
        <w:rPr>
          <w:rFonts w:cs="Calibri"/>
          <w:color w:val="2D74B5"/>
          <w:w w:val="110"/>
          <w:szCs w:val="22"/>
        </w:rPr>
        <w:t>“</w:t>
      </w:r>
      <w:hyperlink r:id="rId929">
        <w:r w:rsidRPr="00DD7BD1">
          <w:rPr>
            <w:rFonts w:cs="Calibri"/>
            <w:color w:val="0000FF"/>
            <w:w w:val="110"/>
            <w:szCs w:val="22"/>
            <w:u w:val="single" w:color="0000FF"/>
          </w:rPr>
          <w:t>Payment of Wages, Employer Exemptions from Weekly Pay, and</w:t>
        </w:r>
      </w:hyperlink>
      <w:r w:rsidRPr="00DD7BD1">
        <w:rPr>
          <w:rFonts w:cs="Calibri"/>
          <w:color w:val="0000FF"/>
          <w:w w:val="110"/>
          <w:szCs w:val="22"/>
        </w:rPr>
        <w:t xml:space="preserve"> </w:t>
      </w:r>
      <w:hyperlink r:id="rId930">
        <w:r w:rsidRPr="00DD7BD1">
          <w:rPr>
            <w:rFonts w:cs="Calibri"/>
            <w:color w:val="0000FF"/>
            <w:w w:val="110"/>
            <w:szCs w:val="22"/>
            <w:u w:val="single" w:color="0000FF"/>
          </w:rPr>
          <w:t>Exemptions</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for</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Work</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on</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Holidays</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and</w:t>
        </w:r>
        <w:r w:rsidRPr="00DD7BD1">
          <w:rPr>
            <w:rFonts w:cs="Calibri"/>
            <w:color w:val="0000FF"/>
            <w:spacing w:val="-12"/>
            <w:w w:val="110"/>
            <w:szCs w:val="22"/>
            <w:u w:val="single" w:color="0000FF"/>
          </w:rPr>
          <w:t xml:space="preserve"> </w:t>
        </w:r>
        <w:r w:rsidRPr="00DD7BD1">
          <w:rPr>
            <w:rFonts w:cs="Calibri"/>
            <w:color w:val="0000FF"/>
            <w:w w:val="110"/>
            <w:szCs w:val="22"/>
            <w:u w:val="single" w:color="0000FF"/>
          </w:rPr>
          <w:t>Sundays</w:t>
        </w:r>
      </w:hyperlink>
      <w:r w:rsidRPr="00DD7BD1">
        <w:rPr>
          <w:rFonts w:cs="Calibri"/>
          <w:color w:val="2D74B5"/>
          <w:w w:val="110"/>
          <w:szCs w:val="22"/>
        </w:rPr>
        <w:t>,”</w:t>
      </w:r>
      <w:r w:rsidRPr="00DD7BD1">
        <w:rPr>
          <w:rFonts w:cs="Calibri"/>
          <w:color w:val="2D74B5"/>
          <w:spacing w:val="-11"/>
          <w:w w:val="110"/>
          <w:szCs w:val="22"/>
        </w:rPr>
        <w:t xml:space="preserve"> </w:t>
      </w:r>
      <w:r w:rsidRPr="00DD7BD1">
        <w:rPr>
          <w:rFonts w:cs="Calibri"/>
          <w:color w:val="auto"/>
          <w:w w:val="110"/>
          <w:szCs w:val="22"/>
        </w:rPr>
        <w:t>(260-RICR-30-05-2)</w:t>
      </w:r>
      <w:r w:rsidRPr="00DD7BD1">
        <w:rPr>
          <w:rFonts w:cs="Calibri"/>
          <w:color w:val="auto"/>
          <w:spacing w:val="-12"/>
          <w:w w:val="110"/>
          <w:szCs w:val="22"/>
        </w:rPr>
        <w:t xml:space="preserve"> </w:t>
      </w:r>
      <w:r w:rsidRPr="00DD7BD1">
        <w:rPr>
          <w:rFonts w:cs="Calibri"/>
          <w:color w:val="auto"/>
          <w:w w:val="110"/>
          <w:szCs w:val="22"/>
        </w:rPr>
        <w:t>outlines</w:t>
      </w:r>
      <w:r w:rsidRPr="00DD7BD1">
        <w:rPr>
          <w:rFonts w:cs="Calibri"/>
          <w:color w:val="auto"/>
          <w:spacing w:val="-11"/>
          <w:w w:val="110"/>
          <w:szCs w:val="22"/>
        </w:rPr>
        <w:t xml:space="preserve"> </w:t>
      </w:r>
      <w:r w:rsidRPr="00DD7BD1">
        <w:rPr>
          <w:rFonts w:cs="Calibri"/>
          <w:color w:val="auto"/>
          <w:w w:val="110"/>
          <w:szCs w:val="22"/>
        </w:rPr>
        <w:t>rules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procedures</w:t>
      </w:r>
      <w:r w:rsidRPr="00DD7BD1">
        <w:rPr>
          <w:rFonts w:cs="Calibri"/>
          <w:color w:val="auto"/>
          <w:spacing w:val="-8"/>
          <w:w w:val="110"/>
          <w:szCs w:val="22"/>
        </w:rPr>
        <w:t xml:space="preserve"> </w:t>
      </w:r>
      <w:r w:rsidRPr="00DD7BD1">
        <w:rPr>
          <w:rFonts w:cs="Calibri"/>
          <w:color w:val="auto"/>
          <w:w w:val="110"/>
          <w:szCs w:val="22"/>
        </w:rPr>
        <w:t>related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 payment of wages, exemptions from weekly pay requirements, and exemptions from premium pay for work on Sundays and holidays.</w:t>
      </w:r>
    </w:p>
    <w:p w14:paraId="203E4545"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0FF41D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rules</w:t>
      </w:r>
      <w:r w:rsidRPr="00DD7BD1">
        <w:rPr>
          <w:rFonts w:cs="Calibri"/>
          <w:color w:val="auto"/>
          <w:spacing w:val="-11"/>
          <w:w w:val="110"/>
          <w:szCs w:val="22"/>
        </w:rPr>
        <w:t xml:space="preserve"> </w:t>
      </w:r>
      <w:r w:rsidRPr="00DD7BD1">
        <w:rPr>
          <w:rFonts w:cs="Calibri"/>
          <w:color w:val="auto"/>
          <w:w w:val="110"/>
          <w:szCs w:val="22"/>
        </w:rPr>
        <w:t>define</w:t>
      </w:r>
      <w:r w:rsidRPr="00DD7BD1">
        <w:rPr>
          <w:rFonts w:cs="Calibri"/>
          <w:color w:val="auto"/>
          <w:spacing w:val="-11"/>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businesses”</w:t>
      </w:r>
      <w:r w:rsidRPr="00DD7BD1">
        <w:rPr>
          <w:rFonts w:cs="Calibri"/>
          <w:color w:val="auto"/>
          <w:spacing w:val="-13"/>
          <w:w w:val="110"/>
          <w:szCs w:val="22"/>
        </w:rPr>
        <w:t xml:space="preserve"> </w:t>
      </w:r>
      <w:r w:rsidRPr="00DD7BD1">
        <w:rPr>
          <w:rFonts w:cs="Calibri"/>
          <w:color w:val="auto"/>
          <w:w w:val="110"/>
          <w:szCs w:val="22"/>
        </w:rPr>
        <w:t>as</w:t>
      </w:r>
      <w:r w:rsidRPr="00DD7BD1">
        <w:rPr>
          <w:rFonts w:cs="Calibri"/>
          <w:color w:val="auto"/>
          <w:spacing w:val="-14"/>
          <w:w w:val="110"/>
          <w:szCs w:val="22"/>
        </w:rPr>
        <w:t xml:space="preserve"> </w:t>
      </w:r>
      <w:r w:rsidRPr="00DD7BD1">
        <w:rPr>
          <w:rFonts w:cs="Calibri"/>
          <w:color w:val="auto"/>
          <w:w w:val="110"/>
          <w:szCs w:val="22"/>
        </w:rPr>
        <w:t>those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sell</w:t>
      </w:r>
      <w:r w:rsidRPr="00DD7BD1">
        <w:rPr>
          <w:rFonts w:cs="Calibri"/>
          <w:color w:val="auto"/>
          <w:spacing w:val="-14"/>
          <w:w w:val="110"/>
          <w:szCs w:val="22"/>
        </w:rPr>
        <w:t xml:space="preserve"> </w:t>
      </w:r>
      <w:r w:rsidRPr="00DD7BD1">
        <w:rPr>
          <w:rFonts w:cs="Calibri"/>
          <w:color w:val="auto"/>
          <w:w w:val="110"/>
          <w:szCs w:val="22"/>
        </w:rPr>
        <w:t>directly</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consumers</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not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3"/>
          <w:w w:val="110"/>
          <w:szCs w:val="22"/>
        </w:rPr>
        <w:t xml:space="preserve"> </w:t>
      </w:r>
      <w:r w:rsidRPr="00DD7BD1">
        <w:rPr>
          <w:rFonts w:cs="Calibri"/>
          <w:color w:val="auto"/>
          <w:w w:val="110"/>
          <w:szCs w:val="22"/>
        </w:rPr>
        <w:t xml:space="preserve">businesses. </w:t>
      </w:r>
      <w:r w:rsidRPr="00DD7BD1">
        <w:rPr>
          <w:rFonts w:cs="Calibri"/>
          <w:color w:val="auto"/>
          <w:spacing w:val="-2"/>
          <w:w w:val="115"/>
          <w:szCs w:val="22"/>
        </w:rPr>
        <w:t>This</w:t>
      </w:r>
      <w:r w:rsidRPr="00DD7BD1">
        <w:rPr>
          <w:rFonts w:cs="Calibri"/>
          <w:color w:val="auto"/>
          <w:spacing w:val="-12"/>
          <w:w w:val="115"/>
          <w:szCs w:val="22"/>
        </w:rPr>
        <w:t xml:space="preserve"> </w:t>
      </w:r>
      <w:r w:rsidRPr="00DD7BD1">
        <w:rPr>
          <w:rFonts w:cs="Calibri"/>
          <w:color w:val="auto"/>
          <w:spacing w:val="-2"/>
          <w:w w:val="115"/>
          <w:szCs w:val="22"/>
        </w:rPr>
        <w:t>distinction</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0"/>
          <w:w w:val="115"/>
          <w:szCs w:val="22"/>
        </w:rPr>
        <w:t xml:space="preserve"> </w:t>
      </w:r>
      <w:r w:rsidRPr="00DD7BD1">
        <w:rPr>
          <w:rFonts w:cs="Calibri"/>
          <w:color w:val="auto"/>
          <w:spacing w:val="-2"/>
          <w:w w:val="115"/>
          <w:szCs w:val="22"/>
        </w:rPr>
        <w:t>critical</w:t>
      </w:r>
      <w:r w:rsidRPr="00DD7BD1">
        <w:rPr>
          <w:rFonts w:cs="Calibri"/>
          <w:color w:val="auto"/>
          <w:spacing w:val="-13"/>
          <w:w w:val="115"/>
          <w:szCs w:val="22"/>
        </w:rPr>
        <w:t xml:space="preserve"> </w:t>
      </w:r>
      <w:r w:rsidRPr="00DD7BD1">
        <w:rPr>
          <w:rFonts w:cs="Calibri"/>
          <w:color w:val="auto"/>
          <w:spacing w:val="-2"/>
          <w:w w:val="115"/>
          <w:szCs w:val="22"/>
        </w:rPr>
        <w:t>for</w:t>
      </w:r>
      <w:r w:rsidRPr="00DD7BD1">
        <w:rPr>
          <w:rFonts w:cs="Calibri"/>
          <w:color w:val="auto"/>
          <w:spacing w:val="-12"/>
          <w:w w:val="115"/>
          <w:szCs w:val="22"/>
        </w:rPr>
        <w:t xml:space="preserve"> </w:t>
      </w:r>
      <w:r w:rsidRPr="00DD7BD1">
        <w:rPr>
          <w:rFonts w:cs="Calibri"/>
          <w:color w:val="auto"/>
          <w:spacing w:val="-2"/>
          <w:w w:val="115"/>
          <w:szCs w:val="22"/>
        </w:rPr>
        <w:t>calculating</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3"/>
          <w:w w:val="115"/>
          <w:szCs w:val="22"/>
        </w:rPr>
        <w:t xml:space="preserve"> </w:t>
      </w:r>
      <w:r w:rsidRPr="00DD7BD1">
        <w:rPr>
          <w:rFonts w:cs="Calibri"/>
          <w:color w:val="auto"/>
          <w:spacing w:val="-2"/>
          <w:w w:val="115"/>
          <w:szCs w:val="22"/>
        </w:rPr>
        <w:t>and</w:t>
      </w:r>
      <w:r w:rsidRPr="00DD7BD1">
        <w:rPr>
          <w:rFonts w:cs="Calibri"/>
          <w:color w:val="auto"/>
          <w:spacing w:val="-13"/>
          <w:w w:val="115"/>
          <w:szCs w:val="22"/>
        </w:rPr>
        <w:t xml:space="preserve"> </w:t>
      </w:r>
      <w:r w:rsidRPr="00DD7BD1">
        <w:rPr>
          <w:rFonts w:cs="Calibri"/>
          <w:color w:val="auto"/>
          <w:spacing w:val="-2"/>
          <w:w w:val="115"/>
          <w:szCs w:val="22"/>
        </w:rPr>
        <w:t>Sunday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4"/>
          <w:w w:val="115"/>
          <w:szCs w:val="22"/>
        </w:rPr>
        <w:t xml:space="preserve"> </w:t>
      </w:r>
      <w:r w:rsidRPr="00DD7BD1">
        <w:rPr>
          <w:rFonts w:cs="Calibri"/>
          <w:color w:val="auto"/>
          <w:spacing w:val="-2"/>
          <w:w w:val="115"/>
          <w:szCs w:val="22"/>
        </w:rPr>
        <w:t>holiday</w:t>
      </w:r>
      <w:r w:rsidRPr="00DD7BD1">
        <w:rPr>
          <w:rFonts w:cs="Calibri"/>
          <w:color w:val="auto"/>
          <w:spacing w:val="-13"/>
          <w:w w:val="115"/>
          <w:szCs w:val="22"/>
        </w:rPr>
        <w:t xml:space="preserve"> </w:t>
      </w:r>
      <w:r w:rsidRPr="00DD7BD1">
        <w:rPr>
          <w:rFonts w:cs="Calibri"/>
          <w:color w:val="auto"/>
          <w:spacing w:val="-2"/>
          <w:w w:val="115"/>
          <w:szCs w:val="22"/>
        </w:rPr>
        <w:t>pay,</w:t>
      </w:r>
      <w:r w:rsidRPr="00DD7BD1">
        <w:rPr>
          <w:rFonts w:cs="Calibri"/>
          <w:color w:val="auto"/>
          <w:spacing w:val="-14"/>
          <w:w w:val="115"/>
          <w:szCs w:val="22"/>
        </w:rPr>
        <w:t xml:space="preserve"> </w:t>
      </w:r>
      <w:r w:rsidRPr="00DD7BD1">
        <w:rPr>
          <w:rFonts w:cs="Calibri"/>
          <w:color w:val="auto"/>
          <w:spacing w:val="-2"/>
          <w:w w:val="115"/>
          <w:szCs w:val="22"/>
        </w:rPr>
        <w:t>as</w:t>
      </w:r>
      <w:r w:rsidRPr="00DD7BD1">
        <w:rPr>
          <w:rFonts w:cs="Calibri"/>
          <w:color w:val="auto"/>
          <w:spacing w:val="-13"/>
          <w:w w:val="115"/>
          <w:szCs w:val="22"/>
        </w:rPr>
        <w:t xml:space="preserve"> </w:t>
      </w:r>
      <w:r w:rsidRPr="00DD7BD1">
        <w:rPr>
          <w:rFonts w:cs="Calibri"/>
          <w:color w:val="auto"/>
          <w:spacing w:val="-2"/>
          <w:w w:val="115"/>
          <w:szCs w:val="22"/>
        </w:rPr>
        <w:t>retail</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2"/>
          <w:w w:val="115"/>
          <w:szCs w:val="22"/>
        </w:rPr>
        <w:t xml:space="preserve"> </w:t>
      </w:r>
      <w:r w:rsidRPr="00DD7BD1">
        <w:rPr>
          <w:rFonts w:cs="Calibri"/>
          <w:color w:val="auto"/>
          <w:spacing w:val="-2"/>
          <w:w w:val="115"/>
          <w:szCs w:val="22"/>
        </w:rPr>
        <w:t>are</w:t>
      </w:r>
      <w:r w:rsidRPr="00DD7BD1">
        <w:rPr>
          <w:rFonts w:cs="Calibri"/>
          <w:color w:val="auto"/>
          <w:spacing w:val="-11"/>
          <w:w w:val="115"/>
          <w:szCs w:val="22"/>
        </w:rPr>
        <w:t xml:space="preserve"> </w:t>
      </w:r>
      <w:r w:rsidRPr="00DD7BD1">
        <w:rPr>
          <w:rFonts w:cs="Calibri"/>
          <w:color w:val="auto"/>
          <w:spacing w:val="-2"/>
          <w:w w:val="115"/>
          <w:szCs w:val="22"/>
        </w:rPr>
        <w:t>allowed</w:t>
      </w:r>
      <w:r w:rsidRPr="00DD7BD1">
        <w:rPr>
          <w:rFonts w:cs="Calibri"/>
          <w:color w:val="auto"/>
          <w:spacing w:val="-13"/>
          <w:w w:val="115"/>
          <w:szCs w:val="22"/>
        </w:rPr>
        <w:t xml:space="preserve"> </w:t>
      </w:r>
      <w:r w:rsidRPr="00DD7BD1">
        <w:rPr>
          <w:rFonts w:cs="Calibri"/>
          <w:color w:val="auto"/>
          <w:spacing w:val="-2"/>
          <w:w w:val="115"/>
          <w:szCs w:val="22"/>
        </w:rPr>
        <w:t>to count</w:t>
      </w:r>
      <w:r w:rsidRPr="00DD7BD1">
        <w:rPr>
          <w:rFonts w:cs="Calibri"/>
          <w:color w:val="auto"/>
          <w:spacing w:val="-10"/>
          <w:w w:val="115"/>
          <w:szCs w:val="22"/>
        </w:rPr>
        <w:t xml:space="preserve"> </w:t>
      </w:r>
      <w:r w:rsidRPr="00DD7BD1">
        <w:rPr>
          <w:rFonts w:cs="Calibri"/>
          <w:color w:val="auto"/>
          <w:spacing w:val="-2"/>
          <w:w w:val="115"/>
          <w:szCs w:val="22"/>
        </w:rPr>
        <w:t>Sunday</w:t>
      </w:r>
      <w:r w:rsidRPr="00DD7BD1">
        <w:rPr>
          <w:rFonts w:cs="Calibri"/>
          <w:color w:val="auto"/>
          <w:spacing w:val="-12"/>
          <w:w w:val="115"/>
          <w:szCs w:val="22"/>
        </w:rPr>
        <w:t xml:space="preserve"> </w:t>
      </w:r>
      <w:r w:rsidRPr="00DD7BD1">
        <w:rPr>
          <w:rFonts w:cs="Calibri"/>
          <w:color w:val="auto"/>
          <w:spacing w:val="-2"/>
          <w:w w:val="115"/>
          <w:szCs w:val="22"/>
        </w:rPr>
        <w:t>and</w:t>
      </w:r>
      <w:r w:rsidRPr="00DD7BD1">
        <w:rPr>
          <w:rFonts w:cs="Calibri"/>
          <w:color w:val="auto"/>
          <w:spacing w:val="-11"/>
          <w:w w:val="115"/>
          <w:szCs w:val="22"/>
        </w:rPr>
        <w:t xml:space="preserve"> </w:t>
      </w:r>
      <w:r w:rsidRPr="00DD7BD1">
        <w:rPr>
          <w:rFonts w:cs="Calibri"/>
          <w:color w:val="auto"/>
          <w:spacing w:val="-2"/>
          <w:w w:val="115"/>
          <w:szCs w:val="22"/>
        </w:rPr>
        <w:t>holiday</w:t>
      </w:r>
      <w:r w:rsidRPr="00DD7BD1">
        <w:rPr>
          <w:rFonts w:cs="Calibri"/>
          <w:color w:val="auto"/>
          <w:spacing w:val="-10"/>
          <w:w w:val="115"/>
          <w:szCs w:val="22"/>
        </w:rPr>
        <w:t xml:space="preserve"> </w:t>
      </w:r>
      <w:r w:rsidRPr="00DD7BD1">
        <w:rPr>
          <w:rFonts w:cs="Calibri"/>
          <w:color w:val="auto"/>
          <w:spacing w:val="-2"/>
          <w:w w:val="115"/>
          <w:szCs w:val="22"/>
        </w:rPr>
        <w:t>pay</w:t>
      </w:r>
      <w:r w:rsidRPr="00DD7BD1">
        <w:rPr>
          <w:rFonts w:cs="Calibri"/>
          <w:color w:val="auto"/>
          <w:spacing w:val="-12"/>
          <w:w w:val="115"/>
          <w:szCs w:val="22"/>
        </w:rPr>
        <w:t xml:space="preserve"> </w:t>
      </w:r>
      <w:r w:rsidRPr="00DD7BD1">
        <w:rPr>
          <w:rFonts w:cs="Calibri"/>
          <w:color w:val="auto"/>
          <w:spacing w:val="-2"/>
          <w:w w:val="115"/>
          <w:szCs w:val="22"/>
        </w:rPr>
        <w:t>against</w:t>
      </w:r>
      <w:r w:rsidRPr="00DD7BD1">
        <w:rPr>
          <w:rFonts w:cs="Calibri"/>
          <w:color w:val="auto"/>
          <w:spacing w:val="-11"/>
          <w:w w:val="115"/>
          <w:szCs w:val="22"/>
        </w:rPr>
        <w:t xml:space="preserve"> </w:t>
      </w:r>
      <w:r w:rsidRPr="00DD7BD1">
        <w:rPr>
          <w:rFonts w:cs="Calibri"/>
          <w:color w:val="auto"/>
          <w:spacing w:val="-2"/>
          <w:w w:val="115"/>
          <w:szCs w:val="22"/>
        </w:rPr>
        <w:t>any</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2"/>
          <w:w w:val="115"/>
          <w:szCs w:val="22"/>
        </w:rPr>
        <w:t xml:space="preserve"> </w:t>
      </w:r>
      <w:r w:rsidRPr="00DD7BD1">
        <w:rPr>
          <w:rFonts w:cs="Calibri"/>
          <w:color w:val="auto"/>
          <w:spacing w:val="-2"/>
          <w:w w:val="115"/>
          <w:szCs w:val="22"/>
        </w:rPr>
        <w:t>hours</w:t>
      </w:r>
      <w:r w:rsidRPr="00DD7BD1">
        <w:rPr>
          <w:rFonts w:cs="Calibri"/>
          <w:color w:val="auto"/>
          <w:spacing w:val="-10"/>
          <w:w w:val="115"/>
          <w:szCs w:val="22"/>
        </w:rPr>
        <w:t xml:space="preserve"> </w:t>
      </w:r>
      <w:r w:rsidRPr="00DD7BD1">
        <w:rPr>
          <w:rFonts w:cs="Calibri"/>
          <w:color w:val="auto"/>
          <w:spacing w:val="-2"/>
          <w:w w:val="115"/>
          <w:szCs w:val="22"/>
        </w:rPr>
        <w:t>worked.</w:t>
      </w:r>
    </w:p>
    <w:p w14:paraId="232D7108" w14:textId="77777777" w:rsidR="003D0CE0" w:rsidRPr="00DD7BD1" w:rsidRDefault="003D0CE0" w:rsidP="003D0CE0">
      <w:pPr>
        <w:pStyle w:val="Heading4"/>
        <w:spacing w:before="0"/>
        <w:ind w:right="-90"/>
        <w:rPr>
          <w:rFonts w:ascii="Calibri" w:hAnsi="Calibri" w:cs="Calibri"/>
          <w:i w:val="0"/>
          <w:iCs w:val="0"/>
          <w:color w:val="auto"/>
          <w:spacing w:val="-6"/>
          <w:sz w:val="16"/>
          <w:szCs w:val="16"/>
        </w:rPr>
      </w:pPr>
    </w:p>
    <w:p w14:paraId="21560884"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Definition of Retail Business</w:t>
      </w:r>
    </w:p>
    <w:p w14:paraId="7C9163CD"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 xml:space="preserve">The rules define “retail businesses” as establishments “engaged primarily in the sale of goods or services directly </w:t>
      </w:r>
      <w:r w:rsidRPr="00DD7BD1">
        <w:rPr>
          <w:rFonts w:cs="Calibri"/>
          <w:color w:val="auto"/>
          <w:szCs w:val="22"/>
        </w:rPr>
        <w:t xml:space="preserve">to the general public” and that “operate[] at the end of the distribution chain, selling in small quantities to the ultimate </w:t>
      </w:r>
      <w:r w:rsidRPr="00DD7BD1">
        <w:rPr>
          <w:rFonts w:cs="Calibri"/>
          <w:color w:val="auto"/>
          <w:w w:val="110"/>
          <w:szCs w:val="22"/>
        </w:rPr>
        <w:t>consumer in a manner consistent with other consumer goods and services.”</w:t>
      </w:r>
    </w:p>
    <w:p w14:paraId="70AEA3FC" w14:textId="77777777" w:rsidR="003D0CE0" w:rsidRPr="00DD7BD1" w:rsidRDefault="003D0CE0" w:rsidP="003D0CE0">
      <w:pPr>
        <w:pStyle w:val="BodyText"/>
        <w:spacing w:after="0" w:line="240" w:lineRule="auto"/>
        <w:ind w:right="-90"/>
        <w:jc w:val="left"/>
        <w:rPr>
          <w:rFonts w:cs="Calibri"/>
          <w:color w:val="auto"/>
          <w:sz w:val="16"/>
          <w:szCs w:val="16"/>
        </w:rPr>
      </w:pPr>
    </w:p>
    <w:p w14:paraId="76D5E5C4"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primarily</w:t>
      </w:r>
      <w:r w:rsidRPr="00DD7BD1">
        <w:rPr>
          <w:rFonts w:cs="Calibri"/>
          <w:color w:val="auto"/>
          <w:spacing w:val="-9"/>
          <w:w w:val="110"/>
          <w:szCs w:val="22"/>
        </w:rPr>
        <w:t xml:space="preserve"> </w:t>
      </w:r>
      <w:r w:rsidRPr="00DD7BD1">
        <w:rPr>
          <w:rFonts w:cs="Calibri"/>
          <w:color w:val="auto"/>
          <w:w w:val="110"/>
          <w:szCs w:val="22"/>
        </w:rPr>
        <w:t>prepare</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sell</w:t>
      </w:r>
      <w:r w:rsidRPr="00DD7BD1">
        <w:rPr>
          <w:rFonts w:cs="Calibri"/>
          <w:color w:val="auto"/>
          <w:spacing w:val="-11"/>
          <w:w w:val="110"/>
          <w:szCs w:val="22"/>
        </w:rPr>
        <w:t xml:space="preserve"> </w:t>
      </w:r>
      <w:r w:rsidRPr="00DD7BD1">
        <w:rPr>
          <w:rFonts w:cs="Calibri"/>
          <w:color w:val="auto"/>
          <w:w w:val="110"/>
          <w:szCs w:val="22"/>
        </w:rPr>
        <w:t>food</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immediate</w:t>
      </w:r>
      <w:r w:rsidRPr="00DD7BD1">
        <w:rPr>
          <w:rFonts w:cs="Calibri"/>
          <w:color w:val="auto"/>
          <w:spacing w:val="-9"/>
          <w:w w:val="110"/>
          <w:szCs w:val="22"/>
        </w:rPr>
        <w:t xml:space="preserve"> </w:t>
      </w:r>
      <w:r w:rsidRPr="00DD7BD1">
        <w:rPr>
          <w:rFonts w:cs="Calibri"/>
          <w:color w:val="auto"/>
          <w:w w:val="110"/>
          <w:szCs w:val="22"/>
        </w:rPr>
        <w:t>consumption”</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“wholesale</w:t>
      </w:r>
      <w:r w:rsidRPr="00DD7BD1">
        <w:rPr>
          <w:rFonts w:cs="Calibri"/>
          <w:color w:val="auto"/>
          <w:spacing w:val="-12"/>
          <w:w w:val="110"/>
          <w:szCs w:val="22"/>
        </w:rPr>
        <w:t xml:space="preserve"> </w:t>
      </w:r>
      <w:r w:rsidRPr="00DD7BD1">
        <w:rPr>
          <w:rFonts w:cs="Calibri"/>
          <w:color w:val="auto"/>
          <w:w w:val="110"/>
          <w:szCs w:val="22"/>
        </w:rPr>
        <w:t>operations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serve other businesses rather than individual consumers.”</w:t>
      </w:r>
    </w:p>
    <w:p w14:paraId="06DC8DB6" w14:textId="77777777" w:rsidR="003D0CE0" w:rsidRPr="00DD7BD1" w:rsidRDefault="003D0CE0" w:rsidP="003D0CE0">
      <w:pPr>
        <w:pStyle w:val="Heading4"/>
        <w:spacing w:before="0"/>
        <w:ind w:right="-90"/>
        <w:rPr>
          <w:rFonts w:ascii="Calibri" w:hAnsi="Calibri" w:cs="Calibri"/>
          <w:i w:val="0"/>
          <w:iCs w:val="0"/>
          <w:color w:val="auto"/>
          <w:w w:val="90"/>
          <w:sz w:val="16"/>
          <w:szCs w:val="16"/>
        </w:rPr>
      </w:pPr>
    </w:p>
    <w:p w14:paraId="56353C2F"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Overtime Pay Requirements</w:t>
      </w:r>
    </w:p>
    <w:p w14:paraId="5352B256"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color w:val="auto"/>
          <w:w w:val="110"/>
          <w:szCs w:val="22"/>
        </w:rPr>
        <w:t>Rhode</w:t>
      </w:r>
      <w:r w:rsidRPr="00DD7BD1">
        <w:rPr>
          <w:rFonts w:cs="Calibri"/>
          <w:color w:val="auto"/>
          <w:spacing w:val="-11"/>
          <w:w w:val="110"/>
          <w:szCs w:val="22"/>
        </w:rPr>
        <w:t xml:space="preserve"> </w:t>
      </w:r>
      <w:r w:rsidRPr="00DD7BD1">
        <w:rPr>
          <w:rFonts w:cs="Calibri"/>
          <w:color w:val="auto"/>
          <w:w w:val="110"/>
          <w:szCs w:val="22"/>
        </w:rPr>
        <w:t>Island</w:t>
      </w:r>
      <w:r w:rsidRPr="00DD7BD1">
        <w:rPr>
          <w:rFonts w:cs="Calibri"/>
          <w:color w:val="auto"/>
          <w:spacing w:val="-9"/>
          <w:w w:val="110"/>
          <w:szCs w:val="22"/>
        </w:rPr>
        <w:t xml:space="preserve"> </w:t>
      </w:r>
      <w:r w:rsidRPr="00DD7BD1">
        <w:rPr>
          <w:rFonts w:cs="Calibri"/>
          <w:color w:val="auto"/>
          <w:w w:val="110"/>
          <w:szCs w:val="22"/>
        </w:rPr>
        <w:t>law</w:t>
      </w:r>
      <w:r w:rsidRPr="00DD7BD1">
        <w:rPr>
          <w:rFonts w:cs="Calibri"/>
          <w:color w:val="auto"/>
          <w:spacing w:val="-10"/>
          <w:w w:val="110"/>
          <w:szCs w:val="22"/>
        </w:rPr>
        <w:t xml:space="preserve"> </w:t>
      </w:r>
      <w:r w:rsidRPr="00DD7BD1">
        <w:rPr>
          <w:rFonts w:cs="Calibri"/>
          <w:color w:val="auto"/>
          <w:w w:val="110"/>
          <w:szCs w:val="22"/>
        </w:rPr>
        <w:t>requires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nonexempt</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11"/>
          <w:w w:val="110"/>
          <w:szCs w:val="22"/>
        </w:rPr>
        <w:t xml:space="preserve"> </w:t>
      </w:r>
      <w:r w:rsidRPr="00DD7BD1">
        <w:rPr>
          <w:rFonts w:cs="Calibri"/>
          <w:color w:val="auto"/>
          <w:w w:val="110"/>
          <w:szCs w:val="22"/>
        </w:rPr>
        <w:t>one-and-a-half</w:t>
      </w:r>
      <w:r w:rsidRPr="00DD7BD1">
        <w:rPr>
          <w:rFonts w:cs="Calibri"/>
          <w:color w:val="auto"/>
          <w:spacing w:val="-9"/>
          <w:w w:val="110"/>
          <w:szCs w:val="22"/>
        </w:rPr>
        <w:t xml:space="preserve"> </w:t>
      </w:r>
      <w:r w:rsidRPr="00DD7BD1">
        <w:rPr>
          <w:rFonts w:cs="Calibri"/>
          <w:color w:val="auto"/>
          <w:w w:val="110"/>
          <w:szCs w:val="22"/>
        </w:rPr>
        <w:t>times</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10"/>
          <w:w w:val="110"/>
          <w:szCs w:val="22"/>
        </w:rPr>
        <w:t xml:space="preserve"> </w:t>
      </w:r>
      <w:r w:rsidRPr="00DD7BD1">
        <w:rPr>
          <w:rFonts w:cs="Calibri"/>
          <w:color w:val="auto"/>
          <w:w w:val="110"/>
          <w:szCs w:val="22"/>
        </w:rPr>
        <w:t>regular</w:t>
      </w:r>
      <w:r w:rsidRPr="00DD7BD1">
        <w:rPr>
          <w:rFonts w:cs="Calibri"/>
          <w:color w:val="auto"/>
          <w:spacing w:val="-10"/>
          <w:w w:val="110"/>
          <w:szCs w:val="22"/>
        </w:rPr>
        <w:t xml:space="preserve"> </w:t>
      </w:r>
      <w:r w:rsidRPr="00DD7BD1">
        <w:rPr>
          <w:rFonts w:cs="Calibri"/>
          <w:color w:val="auto"/>
          <w:w w:val="110"/>
          <w:szCs w:val="22"/>
        </w:rPr>
        <w:t>rate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 xml:space="preserve">any </w:t>
      </w:r>
      <w:r w:rsidRPr="00DD7BD1">
        <w:rPr>
          <w:rFonts w:cs="Calibri"/>
          <w:color w:val="auto"/>
          <w:szCs w:val="22"/>
        </w:rPr>
        <w:t xml:space="preserve">hours worked over forty in a week, which is consistent with the federal Fair Labor Standards Act (FLSA). Additionally,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entitled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premium</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3"/>
          <w:w w:val="110"/>
          <w:szCs w:val="22"/>
        </w:rPr>
        <w:t xml:space="preserve"> </w:t>
      </w:r>
      <w:r w:rsidRPr="00DD7BD1">
        <w:rPr>
          <w:rFonts w:cs="Calibri"/>
          <w:color w:val="auto"/>
          <w:w w:val="110"/>
          <w:szCs w:val="22"/>
        </w:rPr>
        <w:t>equal</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one-and-a-half</w:t>
      </w:r>
      <w:r w:rsidRPr="00DD7BD1">
        <w:rPr>
          <w:rFonts w:cs="Calibri"/>
          <w:color w:val="auto"/>
          <w:spacing w:val="-14"/>
          <w:w w:val="110"/>
          <w:szCs w:val="22"/>
        </w:rPr>
        <w:t xml:space="preserve"> </w:t>
      </w:r>
      <w:r w:rsidRPr="00DD7BD1">
        <w:rPr>
          <w:rFonts w:cs="Calibri"/>
          <w:color w:val="auto"/>
          <w:w w:val="110"/>
          <w:szCs w:val="22"/>
        </w:rPr>
        <w:t>times</w:t>
      </w:r>
      <w:r w:rsidRPr="00DD7BD1">
        <w:rPr>
          <w:rFonts w:cs="Calibri"/>
          <w:color w:val="auto"/>
          <w:spacing w:val="-12"/>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rate</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worked</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Sundays</w:t>
      </w:r>
      <w:r w:rsidRPr="00DD7BD1">
        <w:rPr>
          <w:rFonts w:cs="Calibri"/>
          <w:color w:val="auto"/>
          <w:spacing w:val="-12"/>
          <w:w w:val="110"/>
          <w:szCs w:val="22"/>
        </w:rPr>
        <w:t xml:space="preserve"> </w:t>
      </w:r>
      <w:r w:rsidRPr="00DD7BD1">
        <w:rPr>
          <w:rFonts w:cs="Calibri"/>
          <w:color w:val="auto"/>
          <w:w w:val="110"/>
          <w:szCs w:val="22"/>
        </w:rPr>
        <w:t xml:space="preserve">and </w:t>
      </w:r>
      <w:r w:rsidRPr="00DD7BD1">
        <w:rPr>
          <w:rFonts w:cs="Calibri"/>
          <w:color w:val="auto"/>
          <w:spacing w:val="-2"/>
          <w:w w:val="110"/>
          <w:szCs w:val="22"/>
        </w:rPr>
        <w:t>holidays.</w:t>
      </w:r>
    </w:p>
    <w:p w14:paraId="26907039" w14:textId="77777777" w:rsidR="003D0CE0" w:rsidRPr="00DD7BD1" w:rsidRDefault="003D0CE0" w:rsidP="003D0CE0">
      <w:pPr>
        <w:pStyle w:val="BodyText"/>
        <w:spacing w:after="0" w:line="240" w:lineRule="auto"/>
        <w:ind w:right="-90"/>
        <w:jc w:val="left"/>
        <w:rPr>
          <w:rFonts w:cs="Calibri"/>
          <w:color w:val="auto"/>
          <w:sz w:val="16"/>
          <w:szCs w:val="16"/>
        </w:rPr>
      </w:pPr>
    </w:p>
    <w:p w14:paraId="0E2E1287"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For</w:t>
      </w:r>
      <w:r w:rsidRPr="00DD7BD1">
        <w:rPr>
          <w:rFonts w:cs="Calibri"/>
          <w:color w:val="auto"/>
          <w:spacing w:val="-7"/>
          <w:w w:val="110"/>
          <w:szCs w:val="22"/>
        </w:rPr>
        <w:t xml:space="preserve"> </w:t>
      </w:r>
      <w:r w:rsidRPr="00DD7BD1">
        <w:rPr>
          <w:rFonts w:cs="Calibri"/>
          <w:color w:val="auto"/>
          <w:w w:val="110"/>
          <w:szCs w:val="22"/>
        </w:rPr>
        <w:t>most</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overtime</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Sunday</w:t>
      </w:r>
      <w:r w:rsidRPr="00DD7BD1">
        <w:rPr>
          <w:rFonts w:cs="Calibri"/>
          <w:color w:val="auto"/>
          <w:spacing w:val="-6"/>
          <w:w w:val="110"/>
          <w:szCs w:val="22"/>
        </w:rPr>
        <w:t xml:space="preserve"> </w:t>
      </w:r>
      <w:r w:rsidRPr="00DD7BD1">
        <w:rPr>
          <w:rFonts w:cs="Calibri"/>
          <w:color w:val="auto"/>
          <w:w w:val="110"/>
          <w:szCs w:val="22"/>
        </w:rPr>
        <w:t>holiday</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4"/>
          <w:w w:val="110"/>
          <w:szCs w:val="22"/>
        </w:rPr>
        <w:t xml:space="preserve"> </w:t>
      </w:r>
      <w:r w:rsidRPr="00DD7BD1">
        <w:rPr>
          <w:rFonts w:cs="Calibri"/>
          <w:color w:val="auto"/>
          <w:w w:val="110"/>
          <w:szCs w:val="22"/>
        </w:rPr>
        <w:t>are</w:t>
      </w:r>
      <w:r w:rsidRPr="00DD7BD1">
        <w:rPr>
          <w:rFonts w:cs="Calibri"/>
          <w:color w:val="auto"/>
          <w:spacing w:val="-4"/>
          <w:w w:val="110"/>
          <w:szCs w:val="22"/>
        </w:rPr>
        <w:t xml:space="preserve"> </w:t>
      </w:r>
      <w:r w:rsidRPr="00DD7BD1">
        <w:rPr>
          <w:rFonts w:cs="Calibri"/>
          <w:color w:val="auto"/>
          <w:w w:val="110"/>
          <w:szCs w:val="22"/>
        </w:rPr>
        <w:t>calculated</w:t>
      </w:r>
      <w:r w:rsidRPr="00DD7BD1">
        <w:rPr>
          <w:rFonts w:cs="Calibri"/>
          <w:color w:val="auto"/>
          <w:spacing w:val="-4"/>
          <w:w w:val="110"/>
          <w:szCs w:val="22"/>
        </w:rPr>
        <w:t xml:space="preserve"> </w:t>
      </w:r>
      <w:r w:rsidRPr="00DD7BD1">
        <w:rPr>
          <w:rFonts w:cs="Calibri"/>
          <w:color w:val="auto"/>
          <w:w w:val="110"/>
          <w:szCs w:val="22"/>
        </w:rPr>
        <w:t>separately,</w:t>
      </w:r>
      <w:r w:rsidRPr="00DD7BD1">
        <w:rPr>
          <w:rFonts w:cs="Calibri"/>
          <w:color w:val="auto"/>
          <w:spacing w:val="-7"/>
          <w:w w:val="110"/>
          <w:szCs w:val="22"/>
        </w:rPr>
        <w:t xml:space="preserve"> </w:t>
      </w:r>
      <w:r w:rsidRPr="00DD7BD1">
        <w:rPr>
          <w:rFonts w:cs="Calibri"/>
          <w:color w:val="auto"/>
          <w:w w:val="110"/>
          <w:szCs w:val="22"/>
        </w:rPr>
        <w:t>meaning</w:t>
      </w:r>
      <w:r w:rsidRPr="00DD7BD1">
        <w:rPr>
          <w:rFonts w:cs="Calibri"/>
          <w:color w:val="auto"/>
          <w:spacing w:val="-4"/>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may</w:t>
      </w:r>
      <w:r w:rsidRPr="00DD7BD1">
        <w:rPr>
          <w:rFonts w:cs="Calibri"/>
          <w:color w:val="auto"/>
          <w:spacing w:val="-6"/>
          <w:w w:val="110"/>
          <w:szCs w:val="22"/>
        </w:rPr>
        <w:t xml:space="preserve"> </w:t>
      </w:r>
      <w:r w:rsidRPr="00DD7BD1">
        <w:rPr>
          <w:rFonts w:cs="Calibri"/>
          <w:color w:val="auto"/>
          <w:w w:val="110"/>
          <w:szCs w:val="22"/>
        </w:rPr>
        <w:t xml:space="preserve">be </w:t>
      </w:r>
      <w:r w:rsidRPr="00DD7BD1">
        <w:rPr>
          <w:rFonts w:cs="Calibri"/>
          <w:color w:val="auto"/>
          <w:szCs w:val="22"/>
        </w:rPr>
        <w:t>required</w:t>
      </w:r>
      <w:r w:rsidRPr="00DD7BD1">
        <w:rPr>
          <w:rFonts w:cs="Calibri"/>
          <w:color w:val="auto"/>
          <w:spacing w:val="26"/>
          <w:szCs w:val="22"/>
        </w:rPr>
        <w:t xml:space="preserve"> </w:t>
      </w:r>
      <w:r w:rsidRPr="00DD7BD1">
        <w:rPr>
          <w:rFonts w:cs="Calibri"/>
          <w:color w:val="auto"/>
          <w:szCs w:val="22"/>
        </w:rPr>
        <w:t>to</w:t>
      </w:r>
      <w:r w:rsidRPr="00DD7BD1">
        <w:rPr>
          <w:rFonts w:cs="Calibri"/>
          <w:color w:val="auto"/>
          <w:spacing w:val="26"/>
          <w:szCs w:val="22"/>
        </w:rPr>
        <w:t xml:space="preserve"> </w:t>
      </w:r>
      <w:r w:rsidRPr="00DD7BD1">
        <w:rPr>
          <w:rFonts w:cs="Calibri"/>
          <w:color w:val="auto"/>
          <w:szCs w:val="22"/>
        </w:rPr>
        <w:t>pay</w:t>
      </w:r>
      <w:r w:rsidRPr="00DD7BD1">
        <w:rPr>
          <w:rFonts w:cs="Calibri"/>
          <w:color w:val="auto"/>
          <w:spacing w:val="26"/>
          <w:szCs w:val="22"/>
        </w:rPr>
        <w:t xml:space="preserve"> </w:t>
      </w:r>
      <w:r w:rsidRPr="00DD7BD1">
        <w:rPr>
          <w:rFonts w:cs="Calibri"/>
          <w:color w:val="auto"/>
          <w:szCs w:val="22"/>
        </w:rPr>
        <w:t>employees</w:t>
      </w:r>
      <w:r w:rsidRPr="00DD7BD1">
        <w:rPr>
          <w:rFonts w:cs="Calibri"/>
          <w:color w:val="auto"/>
          <w:spacing w:val="26"/>
          <w:szCs w:val="22"/>
        </w:rPr>
        <w:t xml:space="preserve"> </w:t>
      </w:r>
      <w:r w:rsidRPr="00DD7BD1">
        <w:rPr>
          <w:rFonts w:cs="Calibri"/>
          <w:color w:val="auto"/>
          <w:szCs w:val="22"/>
        </w:rPr>
        <w:t>both</w:t>
      </w:r>
      <w:r w:rsidRPr="00DD7BD1">
        <w:rPr>
          <w:rFonts w:cs="Calibri"/>
          <w:color w:val="auto"/>
          <w:spacing w:val="26"/>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4"/>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worked</w:t>
      </w:r>
      <w:r w:rsidRPr="00DD7BD1">
        <w:rPr>
          <w:rFonts w:cs="Calibri"/>
          <w:color w:val="auto"/>
          <w:spacing w:val="22"/>
          <w:szCs w:val="22"/>
        </w:rPr>
        <w:t xml:space="preserve"> </w:t>
      </w:r>
      <w:r w:rsidRPr="00DD7BD1">
        <w:rPr>
          <w:rFonts w:cs="Calibri"/>
          <w:color w:val="auto"/>
          <w:szCs w:val="22"/>
        </w:rPr>
        <w:t>over</w:t>
      </w:r>
      <w:r w:rsidRPr="00DD7BD1">
        <w:rPr>
          <w:rFonts w:cs="Calibri"/>
          <w:color w:val="auto"/>
          <w:spacing w:val="30"/>
          <w:szCs w:val="22"/>
        </w:rPr>
        <w:t xml:space="preserve"> </w:t>
      </w:r>
      <w:r w:rsidRPr="00DD7BD1">
        <w:rPr>
          <w:rFonts w:cs="Calibri"/>
          <w:color w:val="auto"/>
          <w:szCs w:val="22"/>
        </w:rPr>
        <w:t>forty</w:t>
      </w:r>
      <w:r w:rsidRPr="00DD7BD1">
        <w:rPr>
          <w:rFonts w:cs="Calibri"/>
          <w:color w:val="auto"/>
          <w:spacing w:val="20"/>
          <w:szCs w:val="22"/>
        </w:rPr>
        <w:t xml:space="preserve"> </w:t>
      </w:r>
      <w:r w:rsidRPr="00DD7BD1">
        <w:rPr>
          <w:rFonts w:cs="Calibri"/>
          <w:color w:val="auto"/>
          <w:szCs w:val="22"/>
        </w:rPr>
        <w:t>and</w:t>
      </w:r>
      <w:r w:rsidRPr="00DD7BD1">
        <w:rPr>
          <w:rFonts w:cs="Calibri"/>
          <w:color w:val="auto"/>
          <w:spacing w:val="30"/>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8"/>
          <w:szCs w:val="22"/>
        </w:rPr>
        <w:t xml:space="preserve"> </w:t>
      </w:r>
      <w:r w:rsidRPr="00DD7BD1">
        <w:rPr>
          <w:rFonts w:cs="Calibri"/>
          <w:color w:val="auto"/>
          <w:szCs w:val="22"/>
        </w:rPr>
        <w:t>any</w:t>
      </w:r>
      <w:r w:rsidRPr="00DD7BD1">
        <w:rPr>
          <w:rFonts w:cs="Calibri"/>
          <w:color w:val="auto"/>
          <w:spacing w:val="28"/>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 xml:space="preserve">worked </w:t>
      </w:r>
      <w:r w:rsidRPr="00DD7BD1">
        <w:rPr>
          <w:rFonts w:cs="Calibri"/>
          <w:color w:val="auto"/>
          <w:w w:val="110"/>
          <w:szCs w:val="22"/>
        </w:rPr>
        <w:t>on Sundays or holidays.</w:t>
      </w:r>
    </w:p>
    <w:p w14:paraId="18897407" w14:textId="77777777" w:rsidR="003D0CE0" w:rsidRPr="00DD7BD1" w:rsidRDefault="003D0CE0" w:rsidP="003D0CE0">
      <w:pPr>
        <w:pStyle w:val="BodyText"/>
        <w:spacing w:after="0" w:line="240" w:lineRule="auto"/>
        <w:ind w:right="-90"/>
        <w:jc w:val="left"/>
        <w:rPr>
          <w:rFonts w:cs="Calibri"/>
          <w:color w:val="auto"/>
          <w:sz w:val="16"/>
          <w:szCs w:val="16"/>
        </w:rPr>
      </w:pPr>
    </w:p>
    <w:p w14:paraId="6C34DFBF"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Retail</w:t>
      </w:r>
      <w:r w:rsidRPr="00DD7BD1">
        <w:rPr>
          <w:rFonts w:cs="Calibri"/>
          <w:color w:val="auto"/>
          <w:spacing w:val="-17"/>
          <w:w w:val="110"/>
          <w:szCs w:val="22"/>
        </w:rPr>
        <w:t xml:space="preserve"> </w:t>
      </w:r>
      <w:r w:rsidRPr="00DD7BD1">
        <w:rPr>
          <w:rFonts w:cs="Calibri"/>
          <w:color w:val="auto"/>
          <w:w w:val="110"/>
          <w:szCs w:val="22"/>
        </w:rPr>
        <w:t>businesses</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exempt</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6"/>
          <w:w w:val="110"/>
          <w:szCs w:val="22"/>
        </w:rPr>
        <w:t xml:space="preserve"> </w:t>
      </w:r>
      <w:r w:rsidRPr="00DD7BD1">
        <w:rPr>
          <w:rFonts w:cs="Calibri"/>
          <w:color w:val="auto"/>
          <w:w w:val="110"/>
          <w:szCs w:val="22"/>
        </w:rPr>
        <w:t>Sunday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holiday</w:t>
      </w:r>
      <w:r w:rsidRPr="00DD7BD1">
        <w:rPr>
          <w:rFonts w:cs="Calibri"/>
          <w:color w:val="auto"/>
          <w:spacing w:val="-17"/>
          <w:w w:val="110"/>
          <w:szCs w:val="22"/>
        </w:rPr>
        <w:t xml:space="preserve"> </w:t>
      </w:r>
      <w:r w:rsidRPr="00DD7BD1">
        <w:rPr>
          <w:rFonts w:cs="Calibri"/>
          <w:color w:val="auto"/>
          <w:w w:val="110"/>
          <w:szCs w:val="22"/>
        </w:rPr>
        <w:t>premium</w:t>
      </w:r>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6"/>
          <w:w w:val="110"/>
          <w:szCs w:val="22"/>
        </w:rPr>
        <w:t xml:space="preserve"> </w:t>
      </w:r>
      <w:r w:rsidRPr="00DD7BD1">
        <w:rPr>
          <w:rFonts w:cs="Calibri"/>
          <w:color w:val="auto"/>
          <w:w w:val="110"/>
          <w:szCs w:val="22"/>
        </w:rPr>
        <w:t>requirements,</w:t>
      </w:r>
      <w:r w:rsidRPr="00DD7BD1">
        <w:rPr>
          <w:rFonts w:cs="Calibri"/>
          <w:color w:val="auto"/>
          <w:spacing w:val="-17"/>
          <w:w w:val="110"/>
          <w:szCs w:val="22"/>
        </w:rPr>
        <w:t xml:space="preserve"> </w:t>
      </w:r>
      <w:r w:rsidRPr="00DD7BD1">
        <w:rPr>
          <w:rFonts w:cs="Calibri"/>
          <w:color w:val="auto"/>
          <w:w w:val="110"/>
          <w:szCs w:val="22"/>
        </w:rPr>
        <w:t>but</w:t>
      </w:r>
      <w:r w:rsidRPr="00DD7BD1">
        <w:rPr>
          <w:rFonts w:cs="Calibri"/>
          <w:color w:val="auto"/>
          <w:spacing w:val="-17"/>
          <w:w w:val="110"/>
          <w:szCs w:val="22"/>
        </w:rPr>
        <w:t xml:space="preserve"> </w:t>
      </w:r>
      <w:r w:rsidRPr="00DD7BD1">
        <w:rPr>
          <w:rFonts w:cs="Calibri"/>
          <w:color w:val="auto"/>
          <w:w w:val="110"/>
          <w:szCs w:val="22"/>
        </w:rPr>
        <w:t>they</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count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Sunday and</w:t>
      </w:r>
      <w:r w:rsidRPr="00DD7BD1">
        <w:rPr>
          <w:rFonts w:cs="Calibri"/>
          <w:color w:val="auto"/>
          <w:spacing w:val="-2"/>
          <w:w w:val="110"/>
          <w:szCs w:val="22"/>
        </w:rPr>
        <w:t xml:space="preserve"> </w:t>
      </w:r>
      <w:r w:rsidRPr="00DD7BD1">
        <w:rPr>
          <w:rFonts w:cs="Calibri"/>
          <w:color w:val="auto"/>
          <w:w w:val="110"/>
          <w:szCs w:val="22"/>
        </w:rPr>
        <w:t>holiday hours</w:t>
      </w:r>
      <w:r w:rsidRPr="00DD7BD1">
        <w:rPr>
          <w:rFonts w:cs="Calibri"/>
          <w:color w:val="auto"/>
          <w:spacing w:val="-2"/>
          <w:w w:val="110"/>
          <w:szCs w:val="22"/>
        </w:rPr>
        <w:t xml:space="preserve"> </w:t>
      </w:r>
      <w:r w:rsidRPr="00DD7BD1">
        <w:rPr>
          <w:rFonts w:cs="Calibri"/>
          <w:color w:val="auto"/>
          <w:w w:val="110"/>
          <w:szCs w:val="22"/>
        </w:rPr>
        <w:t>against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overtime</w:t>
      </w:r>
      <w:r w:rsidRPr="00DD7BD1">
        <w:rPr>
          <w:rFonts w:cs="Calibri"/>
          <w:color w:val="auto"/>
          <w:spacing w:val="-2"/>
          <w:w w:val="110"/>
          <w:szCs w:val="22"/>
        </w:rPr>
        <w:t xml:space="preserve"> </w:t>
      </w:r>
      <w:r w:rsidRPr="00DD7BD1">
        <w:rPr>
          <w:rFonts w:cs="Calibri"/>
          <w:color w:val="auto"/>
          <w:w w:val="110"/>
          <w:szCs w:val="22"/>
        </w:rPr>
        <w:t>hours.</w:t>
      </w:r>
      <w:r w:rsidRPr="00DD7BD1">
        <w:rPr>
          <w:rFonts w:cs="Calibri"/>
          <w:color w:val="auto"/>
          <w:spacing w:val="-1"/>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means an employee</w:t>
      </w:r>
      <w:r w:rsidRPr="00DD7BD1">
        <w:rPr>
          <w:rFonts w:cs="Calibri"/>
          <w:color w:val="auto"/>
          <w:spacing w:val="-4"/>
          <w:w w:val="110"/>
          <w:szCs w:val="22"/>
        </w:rPr>
        <w:t xml:space="preserve"> </w:t>
      </w:r>
      <w:r w:rsidRPr="00DD7BD1">
        <w:rPr>
          <w:rFonts w:cs="Calibri"/>
          <w:color w:val="auto"/>
          <w:w w:val="110"/>
          <w:szCs w:val="22"/>
        </w:rPr>
        <w:t>at</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retail</w:t>
      </w:r>
      <w:r w:rsidRPr="00DD7BD1">
        <w:rPr>
          <w:rFonts w:cs="Calibri"/>
          <w:color w:val="auto"/>
          <w:spacing w:val="-1"/>
          <w:w w:val="110"/>
          <w:szCs w:val="22"/>
        </w:rPr>
        <w:t xml:space="preserve"> </w:t>
      </w:r>
      <w:r w:rsidRPr="00DD7BD1">
        <w:rPr>
          <w:rFonts w:cs="Calibri"/>
          <w:color w:val="auto"/>
          <w:w w:val="110"/>
          <w:szCs w:val="22"/>
        </w:rPr>
        <w:t>business</w:t>
      </w:r>
      <w:r w:rsidRPr="00DD7BD1">
        <w:rPr>
          <w:rFonts w:cs="Calibri"/>
          <w:color w:val="auto"/>
          <w:spacing w:val="-1"/>
          <w:w w:val="110"/>
          <w:szCs w:val="22"/>
        </w:rPr>
        <w:t xml:space="preserve"> </w:t>
      </w:r>
      <w:r w:rsidRPr="00DD7BD1">
        <w:rPr>
          <w:rFonts w:cs="Calibri"/>
          <w:color w:val="auto"/>
          <w:w w:val="110"/>
          <w:szCs w:val="22"/>
        </w:rPr>
        <w:t>who</w:t>
      </w:r>
      <w:r w:rsidRPr="00DD7BD1">
        <w:rPr>
          <w:rFonts w:cs="Calibri"/>
          <w:color w:val="auto"/>
          <w:spacing w:val="-2"/>
          <w:w w:val="110"/>
          <w:szCs w:val="22"/>
        </w:rPr>
        <w:t xml:space="preserve"> </w:t>
      </w:r>
      <w:r w:rsidRPr="00DD7BD1">
        <w:rPr>
          <w:rFonts w:cs="Calibri"/>
          <w:color w:val="auto"/>
          <w:w w:val="110"/>
          <w:szCs w:val="22"/>
        </w:rPr>
        <w:t>works forty-eight hours</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week,</w:t>
      </w:r>
      <w:r w:rsidRPr="00DD7BD1">
        <w:rPr>
          <w:rFonts w:cs="Calibri"/>
          <w:color w:val="auto"/>
          <w:spacing w:val="-16"/>
          <w:w w:val="110"/>
          <w:szCs w:val="22"/>
        </w:rPr>
        <w:t xml:space="preserve"> </w:t>
      </w:r>
      <w:r w:rsidRPr="00DD7BD1">
        <w:rPr>
          <w:rFonts w:cs="Calibri"/>
          <w:color w:val="auto"/>
          <w:w w:val="110"/>
          <w:szCs w:val="22"/>
        </w:rPr>
        <w:t>including</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eight-hour</w:t>
      </w:r>
      <w:r w:rsidRPr="00DD7BD1">
        <w:rPr>
          <w:rFonts w:cs="Calibri"/>
          <w:color w:val="auto"/>
          <w:spacing w:val="-17"/>
          <w:w w:val="110"/>
          <w:szCs w:val="22"/>
        </w:rPr>
        <w:t xml:space="preserve"> </w:t>
      </w:r>
      <w:r w:rsidRPr="00DD7BD1">
        <w:rPr>
          <w:rFonts w:cs="Calibri"/>
          <w:color w:val="auto"/>
          <w:w w:val="110"/>
          <w:szCs w:val="22"/>
        </w:rPr>
        <w:t>shift</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Sunday,</w:t>
      </w:r>
      <w:r w:rsidRPr="00DD7BD1">
        <w:rPr>
          <w:rFonts w:cs="Calibri"/>
          <w:color w:val="auto"/>
          <w:spacing w:val="-15"/>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5"/>
          <w:w w:val="110"/>
          <w:szCs w:val="22"/>
        </w:rPr>
        <w:t xml:space="preserve"> </w:t>
      </w:r>
      <w:r w:rsidRPr="00DD7BD1">
        <w:rPr>
          <w:rFonts w:cs="Calibri"/>
          <w:color w:val="auto"/>
          <w:w w:val="110"/>
          <w:szCs w:val="22"/>
        </w:rPr>
        <w:t>entitled</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eight</w:t>
      </w:r>
      <w:r w:rsidRPr="00DD7BD1">
        <w:rPr>
          <w:rFonts w:cs="Calibri"/>
          <w:color w:val="auto"/>
          <w:spacing w:val="-17"/>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time-and-a-half</w:t>
      </w:r>
      <w:r w:rsidRPr="00DD7BD1">
        <w:rPr>
          <w:rFonts w:cs="Calibri"/>
          <w:color w:val="auto"/>
          <w:spacing w:val="-16"/>
          <w:w w:val="110"/>
          <w:szCs w:val="22"/>
        </w:rPr>
        <w:t xml:space="preserve"> </w:t>
      </w:r>
      <w:r w:rsidRPr="00DD7BD1">
        <w:rPr>
          <w:rFonts w:cs="Calibri"/>
          <w:color w:val="auto"/>
          <w:w w:val="110"/>
          <w:szCs w:val="22"/>
        </w:rPr>
        <w:t>pay covering both the overtime and Sunday premium.</w:t>
      </w:r>
    </w:p>
    <w:p w14:paraId="43788CDC" w14:textId="77777777" w:rsidR="003D0CE0" w:rsidRPr="00DD7BD1" w:rsidRDefault="003D0CE0" w:rsidP="003D0CE0">
      <w:pPr>
        <w:pStyle w:val="BodyText"/>
        <w:spacing w:after="0" w:line="240" w:lineRule="auto"/>
        <w:ind w:right="-90"/>
        <w:jc w:val="left"/>
        <w:rPr>
          <w:rFonts w:cs="Calibri"/>
          <w:color w:val="auto"/>
          <w:szCs w:val="22"/>
        </w:rPr>
      </w:pPr>
    </w:p>
    <w:p w14:paraId="02C0B21C" w14:textId="77777777" w:rsidR="003D0CE0" w:rsidRPr="00DD7BD1" w:rsidRDefault="003D0CE0" w:rsidP="003D0CE0">
      <w:pPr>
        <w:pStyle w:val="BodyText"/>
        <w:spacing w:after="0" w:line="240" w:lineRule="auto"/>
        <w:ind w:right="-180"/>
        <w:rPr>
          <w:rFonts w:cs="Calibri"/>
          <w:color w:val="auto"/>
          <w:szCs w:val="22"/>
        </w:rPr>
      </w:pP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exception</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retail</w:t>
      </w:r>
      <w:r w:rsidRPr="00DD7BD1">
        <w:rPr>
          <w:rFonts w:cs="Calibri"/>
          <w:color w:val="auto"/>
          <w:spacing w:val="-7"/>
          <w:w w:val="110"/>
          <w:szCs w:val="22"/>
        </w:rPr>
        <w:t xml:space="preserve"> </w:t>
      </w:r>
      <w:r w:rsidRPr="00DD7BD1">
        <w:rPr>
          <w:rFonts w:cs="Calibri"/>
          <w:color w:val="auto"/>
          <w:w w:val="110"/>
          <w:szCs w:val="22"/>
        </w:rPr>
        <w:t>workers</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collective</w:t>
      </w:r>
      <w:r w:rsidRPr="00DD7BD1">
        <w:rPr>
          <w:rFonts w:cs="Calibri"/>
          <w:color w:val="auto"/>
          <w:spacing w:val="-6"/>
          <w:w w:val="110"/>
          <w:szCs w:val="22"/>
        </w:rPr>
        <w:t xml:space="preserve"> </w:t>
      </w:r>
      <w:r w:rsidRPr="00DD7BD1">
        <w:rPr>
          <w:rFonts w:cs="Calibri"/>
          <w:color w:val="auto"/>
          <w:w w:val="110"/>
          <w:szCs w:val="22"/>
        </w:rPr>
        <w:t>bargaining</w:t>
      </w:r>
      <w:r w:rsidRPr="00DD7BD1">
        <w:rPr>
          <w:rFonts w:cs="Calibri"/>
          <w:color w:val="auto"/>
          <w:spacing w:val="-6"/>
          <w:w w:val="110"/>
          <w:szCs w:val="22"/>
        </w:rPr>
        <w:t xml:space="preserve"> </w:t>
      </w:r>
      <w:r w:rsidRPr="00DD7BD1">
        <w:rPr>
          <w:rFonts w:cs="Calibri"/>
          <w:color w:val="auto"/>
          <w:w w:val="110"/>
          <w:szCs w:val="22"/>
        </w:rPr>
        <w:t>agreement</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 for Sundays or holidays. In such cases, employers must comply with the terms of the agreement, even if they are otherwise exempt from premium pay requirements.</w:t>
      </w:r>
    </w:p>
    <w:p w14:paraId="2406D538" w14:textId="77777777" w:rsidR="003D0CE0" w:rsidRPr="00DD7BD1" w:rsidRDefault="003D0CE0" w:rsidP="00F972F4">
      <w:pPr>
        <w:spacing w:after="0" w:line="240" w:lineRule="auto"/>
        <w:jc w:val="center"/>
        <w:rPr>
          <w:rFonts w:ascii="Calibri" w:hAnsi="Calibri" w:cs="Calibri"/>
          <w:b/>
          <w:bCs/>
          <w:shd w:val="clear" w:color="auto" w:fill="FFFFFF"/>
          <w:lang w:val="en"/>
        </w:rPr>
      </w:pPr>
    </w:p>
    <w:p w14:paraId="70C541DD" w14:textId="369C44C4" w:rsidR="00F972F4" w:rsidRPr="00DD7BD1" w:rsidRDefault="00F972F4" w:rsidP="00F972F4">
      <w:pPr>
        <w:spacing w:after="0" w:line="240" w:lineRule="auto"/>
        <w:jc w:val="center"/>
        <w:rPr>
          <w:rFonts w:ascii="Calibri" w:hAnsi="Calibri" w:cs="Calibri"/>
          <w:b/>
          <w:bCs/>
          <w:color w:val="C00000"/>
          <w:shd w:val="clear" w:color="auto" w:fill="FFFFFF"/>
          <w:lang w:val="en"/>
        </w:rPr>
      </w:pPr>
      <w:r w:rsidRPr="00DD7BD1">
        <w:rPr>
          <w:rFonts w:ascii="Calibri" w:hAnsi="Calibri" w:cs="Calibri"/>
          <w:b/>
          <w:bCs/>
          <w:sz w:val="28"/>
          <w:szCs w:val="28"/>
          <w:shd w:val="clear" w:color="auto" w:fill="FFFFFF"/>
          <w:lang w:val="en"/>
        </w:rPr>
        <w:t xml:space="preserve">Accommodations for Menopause &amp; Expanded Protections for Race – </w:t>
      </w:r>
      <w:r w:rsidRPr="00DD7BD1">
        <w:rPr>
          <w:rFonts w:ascii="Calibri" w:hAnsi="Calibri" w:cs="Calibri"/>
          <w:b/>
          <w:bCs/>
          <w:color w:val="C00000"/>
          <w:sz w:val="28"/>
          <w:szCs w:val="28"/>
          <w:shd w:val="clear" w:color="auto" w:fill="FFFFFF"/>
          <w:lang w:val="en"/>
        </w:rPr>
        <w:t>Eff June 24, 2025</w:t>
      </w:r>
    </w:p>
    <w:p w14:paraId="5A7C9BF1"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laws below were passed recently and took immediate effect. They apply to </w:t>
      </w:r>
      <w:r w:rsidRPr="00DD7BD1">
        <w:rPr>
          <w:rFonts w:ascii="Calibri" w:hAnsi="Calibri" w:cs="Calibri"/>
          <w:b/>
          <w:bCs/>
          <w:u w:val="single"/>
          <w:shd w:val="clear" w:color="auto" w:fill="FFFFFF"/>
        </w:rPr>
        <w:t>employers with four (4) or more employees unless otherwise noted.</w:t>
      </w:r>
    </w:p>
    <w:p w14:paraId="797752AD"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1ABA6CA"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GROUNDBREAKING PROTECTIONS FOR MENOPAUSE</w:t>
      </w:r>
      <w:r w:rsidRPr="00DD7BD1">
        <w:rPr>
          <w:rFonts w:ascii="Calibri" w:hAnsi="Calibri" w:cs="Calibri"/>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931"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35D4DCA0"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Updated Notice</w:t>
      </w:r>
      <w:r w:rsidRPr="00DD7BD1">
        <w:rPr>
          <w:rFonts w:ascii="Calibri" w:hAnsi="Calibri" w:cs="Calibri"/>
          <w:shd w:val="clear" w:color="auto" w:fill="FFFFFF"/>
        </w:rPr>
        <w:br/>
        <w:t>The reasonable accommodation amendment triggers an obligation for Rhode Island employers to display and distribute an </w:t>
      </w:r>
      <w:hyperlink r:id="rId932" w:tgtFrame="_blank" w:history="1">
        <w:r w:rsidRPr="00DD7BD1">
          <w:rPr>
            <w:rStyle w:val="Hyperlink"/>
            <w:rFonts w:ascii="Calibri" w:hAnsi="Calibri" w:cs="Calibri"/>
            <w:shd w:val="clear" w:color="auto" w:fill="FFFFFF"/>
          </w:rPr>
          <w:t>updated Written Notice of Employee Rights</w:t>
        </w:r>
      </w:hyperlink>
      <w:r w:rsidRPr="00DD7BD1">
        <w:rPr>
          <w:rFonts w:ascii="Calibri" w:hAnsi="Calibri" w:cs="Calibri"/>
          <w:shd w:val="clear" w:color="auto" w:fill="FFFFFF"/>
        </w:rPr>
        <w:t>.</w:t>
      </w:r>
    </w:p>
    <w:p w14:paraId="4220AE8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AD37688" w14:textId="77777777" w:rsidR="00F972F4" w:rsidRPr="00DD7BD1" w:rsidRDefault="00F972F4" w:rsidP="00F972F4">
      <w:pPr>
        <w:spacing w:after="0" w:line="240" w:lineRule="auto"/>
        <w:rPr>
          <w:rFonts w:ascii="Calibri" w:hAnsi="Calibri" w:cs="Calibri"/>
          <w:sz w:val="23"/>
          <w:szCs w:val="23"/>
          <w:shd w:val="clear" w:color="auto" w:fill="FFFFFF"/>
        </w:rPr>
      </w:pPr>
      <w:r w:rsidRPr="00DD7BD1">
        <w:rPr>
          <w:rFonts w:ascii="Calibri" w:hAnsi="Calibri" w:cs="Calibri"/>
          <w:b/>
          <w:bCs/>
          <w:sz w:val="23"/>
          <w:szCs w:val="23"/>
          <w:shd w:val="clear" w:color="auto" w:fill="FFFFFF"/>
        </w:rPr>
        <w:t>ETC is releasing the applicable State Handbook Addendum reflective of a policy addressing such accommodations.</w:t>
      </w:r>
    </w:p>
    <w:p w14:paraId="1D774049" w14:textId="77777777" w:rsidR="00F972F4" w:rsidRPr="00DD7BD1" w:rsidRDefault="00F972F4" w:rsidP="00F972F4">
      <w:pPr>
        <w:spacing w:after="0" w:line="240" w:lineRule="auto"/>
        <w:rPr>
          <w:rFonts w:ascii="Calibri" w:hAnsi="Calibri" w:cs="Calibri"/>
          <w:b/>
          <w:bCs/>
          <w:sz w:val="23"/>
          <w:szCs w:val="23"/>
          <w:shd w:val="clear" w:color="auto" w:fill="FFFFFF"/>
        </w:rPr>
      </w:pPr>
    </w:p>
    <w:p w14:paraId="02E9F42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z w:val="23"/>
          <w:szCs w:val="23"/>
          <w:shd w:val="clear" w:color="auto" w:fill="FFFFFF"/>
        </w:rPr>
        <w:t>EXPANDED PROTECTIONS FOR RACE</w:t>
      </w:r>
      <w:r w:rsidRPr="00DD7BD1">
        <w:rPr>
          <w:rFonts w:ascii="Calibri" w:hAnsi="Calibri" w:cs="Calibri"/>
          <w:sz w:val="23"/>
          <w:szCs w:val="23"/>
          <w:shd w:val="clear" w:color="auto" w:fill="FFFFFF"/>
        </w:rPr>
        <w:br/>
      </w:r>
      <w:r w:rsidRPr="00DD7BD1">
        <w:rPr>
          <w:rFonts w:ascii="Calibri" w:hAnsi="Calibri" w:cs="Calibri"/>
          <w:shd w:val="clear" w:color="auto" w:fill="FFFFFF"/>
        </w:rPr>
        <w:t>The state now defines </w:t>
      </w:r>
      <w:r w:rsidRPr="00DD7BD1">
        <w:rPr>
          <w:rFonts w:ascii="Calibri" w:hAnsi="Calibri" w:cs="Calibri"/>
          <w:b/>
          <w:bCs/>
          <w:i/>
          <w:iCs/>
          <w:shd w:val="clear" w:color="auto" w:fill="FFFFFF"/>
        </w:rPr>
        <w:t>race </w:t>
      </w:r>
      <w:r w:rsidRPr="00DD7BD1">
        <w:rPr>
          <w:rFonts w:ascii="Calibri" w:hAnsi="Calibri" w:cs="Calibri"/>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466EAA62"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Takeaways:</w:t>
      </w:r>
    </w:p>
    <w:p w14:paraId="1E8B3AF5"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Review (and if needed, revise) your dress code, grooming, or appearance policies to ensure they don’t prohibit protected hairstyles or dress.</w:t>
      </w:r>
    </w:p>
    <w:p w14:paraId="61B135A6"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27CE47C6"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CAPTIVE AUDIENCE RESTRICTIONS</w:t>
      </w:r>
      <w:r w:rsidRPr="00DD7BD1">
        <w:rPr>
          <w:rFonts w:ascii="Calibri" w:hAnsi="Calibri" w:cs="Calibri"/>
          <w:shd w:val="clear" w:color="auto" w:fill="FFFFFF"/>
        </w:rPr>
        <w:br/>
        <w:t>Employers of all sizes can’t take—or threaten to take—adverse action against an employee to get them to attend, or for not attending, an employer-sponsored meeting if its primary purpose is to express the employer’s opinion on religious or political 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DD7BD1" w:rsidRDefault="00F972F4" w:rsidP="00F972F4">
      <w:pPr>
        <w:spacing w:after="0" w:line="240" w:lineRule="auto"/>
        <w:rPr>
          <w:rFonts w:ascii="Calibri" w:hAnsi="Calibri" w:cs="Calibri"/>
          <w:sz w:val="16"/>
          <w:szCs w:val="16"/>
          <w:shd w:val="clear" w:color="auto" w:fill="FFFFFF"/>
        </w:rPr>
      </w:pPr>
    </w:p>
    <w:p w14:paraId="4C99144D"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The law contains several exceptions, including for communications that are legally mandated or essential for an employee’s job duties and many communications within religious institutions.</w:t>
      </w:r>
    </w:p>
    <w:p w14:paraId="27ACA198"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24C012F8"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NEW WRITTEN NOTICE – PAYMENT OF WAGES – </w:t>
      </w:r>
      <w:r w:rsidRPr="00DD7BD1">
        <w:rPr>
          <w:rFonts w:ascii="Calibri" w:hAnsi="Calibri" w:cs="Calibri"/>
          <w:b/>
          <w:bCs/>
          <w:color w:val="C00000"/>
          <w:shd w:val="clear" w:color="auto" w:fill="FFFFFF"/>
        </w:rPr>
        <w:t>Eff January 1, 2026</w:t>
      </w:r>
    </w:p>
    <w:p w14:paraId="77A48A42"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933"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7E5901D4"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37A82BF6"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allowances, if any, claimed for meals and lodging;</w:t>
      </w:r>
    </w:p>
    <w:p w14:paraId="49AB3F4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policy on sick, vacation, personal leave, holidays, and hours;</w:t>
      </w:r>
    </w:p>
    <w:p w14:paraId="49A76880"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660CAF2"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3A56749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21C3940F"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1352F672" w14:textId="327F3C74"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DD7BD1" w:rsidRDefault="00E225CC" w:rsidP="000B6BCC">
      <w:pPr>
        <w:spacing w:after="0" w:line="240" w:lineRule="auto"/>
        <w:jc w:val="center"/>
        <w:rPr>
          <w:rFonts w:ascii="Calibri" w:hAnsi="Calibri" w:cs="Calibri"/>
          <w:b/>
          <w:bCs/>
          <w:sz w:val="16"/>
          <w:szCs w:val="16"/>
          <w:shd w:val="clear" w:color="auto" w:fill="FFFFFF"/>
        </w:rPr>
      </w:pPr>
    </w:p>
    <w:p w14:paraId="70E12296" w14:textId="56E2AFA0" w:rsidR="000B6BCC" w:rsidRPr="00DD7BD1" w:rsidRDefault="000B6BCC" w:rsidP="000B6B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Amends Its Temporary Caregiver Insurance (TCI) Law – </w:t>
      </w:r>
      <w:r w:rsidRPr="00DD7BD1">
        <w:rPr>
          <w:rFonts w:ascii="Calibri" w:hAnsi="Calibri" w:cs="Calibri"/>
          <w:b/>
          <w:bCs/>
          <w:color w:val="C00000"/>
          <w:sz w:val="28"/>
          <w:szCs w:val="28"/>
          <w:shd w:val="clear" w:color="auto" w:fill="FFFFFF"/>
        </w:rPr>
        <w:t>Jan 1, 202</w:t>
      </w:r>
      <w:r w:rsidR="002233EE">
        <w:rPr>
          <w:rFonts w:ascii="Calibri" w:hAnsi="Calibri" w:cs="Calibri"/>
          <w:b/>
          <w:bCs/>
          <w:color w:val="C00000"/>
          <w:sz w:val="28"/>
          <w:szCs w:val="28"/>
          <w:shd w:val="clear" w:color="auto" w:fill="FFFFFF"/>
        </w:rPr>
        <w:t>5 &amp; Jan 1, 2026</w:t>
      </w:r>
    </w:p>
    <w:p w14:paraId="07F8D11A" w14:textId="77777777" w:rsidR="000B6BCC" w:rsidRPr="00DD7BD1" w:rsidRDefault="000B6BCC" w:rsidP="000B6BCC">
      <w:pPr>
        <w:pStyle w:val="BodyText"/>
        <w:spacing w:after="0" w:line="240" w:lineRule="auto"/>
        <w:rPr>
          <w:rFonts w:cs="Calibri"/>
          <w:color w:val="auto"/>
        </w:rPr>
      </w:pPr>
      <w:r w:rsidRPr="00DD7BD1">
        <w:rPr>
          <w:rFonts w:cs="Calibri"/>
          <w:color w:val="auto"/>
        </w:rPr>
        <w:t xml:space="preserve">Rhode Island </w:t>
      </w:r>
      <w:bookmarkStart w:id="141" w:name="_Hlk184223062"/>
      <w:r w:rsidRPr="00DD7BD1">
        <w:rPr>
          <w:rFonts w:cs="Calibri"/>
          <w:color w:val="auto"/>
        </w:rPr>
        <w:t xml:space="preserve">amended its state temporary caregiver insurance (TCI) law </w:t>
      </w:r>
      <w:bookmarkStart w:id="142" w:name="_Hlk184223117"/>
      <w:bookmarkEnd w:id="141"/>
      <w:r w:rsidRPr="00DD7BD1">
        <w:rPr>
          <w:rFonts w:cs="Calibri"/>
        </w:rPr>
        <w:t>(</w:t>
      </w:r>
      <w:hyperlink r:id="rId934" w:history="1">
        <w:r w:rsidRPr="00DD7BD1">
          <w:rPr>
            <w:rStyle w:val="Hyperlink"/>
            <w:rFonts w:cs="Calibri"/>
          </w:rPr>
          <w:t>HB 7171</w:t>
        </w:r>
      </w:hyperlink>
      <w:r w:rsidRPr="00DD7BD1">
        <w:rPr>
          <w:rFonts w:cs="Calibri"/>
        </w:rPr>
        <w:t>)</w:t>
      </w:r>
      <w:bookmarkEnd w:id="142"/>
      <w:r w:rsidRPr="00DD7BD1">
        <w:rPr>
          <w:rFonts w:cs="Calibri"/>
        </w:rPr>
        <w:t xml:space="preserve"> </w:t>
      </w:r>
      <w:r w:rsidRPr="00DD7BD1">
        <w:rPr>
          <w:rFonts w:cs="Calibri"/>
          <w:color w:val="auto"/>
        </w:rPr>
        <w:t xml:space="preserve">to provide extra paid leave for eligible workers. The additional allowance will be phased in over two years, with seven weeks of leave becoming available on Jan. 1, 2025, and </w:t>
      </w:r>
      <w:r w:rsidRPr="002233EE">
        <w:rPr>
          <w:rFonts w:cs="Calibri"/>
          <w:b/>
          <w:bCs/>
          <w:color w:val="EE0000"/>
        </w:rPr>
        <w:t>eight weeks available on Jan. 1, 2026</w:t>
      </w:r>
      <w:r w:rsidRPr="00DD7BD1">
        <w:rPr>
          <w:rFonts w:cs="Calibri"/>
          <w:color w:val="auto"/>
        </w:rPr>
        <w:t xml:space="preserve">. The amendments also increase the dependents’ allowance for recipients of TCI and temporary disability insurance (TDI).  </w:t>
      </w:r>
    </w:p>
    <w:p w14:paraId="6F7A889E" w14:textId="77777777" w:rsidR="000B6BCC" w:rsidRPr="00DD7BD1" w:rsidRDefault="000B6BCC" w:rsidP="000B6BCC">
      <w:pPr>
        <w:pStyle w:val="BodyText"/>
        <w:spacing w:after="0" w:line="240" w:lineRule="auto"/>
        <w:rPr>
          <w:rFonts w:cs="Calibri"/>
          <w:color w:val="auto"/>
        </w:rPr>
      </w:pPr>
    </w:p>
    <w:p w14:paraId="4AD7FBC0" w14:textId="77777777" w:rsidR="000B6BCC" w:rsidRPr="00DD7BD1" w:rsidRDefault="000B6BCC" w:rsidP="000B6BCC">
      <w:pPr>
        <w:pStyle w:val="BodyText"/>
        <w:spacing w:after="0" w:line="240" w:lineRule="auto"/>
        <w:rPr>
          <w:rFonts w:cs="Calibri"/>
          <w:color w:val="auto"/>
        </w:rPr>
      </w:pPr>
      <w:r w:rsidRPr="00DD7BD1">
        <w:rPr>
          <w:rFonts w:cs="Calibri"/>
          <w:color w:val="auto"/>
        </w:rPr>
        <w:t>TDI is income support for individuals out of work for non-work related illness or injury; TCI is income support (up to 6 weeks, pre Jan 1, 2025) for individuals out of work to care for seriously ill child, spouse, domestic partner, parent, parent-in-law, or grandparent, or to bond with a newborn child, adopted child or foster child. TDI/TCI are financed entirely by payroll deductions. Employees receiving TCI while out on leave cannot continue to work and take leave on an intermittent basis, but they must remain out on leave for the entire duration of the leave period to collect benefits.</w:t>
      </w:r>
    </w:p>
    <w:p w14:paraId="5AE1D362" w14:textId="77777777" w:rsidR="000B6BCC" w:rsidRPr="00DD7BD1" w:rsidRDefault="000B6BCC" w:rsidP="000B6BCC">
      <w:pPr>
        <w:pStyle w:val="BodyText"/>
        <w:spacing w:after="0" w:line="240" w:lineRule="auto"/>
        <w:rPr>
          <w:rFonts w:cs="Calibri"/>
          <w:color w:val="auto"/>
        </w:rPr>
      </w:pPr>
    </w:p>
    <w:p w14:paraId="24774041" w14:textId="77777777" w:rsidR="000B6BCC" w:rsidRPr="00DD7BD1" w:rsidRDefault="000B6BCC" w:rsidP="000B6BCC">
      <w:pPr>
        <w:pStyle w:val="BodyText"/>
        <w:spacing w:after="0" w:line="240" w:lineRule="auto"/>
        <w:rPr>
          <w:rStyle w:val="Hyperlink"/>
          <w:rFonts w:cs="Calibri"/>
          <w:color w:val="auto"/>
          <w:u w:val="none"/>
        </w:rPr>
      </w:pPr>
      <w:r w:rsidRPr="00DD7BD1">
        <w:rPr>
          <w:rFonts w:cs="Calibri"/>
          <w:color w:val="auto"/>
        </w:rPr>
        <w:t xml:space="preserve">Enacted in 2014, Rhode Island’s TCI program currently provides eligible claimants with up to six weeks of paid leave to care for a seriously ill child, spouse, domestic partner, parent, parent-in-law or grandparent, or to bond with a newborn child or new adopted or foster-care child.   Learn more at the </w:t>
      </w:r>
      <w:hyperlink r:id="rId935" w:history="1">
        <w:r w:rsidRPr="00DD7BD1">
          <w:rPr>
            <w:rStyle w:val="Hyperlink"/>
            <w:rFonts w:cs="Calibri"/>
          </w:rPr>
          <w:t>RI Department of Labor TDI/TCI For Employer Webpage</w:t>
        </w:r>
      </w:hyperlink>
      <w:r w:rsidRPr="00DD7BD1">
        <w:rPr>
          <w:rFonts w:cs="Calibri"/>
          <w:color w:val="auto"/>
        </w:rPr>
        <w:t xml:space="preserve"> </w:t>
      </w:r>
    </w:p>
    <w:p w14:paraId="688C43D3" w14:textId="77777777" w:rsidR="000B6BCC" w:rsidRPr="00DD7BD1" w:rsidRDefault="000B6BCC" w:rsidP="00BF388B">
      <w:pPr>
        <w:spacing w:after="0" w:line="240" w:lineRule="auto"/>
        <w:jc w:val="center"/>
        <w:rPr>
          <w:rFonts w:ascii="Calibri" w:hAnsi="Calibri" w:cs="Calibri"/>
          <w:b/>
          <w:bCs/>
          <w:shd w:val="clear" w:color="auto" w:fill="FFFFFF"/>
          <w:lang w:val="en"/>
        </w:rPr>
      </w:pPr>
    </w:p>
    <w:p w14:paraId="1AE1E069" w14:textId="742FCB04" w:rsidR="00BF388B" w:rsidRPr="00DD7BD1" w:rsidRDefault="00BF388B" w:rsidP="00BF388B">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Consumer Data Privacy Law – </w:t>
      </w:r>
      <w:r w:rsidRPr="00DD7BD1">
        <w:rPr>
          <w:rFonts w:ascii="Calibri" w:hAnsi="Calibri" w:cs="Calibri"/>
          <w:b/>
          <w:bCs/>
          <w:color w:val="C00000"/>
          <w:sz w:val="28"/>
          <w:szCs w:val="28"/>
          <w:shd w:val="clear" w:color="auto" w:fill="FFFFFF"/>
          <w:lang w:val="en"/>
        </w:rPr>
        <w:t>Jan 1, 2025</w:t>
      </w:r>
    </w:p>
    <w:p w14:paraId="666AD756" w14:textId="77777777" w:rsidR="00BF388B" w:rsidRPr="00DD7BD1" w:rsidRDefault="00BF388B" w:rsidP="00BF388B">
      <w:pPr>
        <w:spacing w:after="0" w:line="240" w:lineRule="auto"/>
        <w:rPr>
          <w:rFonts w:ascii="Calibri" w:hAnsi="Calibri" w:cs="Calibri"/>
        </w:rPr>
      </w:pPr>
      <w:r w:rsidRPr="00DD7BD1">
        <w:rPr>
          <w:rFonts w:ascii="Calibri" w:hAnsi="Calibri" w:cs="Calibri"/>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DD7BD1">
        <w:rPr>
          <w:rFonts w:ascii="Calibri" w:hAnsi="Calibri" w:cs="Calibri"/>
          <w:b/>
          <w:bCs/>
        </w:rPr>
        <w:t>Jan. 1, 2026</w:t>
      </w:r>
      <w:r w:rsidRPr="00DD7BD1">
        <w:rPr>
          <w:rFonts w:ascii="Calibri" w:hAnsi="Calibri" w:cs="Calibri"/>
        </w:rPr>
        <w:t>.</w:t>
      </w:r>
    </w:p>
    <w:p w14:paraId="2BD3EB1D" w14:textId="77777777" w:rsidR="00BF388B" w:rsidRPr="00DD7BD1" w:rsidRDefault="00BF388B" w:rsidP="00BF388B">
      <w:pPr>
        <w:pStyle w:val="SectionBoxBold"/>
        <w:rPr>
          <w:rFonts w:cs="Calibri"/>
          <w:color w:val="auto"/>
          <w:sz w:val="16"/>
          <w:szCs w:val="16"/>
        </w:rPr>
      </w:pPr>
    </w:p>
    <w:p w14:paraId="7BEF8E73"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Entities</w:t>
      </w:r>
    </w:p>
    <w:p w14:paraId="3038C698" w14:textId="77777777" w:rsidR="00BF388B" w:rsidRPr="00DD7BD1" w:rsidRDefault="00BF388B" w:rsidP="00BF388B">
      <w:pPr>
        <w:pStyle w:val="Bullet2"/>
        <w:spacing w:after="0" w:line="240" w:lineRule="auto"/>
        <w:ind w:left="0" w:firstLine="0"/>
        <w:rPr>
          <w:rFonts w:cs="Calibri"/>
          <w:color w:val="auto"/>
          <w:szCs w:val="22"/>
        </w:rPr>
      </w:pPr>
      <w:r w:rsidRPr="00DD7BD1">
        <w:rPr>
          <w:rFonts w:cs="Calibri"/>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Controlled or processed personal data of 10,000 Rhode Island customers and derived more than 20% of their gross revenue from the sale of personal data.</w:t>
      </w:r>
    </w:p>
    <w:p w14:paraId="7A2D3892"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DD7BD1" w:rsidRDefault="00BF388B" w:rsidP="00BF388B">
      <w:pPr>
        <w:pStyle w:val="SectionBoxBold"/>
        <w:rPr>
          <w:rFonts w:cs="Calibri"/>
          <w:color w:val="404040" w:themeColor="text1" w:themeTint="BF"/>
          <w:sz w:val="16"/>
          <w:szCs w:val="16"/>
        </w:rPr>
      </w:pPr>
    </w:p>
    <w:p w14:paraId="39ADCBF7"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Personal Data</w:t>
      </w:r>
    </w:p>
    <w:p w14:paraId="5B76A52F"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DD7BD1" w:rsidRDefault="00BF388B" w:rsidP="00BF388B">
      <w:pPr>
        <w:spacing w:after="0" w:line="240" w:lineRule="auto"/>
        <w:rPr>
          <w:rFonts w:ascii="Calibri" w:hAnsi="Calibri" w:cs="Calibri"/>
        </w:rPr>
      </w:pPr>
      <w:r w:rsidRPr="00DD7BD1">
        <w:rPr>
          <w:rFonts w:ascii="Calibri" w:hAnsi="Calibri" w:cs="Calibri"/>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DD7BD1" w:rsidRDefault="00BF388B" w:rsidP="00BF388B">
      <w:pPr>
        <w:spacing w:after="0" w:line="240" w:lineRule="auto"/>
        <w:rPr>
          <w:rFonts w:ascii="Calibri" w:hAnsi="Calibri" w:cs="Calibri"/>
        </w:rPr>
      </w:pPr>
      <w:r w:rsidRPr="00DD7BD1">
        <w:rPr>
          <w:rFonts w:ascii="Calibri" w:hAnsi="Calibri" w:cs="Calibri"/>
        </w:rPr>
        <w:t>Certain types of data are excluded from the DTPPA. Notably, the DTPPA does not cover data processed or maintained during an individual’s employment.</w:t>
      </w:r>
    </w:p>
    <w:p w14:paraId="296E61C6"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AA99F68"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Consumer Rights</w:t>
      </w:r>
    </w:p>
    <w:p w14:paraId="28550E48"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Confirm whether a controller processes their personal data and access such data, unless a trade secret would be revealed;</w:t>
      </w:r>
    </w:p>
    <w:p w14:paraId="5B53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on an annual basis, a copy of their personal data held by the controller in a readily usable format;</w:t>
      </w:r>
    </w:p>
    <w:p w14:paraId="1CDC7E5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Correct inaccuracies in their personal data;</w:t>
      </w:r>
    </w:p>
    <w:p w14:paraId="51E8958B"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Delete their personal data; and</w:t>
      </w:r>
    </w:p>
    <w:p w14:paraId="62BDD494"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Opt out of the processing of their personal data for the purposes of targeted advertising, the sale of their personal data, or profiling.</w:t>
      </w:r>
    </w:p>
    <w:p w14:paraId="27911EDD"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559C9B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Controller Requirements </w:t>
      </w:r>
    </w:p>
    <w:p w14:paraId="609D6679"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the DTPPA, controllers must:</w:t>
      </w:r>
    </w:p>
    <w:p w14:paraId="1171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Limit data processing to what is adequate, relevant and necessary for the controller’s purposes;</w:t>
      </w:r>
    </w:p>
    <w:p w14:paraId="702CB274"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consent before processing sensitive personal data;</w:t>
      </w:r>
    </w:p>
    <w:p w14:paraId="7DC702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Conduct a data protection impact assessment on the processing of personal data that presents a heightened risk of harm to the customer;</w:t>
      </w:r>
    </w:p>
    <w:p w14:paraId="56A78F82"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Provide customers with a mechanism to grant and revoke consent when required;</w:t>
      </w:r>
    </w:p>
    <w:p w14:paraId="75394AC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4598936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Enforcement</w:t>
      </w:r>
    </w:p>
    <w:p w14:paraId="095CF2FA"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DD7BD1" w:rsidRDefault="00BF388B" w:rsidP="004B7569">
      <w:pPr>
        <w:spacing w:after="0" w:line="240" w:lineRule="auto"/>
        <w:jc w:val="center"/>
        <w:rPr>
          <w:rFonts w:ascii="Calibri" w:hAnsi="Calibri" w:cs="Calibri"/>
          <w:b/>
          <w:bCs/>
          <w:shd w:val="clear" w:color="auto" w:fill="FFFFFF"/>
          <w:lang w:val="en"/>
        </w:rPr>
      </w:pPr>
    </w:p>
    <w:p w14:paraId="07D76567" w14:textId="6E1E8A92"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Passes Secure Choice Retirement Savings Program</w:t>
      </w:r>
    </w:p>
    <w:p w14:paraId="6D59CE7F" w14:textId="77777777" w:rsidR="004B7569" w:rsidRPr="00DD7BD1" w:rsidRDefault="004B7569" w:rsidP="004B7569">
      <w:pPr>
        <w:pStyle w:val="CallOutBox"/>
        <w:jc w:val="left"/>
        <w:rPr>
          <w:rFonts w:ascii="Calibri" w:eastAsia="Times New Roman" w:hAnsi="Calibri" w:cs="Calibri"/>
          <w:b w:val="0"/>
          <w:i w:val="0"/>
          <w:color w:val="auto"/>
          <w:sz w:val="22"/>
          <w:szCs w:val="22"/>
        </w:rPr>
      </w:pPr>
      <w:r w:rsidRPr="00DD7BD1">
        <w:rPr>
          <w:rFonts w:ascii="Calibri" w:eastAsia="Times New Roman" w:hAnsi="Calibri" w:cs="Calibri"/>
          <w:b w:val="0"/>
          <w:i w:val="0"/>
          <w:color w:val="auto"/>
          <w:sz w:val="22"/>
          <w:szCs w:val="22"/>
        </w:rPr>
        <w:t xml:space="preserve">On June 26, 2024, </w:t>
      </w:r>
      <w:hyperlink r:id="rId936" w:history="1">
        <w:r w:rsidRPr="00DD7BD1">
          <w:rPr>
            <w:rStyle w:val="Hyperlink"/>
            <w:rFonts w:ascii="Calibri" w:hAnsi="Calibri" w:cs="Calibri"/>
            <w:b w:val="0"/>
            <w:bCs/>
            <w:i w:val="0"/>
            <w:iCs/>
            <w:sz w:val="22"/>
            <w:szCs w:val="22"/>
          </w:rPr>
          <w:t>Senate Bill 2045</w:t>
        </w:r>
      </w:hyperlink>
      <w:r w:rsidRPr="00DD7BD1">
        <w:rPr>
          <w:rFonts w:ascii="Calibri" w:eastAsia="Times New Roman" w:hAnsi="Calibri" w:cs="Calibri"/>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DD7BD1" w:rsidRDefault="004B7569" w:rsidP="004B7569">
      <w:pPr>
        <w:pStyle w:val="BodyText"/>
        <w:spacing w:after="0" w:line="240" w:lineRule="auto"/>
        <w:rPr>
          <w:rFonts w:cs="Calibri"/>
          <w:sz w:val="16"/>
          <w:szCs w:val="16"/>
        </w:rPr>
      </w:pPr>
    </w:p>
    <w:p w14:paraId="0FD934B3" w14:textId="77777777" w:rsidR="004B7569" w:rsidRPr="00DD7BD1" w:rsidRDefault="004B7569" w:rsidP="004B7569">
      <w:pPr>
        <w:pStyle w:val="BodyText"/>
        <w:spacing w:after="0" w:line="240" w:lineRule="auto"/>
        <w:rPr>
          <w:rFonts w:cs="Calibri"/>
          <w:b/>
          <w:bCs/>
          <w:color w:val="auto"/>
          <w:szCs w:val="22"/>
        </w:rPr>
      </w:pPr>
      <w:r w:rsidRPr="00DD7BD1">
        <w:rPr>
          <w:rFonts w:cs="Calibri"/>
          <w:b/>
          <w:bCs/>
          <w:color w:val="auto"/>
          <w:szCs w:val="22"/>
        </w:rPr>
        <w:t>Phased Implementation:</w:t>
      </w:r>
    </w:p>
    <w:p w14:paraId="1AC77838" w14:textId="77777777" w:rsidR="004B7569" w:rsidRPr="00DD7BD1" w:rsidRDefault="004B7569" w:rsidP="004B7569">
      <w:pPr>
        <w:pStyle w:val="BodyText"/>
        <w:spacing w:after="0" w:line="240" w:lineRule="auto"/>
        <w:rPr>
          <w:rFonts w:cs="Calibri"/>
          <w:color w:val="auto"/>
          <w:szCs w:val="22"/>
        </w:rPr>
      </w:pPr>
      <w:r w:rsidRPr="00DD7BD1">
        <w:rPr>
          <w:rFonts w:cs="Calibri"/>
          <w:color w:val="auto"/>
          <w:szCs w:val="22"/>
        </w:rPr>
        <w:t>There will be a phased implementation period, as follows:</w:t>
      </w:r>
    </w:p>
    <w:p w14:paraId="715BB0DE"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100 or more employees</w:t>
      </w:r>
      <w:r w:rsidRPr="00DD7BD1">
        <w:rPr>
          <w:rFonts w:cs="Calibri"/>
          <w:color w:val="auto"/>
          <w:szCs w:val="22"/>
        </w:rPr>
        <w:t xml:space="preserve"> will have to participate </w:t>
      </w:r>
      <w:r w:rsidRPr="00DD7BD1">
        <w:rPr>
          <w:rFonts w:cs="Calibri"/>
          <w:b/>
          <w:bCs/>
          <w:color w:val="auto"/>
          <w:szCs w:val="22"/>
        </w:rPr>
        <w:t>within 12 months</w:t>
      </w:r>
      <w:r w:rsidRPr="00DD7BD1">
        <w:rPr>
          <w:rFonts w:cs="Calibri"/>
          <w:color w:val="auto"/>
          <w:szCs w:val="22"/>
        </w:rPr>
        <w:t xml:space="preserve"> of the program opening;</w:t>
      </w:r>
    </w:p>
    <w:p w14:paraId="659D1B26"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50 or more employees</w:t>
      </w:r>
      <w:r w:rsidRPr="00DD7BD1">
        <w:rPr>
          <w:rFonts w:cs="Calibri"/>
          <w:color w:val="auto"/>
          <w:szCs w:val="22"/>
        </w:rPr>
        <w:t xml:space="preserve"> will have to participate </w:t>
      </w:r>
      <w:r w:rsidRPr="00DD7BD1">
        <w:rPr>
          <w:rFonts w:cs="Calibri"/>
          <w:b/>
          <w:bCs/>
          <w:color w:val="auto"/>
          <w:szCs w:val="22"/>
        </w:rPr>
        <w:t>within 24 months</w:t>
      </w:r>
      <w:r w:rsidRPr="00DD7BD1">
        <w:rPr>
          <w:rFonts w:cs="Calibri"/>
          <w:color w:val="auto"/>
          <w:szCs w:val="22"/>
        </w:rPr>
        <w:t xml:space="preserve"> of the program opening; and</w:t>
      </w:r>
    </w:p>
    <w:p w14:paraId="57276D3A"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All other eligible employers will have to participate within </w:t>
      </w:r>
      <w:r w:rsidRPr="00DD7BD1">
        <w:rPr>
          <w:rFonts w:cs="Calibri"/>
          <w:b/>
          <w:bCs/>
          <w:color w:val="auto"/>
          <w:szCs w:val="22"/>
        </w:rPr>
        <w:t>36 months</w:t>
      </w:r>
      <w:r w:rsidRPr="00DD7BD1">
        <w:rPr>
          <w:rFonts w:cs="Calibri"/>
          <w:color w:val="auto"/>
          <w:szCs w:val="22"/>
        </w:rPr>
        <w:t xml:space="preserve"> of the program opening.</w:t>
      </w:r>
    </w:p>
    <w:p w14:paraId="1E961D8B" w14:textId="77777777" w:rsidR="004B7569" w:rsidRPr="00DD7BD1" w:rsidRDefault="004B7569" w:rsidP="004B7569">
      <w:pPr>
        <w:pStyle w:val="BodyText"/>
        <w:spacing w:after="0" w:line="240" w:lineRule="auto"/>
        <w:rPr>
          <w:rFonts w:cs="Calibri"/>
          <w:b/>
          <w:bCs/>
          <w:color w:val="auto"/>
          <w:sz w:val="16"/>
          <w:szCs w:val="16"/>
          <w:highlight w:val="lightGray"/>
        </w:rPr>
      </w:pPr>
    </w:p>
    <w:p w14:paraId="62077FAC" w14:textId="00D4A96B" w:rsidR="004B7569" w:rsidRPr="00DD7BD1" w:rsidRDefault="004B7569" w:rsidP="004B7569">
      <w:pPr>
        <w:pStyle w:val="BodyText"/>
        <w:spacing w:after="0" w:line="240" w:lineRule="auto"/>
        <w:rPr>
          <w:rFonts w:cs="Calibri"/>
          <w:color w:val="auto"/>
          <w:szCs w:val="22"/>
        </w:rPr>
      </w:pPr>
      <w:r w:rsidRPr="00DD7BD1">
        <w:rPr>
          <w:rFonts w:cs="Calibri"/>
          <w:b/>
          <w:bCs/>
          <w:color w:val="auto"/>
          <w:szCs w:val="22"/>
          <w:highlight w:val="lightGray"/>
        </w:rPr>
        <w:t>Employer Takeaway:</w:t>
      </w:r>
      <w:r w:rsidRPr="00DD7BD1">
        <w:rPr>
          <w:rFonts w:cs="Calibri"/>
          <w:b/>
          <w:bCs/>
          <w:color w:val="auto"/>
          <w:szCs w:val="22"/>
        </w:rPr>
        <w:t xml:space="preserve"> </w:t>
      </w:r>
      <w:r w:rsidRPr="00DD7BD1">
        <w:rPr>
          <w:rFonts w:cs="Calibri"/>
          <w:color w:val="auto"/>
          <w:szCs w:val="22"/>
        </w:rPr>
        <w:t>Employers will have no liability or fiduciary duty to employees in relation to the program; however, employers will be subject to penalties of $250/eligible employee if the employer fails to allow the eligible employees to participate.  More to come as guidance and details are released.</w:t>
      </w:r>
    </w:p>
    <w:p w14:paraId="079953B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7A7A9E82" w14:textId="364272DE" w:rsidR="004B7569" w:rsidRPr="00DD7BD1" w:rsidRDefault="004B7569" w:rsidP="00424AC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So</w:t>
      </w:r>
      <w:r w:rsidR="00424AC2" w:rsidRPr="00DD7BD1">
        <w:rPr>
          <w:rFonts w:ascii="Calibri" w:hAnsi="Calibri" w:cs="Calibri"/>
          <w:b/>
          <w:bCs/>
          <w:color w:val="2E74B5" w:themeColor="accent5" w:themeShade="BF"/>
          <w:sz w:val="28"/>
          <w:szCs w:val="28"/>
          <w:shd w:val="clear" w:color="auto" w:fill="FFFFFF"/>
          <w:lang w:val="en"/>
        </w:rPr>
        <w:t>u</w:t>
      </w:r>
      <w:r w:rsidRPr="00DD7BD1">
        <w:rPr>
          <w:rFonts w:ascii="Calibri" w:hAnsi="Calibri" w:cs="Calibri"/>
          <w:b/>
          <w:bCs/>
          <w:color w:val="2E74B5" w:themeColor="accent5" w:themeShade="BF"/>
          <w:sz w:val="28"/>
          <w:szCs w:val="28"/>
          <w:shd w:val="clear" w:color="auto" w:fill="FFFFFF"/>
          <w:lang w:val="en"/>
        </w:rPr>
        <w:t>th Dakota</w:t>
      </w:r>
    </w:p>
    <w:p w14:paraId="2DB6E313" w14:textId="77777777" w:rsidR="00424AC2" w:rsidRPr="00DD7BD1" w:rsidRDefault="00424AC2" w:rsidP="00424AC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40C0562D" w14:textId="2A5035DD" w:rsidR="00424AC2" w:rsidRPr="00DD7BD1" w:rsidRDefault="00424AC2" w:rsidP="00424AC2">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South Dakota’s minimum wage will increase to $11.85 per hour. The minimum base wage for tipped employees will increase to $5.93 per hour (</w:t>
      </w:r>
      <w:r w:rsidRPr="00DD7BD1">
        <w:rPr>
          <w:rFonts w:ascii="Calibri" w:hAnsi="Calibri" w:cs="Calibri"/>
          <w:i/>
          <w:iCs/>
          <w:shd w:val="clear" w:color="auto" w:fill="FFFFFF"/>
        </w:rPr>
        <w:t>technically</w:t>
      </w:r>
      <w:r w:rsidRPr="00DD7BD1">
        <w:rPr>
          <w:rFonts w:ascii="Calibri" w:hAnsi="Calibri" w:cs="Calibri"/>
          <w:shd w:val="clear" w:color="auto" w:fill="FFFFFF"/>
        </w:rPr>
        <w:t> $5.925).</w:t>
      </w:r>
    </w:p>
    <w:p w14:paraId="63BBCA08" w14:textId="77777777" w:rsidR="00424AC2" w:rsidRPr="00DD7BD1" w:rsidRDefault="00424AC2" w:rsidP="00424AC2">
      <w:pPr>
        <w:spacing w:after="0" w:line="240" w:lineRule="auto"/>
        <w:jc w:val="both"/>
        <w:rPr>
          <w:rFonts w:ascii="Calibri" w:hAnsi="Calibri" w:cs="Calibri"/>
          <w:shd w:val="clear" w:color="auto" w:fill="FFFFFF"/>
          <w:lang w:val="en"/>
        </w:rPr>
      </w:pPr>
    </w:p>
    <w:p w14:paraId="172B7381" w14:textId="7B45D319"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Clarifies Medical Cannabis Protections – </w:t>
      </w:r>
      <w:r w:rsidRPr="00DD7BD1">
        <w:rPr>
          <w:rFonts w:ascii="Calibri" w:hAnsi="Calibri" w:cs="Calibri"/>
          <w:b/>
          <w:bCs/>
          <w:color w:val="C00000"/>
          <w:sz w:val="28"/>
          <w:szCs w:val="28"/>
          <w:shd w:val="clear" w:color="auto" w:fill="FFFFFF"/>
          <w:lang w:val="en"/>
        </w:rPr>
        <w:t>July 1</w:t>
      </w:r>
    </w:p>
    <w:p w14:paraId="78FACE96"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DD7BD1">
        <w:rPr>
          <w:rFonts w:ascii="Calibri" w:eastAsia="Times New Roman" w:hAnsi="Calibri" w:cs="Calibri"/>
          <w:color w:val="C00000"/>
        </w:rPr>
        <w:t>July 1, 2024.</w:t>
      </w:r>
    </w:p>
    <w:p w14:paraId="48D44F92"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Ensure that all safety-sensitive positions are documented as such in job descriptions and ads.</w:t>
      </w:r>
    </w:p>
    <w:p w14:paraId="13FD7047"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If you plan to make employment decisions based on a positive test result for cannabis metabolites with respect to safety-sensitive positions, make that clear in all related policies.</w:t>
      </w:r>
    </w:p>
    <w:p w14:paraId="2891EA4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66592BF6" w14:textId="4C3CDB94" w:rsidR="00400188" w:rsidRDefault="00400188" w:rsidP="009040C5">
      <w:pPr>
        <w:spacing w:after="0" w:line="240" w:lineRule="auto"/>
        <w:jc w:val="both"/>
        <w:rPr>
          <w:rFonts w:ascii="Calibri" w:hAnsi="Calibri" w:cs="Calibri"/>
          <w:b/>
          <w:bCs/>
          <w:color w:val="2E74B5" w:themeColor="accent5" w:themeShade="BF"/>
          <w:sz w:val="28"/>
          <w:szCs w:val="28"/>
          <w:shd w:val="clear" w:color="auto" w:fill="FFFFFF"/>
          <w:lang w:val="en"/>
        </w:rPr>
      </w:pPr>
      <w:r>
        <w:rPr>
          <w:rFonts w:ascii="Calibri" w:hAnsi="Calibri" w:cs="Calibri"/>
          <w:b/>
          <w:bCs/>
          <w:color w:val="2E74B5" w:themeColor="accent5" w:themeShade="BF"/>
          <w:sz w:val="28"/>
          <w:szCs w:val="28"/>
          <w:shd w:val="clear" w:color="auto" w:fill="FFFFFF"/>
          <w:lang w:val="en"/>
        </w:rPr>
        <w:t>Tennessee</w:t>
      </w:r>
    </w:p>
    <w:p w14:paraId="711A66D8" w14:textId="77777777" w:rsidR="00BE4586" w:rsidRDefault="00BE4586" w:rsidP="00BE4586">
      <w:pPr>
        <w:jc w:val="center"/>
        <w:rPr>
          <w:b/>
          <w:bCs/>
          <w:caps/>
          <w:noProof/>
          <w:color w:val="0E425C"/>
          <w:sz w:val="28"/>
          <w:szCs w:val="28"/>
        </w:rPr>
      </w:pPr>
      <w:r w:rsidRPr="00010461">
        <w:rPr>
          <w:b/>
          <w:bCs/>
          <w:caps/>
          <w:color w:val="0070C0"/>
          <w:sz w:val="26"/>
          <w:szCs w:val="26"/>
        </w:rPr>
        <w:t>New!</w:t>
      </w:r>
      <w:r w:rsidRPr="00C72726">
        <w:rPr>
          <w:b/>
          <w:bCs/>
          <w:caps/>
          <w:noProof/>
          <w:color w:val="0E425C"/>
          <w:sz w:val="26"/>
          <w:szCs w:val="26"/>
        </w:rPr>
        <w:t xml:space="preserve"> </w:t>
      </w:r>
      <w:r>
        <w:rPr>
          <w:b/>
          <w:bCs/>
          <w:caps/>
          <w:noProof/>
          <w:color w:val="0E425C"/>
          <w:sz w:val="26"/>
          <w:szCs w:val="26"/>
        </w:rPr>
        <w:t xml:space="preserve">StAte to Require Employee Leave for Organ Donors Effective </w:t>
      </w:r>
      <w:r w:rsidRPr="00327D73">
        <w:rPr>
          <w:b/>
          <w:bCs/>
          <w:caps/>
          <w:color w:val="0070C0"/>
          <w:sz w:val="26"/>
          <w:szCs w:val="26"/>
        </w:rPr>
        <w:t>April 23, 2026</w:t>
      </w:r>
    </w:p>
    <w:p w14:paraId="1CE86B66" w14:textId="77777777" w:rsidR="00BE4586" w:rsidRDefault="00BE4586" w:rsidP="00BE4586">
      <w:r w:rsidRPr="00901AD6">
        <w:t>The state has recently</w:t>
      </w:r>
      <w:r>
        <w:t xml:space="preserve"> enacted a</w:t>
      </w:r>
      <w:r w:rsidRPr="00901AD6">
        <w:t xml:space="preserve"> law providing </w:t>
      </w:r>
      <w:r>
        <w:t>12 weeks of j</w:t>
      </w:r>
      <w:r w:rsidRPr="00901AD6">
        <w:t xml:space="preserve">ob-protected leave for eligible employees who are organ donors. The new law applies to all employers with at least </w:t>
      </w:r>
      <w:r>
        <w:t>1</w:t>
      </w:r>
      <w:r w:rsidRPr="00901AD6">
        <w:t xml:space="preserve"> employee</w:t>
      </w:r>
      <w:r>
        <w:t xml:space="preserve"> in the state.</w:t>
      </w:r>
    </w:p>
    <w:p w14:paraId="1B6CF682" w14:textId="77777777" w:rsidR="00BE4586" w:rsidRPr="00901AD6" w:rsidRDefault="00BE4586" w:rsidP="00BE4586">
      <w:pPr>
        <w:rPr>
          <w:b/>
          <w:bCs/>
        </w:rPr>
      </w:pPr>
      <w:r w:rsidRPr="00901AD6">
        <w:rPr>
          <w:b/>
          <w:bCs/>
        </w:rPr>
        <w:t>Covered Employers &amp; Employees</w:t>
      </w:r>
    </w:p>
    <w:p w14:paraId="3E399385" w14:textId="77777777" w:rsidR="00BE4586" w:rsidRPr="00901AD6" w:rsidRDefault="00BE4586" w:rsidP="00BE4586">
      <w:r>
        <w:t>Employee</w:t>
      </w:r>
      <w:r w:rsidRPr="00901AD6">
        <w:t>s are only covered if they meet the definition of “</w:t>
      </w:r>
      <w:hyperlink r:id="rId937" w:history="1">
        <w:r w:rsidRPr="00901AD6">
          <w:rPr>
            <w:rStyle w:val="Hyperlink"/>
            <w:color w:val="auto"/>
          </w:rPr>
          <w:t>eligible employee</w:t>
        </w:r>
      </w:hyperlink>
      <w:r w:rsidRPr="00901AD6">
        <w:t>” in the federal Family and Medical Leave Act (FMLA). That means they:</w:t>
      </w:r>
    </w:p>
    <w:p w14:paraId="41DD3B4B" w14:textId="77777777" w:rsidR="00BE4586" w:rsidRPr="00901AD6" w:rsidRDefault="00BE4586" w:rsidP="00BE4586">
      <w:pPr>
        <w:pStyle w:val="Bullet"/>
        <w:spacing w:after="80"/>
        <w:ind w:left="648"/>
        <w:rPr>
          <w:color w:val="auto"/>
        </w:rPr>
      </w:pPr>
      <w:r w:rsidRPr="00901AD6">
        <w:rPr>
          <w:color w:val="auto"/>
        </w:rPr>
        <w:t>Have worked for a covered employer for at least 12 months,</w:t>
      </w:r>
    </w:p>
    <w:p w14:paraId="5F388E40" w14:textId="77777777" w:rsidR="00BE4586" w:rsidRPr="00901AD6" w:rsidRDefault="00BE4586" w:rsidP="00BE4586">
      <w:pPr>
        <w:pStyle w:val="Bullet"/>
        <w:spacing w:after="80"/>
        <w:ind w:left="648"/>
        <w:rPr>
          <w:color w:val="auto"/>
        </w:rPr>
      </w:pPr>
      <w:r w:rsidRPr="00901AD6">
        <w:rPr>
          <w:color w:val="auto"/>
        </w:rPr>
        <w:t>Have at least 1,250 hours of service with the employer during the 12 months before their FMLA leave starts, and</w:t>
      </w:r>
    </w:p>
    <w:p w14:paraId="17B61D92" w14:textId="77777777" w:rsidR="00BE4586" w:rsidRDefault="00BE4586" w:rsidP="00BE4586">
      <w:pPr>
        <w:pStyle w:val="Bullet"/>
        <w:spacing w:after="80"/>
        <w:ind w:left="648"/>
        <w:rPr>
          <w:color w:val="auto"/>
        </w:rPr>
      </w:pPr>
      <w:r w:rsidRPr="00901AD6">
        <w:rPr>
          <w:color w:val="auto"/>
        </w:rPr>
        <w:t xml:space="preserve">Work at a location within 75 miles of where the employer has at least 50 employees. </w:t>
      </w:r>
    </w:p>
    <w:p w14:paraId="4099283B" w14:textId="77777777" w:rsidR="00BE4586" w:rsidRPr="00901AD6" w:rsidRDefault="00BE4586" w:rsidP="00BE4586">
      <w:pPr>
        <w:pStyle w:val="Bullet"/>
        <w:numPr>
          <w:ilvl w:val="0"/>
          <w:numId w:val="0"/>
        </w:numPr>
        <w:spacing w:after="80"/>
        <w:rPr>
          <w:color w:val="auto"/>
        </w:rPr>
      </w:pPr>
      <w:r>
        <w:rPr>
          <w:color w:val="auto"/>
        </w:rPr>
        <w:t>As with any state leave, employees are expected to provide advance notice – 30 days or as soon as reasonably possible.</w:t>
      </w:r>
    </w:p>
    <w:p w14:paraId="56CC1C16" w14:textId="2B57764F" w:rsidR="00400188" w:rsidRPr="00986159" w:rsidRDefault="00BE4586" w:rsidP="00986159">
      <w:r>
        <w:t>ETC is issuing an updated Tennessee State Handbook addendum April 2026 for employer review, adoption and distribution.</w:t>
      </w:r>
    </w:p>
    <w:p w14:paraId="4FAE9F99" w14:textId="77777777" w:rsidR="00400188" w:rsidRDefault="00400188" w:rsidP="009040C5">
      <w:pPr>
        <w:spacing w:after="0" w:line="240" w:lineRule="auto"/>
        <w:jc w:val="both"/>
        <w:rPr>
          <w:rFonts w:ascii="Calibri" w:hAnsi="Calibri" w:cs="Calibri"/>
          <w:b/>
          <w:bCs/>
          <w:color w:val="2E74B5" w:themeColor="accent5" w:themeShade="BF"/>
          <w:sz w:val="28"/>
          <w:szCs w:val="28"/>
          <w:shd w:val="clear" w:color="auto" w:fill="FFFFFF"/>
          <w:lang w:val="en"/>
        </w:rPr>
      </w:pPr>
    </w:p>
    <w:p w14:paraId="37C4A397" w14:textId="10E2C2D5"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Texas</w:t>
      </w:r>
    </w:p>
    <w:p w14:paraId="6810DF7F" w14:textId="04C77ACF" w:rsidR="00132014" w:rsidRPr="00DD7BD1" w:rsidRDefault="00132014" w:rsidP="00132014">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Texas Attorney General Releases Opinion Letter Related DEI </w:t>
      </w:r>
    </w:p>
    <w:p w14:paraId="6A5AF2AF" w14:textId="77777777" w:rsidR="00132014" w:rsidRPr="00DD7BD1" w:rsidRDefault="00132014" w:rsidP="00132014">
      <w:pPr>
        <w:rPr>
          <w:rFonts w:ascii="Calibri" w:hAnsi="Calibri" w:cs="Calibri"/>
          <w:shd w:val="clear" w:color="auto" w:fill="FFFFFF"/>
        </w:rPr>
      </w:pPr>
      <w:r w:rsidRPr="00DD7BD1">
        <w:rPr>
          <w:rFonts w:ascii="Calibri" w:hAnsi="Calibri" w:cs="Calibri"/>
          <w:shd w:val="clear" w:color="auto" w:fill="FFFFFF"/>
        </w:rPr>
        <w:t xml:space="preserve">Texas’s Attorney General recently issued a 74-page </w:t>
      </w:r>
      <w:hyperlink r:id="rId938" w:history="1">
        <w:r w:rsidRPr="00DD7BD1">
          <w:rPr>
            <w:rStyle w:val="Hyperlink"/>
            <w:rFonts w:ascii="Calibri" w:hAnsi="Calibri" w:cs="Calibri"/>
            <w:shd w:val="clear" w:color="auto" w:fill="FFFFFF"/>
          </w:rPr>
          <w:t>Opinion</w:t>
        </w:r>
      </w:hyperlink>
      <w:r w:rsidRPr="00DD7BD1">
        <w:rPr>
          <w:rFonts w:ascii="Calibri" w:hAnsi="Calibri" w:cs="Calibri"/>
          <w:shd w:val="clear" w:color="auto" w:fill="FFFFFF"/>
        </w:rPr>
        <w:t xml:space="preserve"> questioning the legality of various Diversity, Equity, and Inclusion (DEI) initiatives across the state in both public and private sectors, alleging that the below five employer initiatives where “present day DEI practices” can potentially lead to legal exposure:</w:t>
      </w:r>
    </w:p>
    <w:p w14:paraId="3E1D24D3"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hiring and promotion processes;</w:t>
      </w:r>
    </w:p>
    <w:p w14:paraId="7F1A992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pay, bonuses, and promotion goals;</w:t>
      </w:r>
    </w:p>
    <w:p w14:paraId="3A72599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employee resource groups, mentoring, and training;</w:t>
      </w:r>
    </w:p>
    <w:p w14:paraId="4FE3C966"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supplier diversity; and</w:t>
      </w:r>
    </w:p>
    <w:p w14:paraId="70B23C32"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governance structures and public goals.</w:t>
      </w:r>
    </w:p>
    <w:p w14:paraId="00BC4AD2" w14:textId="77777777" w:rsidR="00132014" w:rsidRPr="00DD7BD1" w:rsidRDefault="00132014" w:rsidP="00132014">
      <w:pPr>
        <w:numPr>
          <w:ilvl w:val="0"/>
          <w:numId w:val="312"/>
        </w:numPr>
        <w:spacing w:after="0" w:line="240" w:lineRule="auto"/>
        <w:rPr>
          <w:rFonts w:ascii="Calibri" w:hAnsi="Calibri" w:cs="Calibri"/>
          <w:shd w:val="clear" w:color="auto" w:fill="FFFFFF"/>
        </w:rPr>
      </w:pPr>
    </w:p>
    <w:p w14:paraId="3A3A425E" w14:textId="1FB884B3" w:rsidR="00132014" w:rsidRPr="00DD7BD1" w:rsidRDefault="00132014" w:rsidP="00132014">
      <w:pPr>
        <w:rPr>
          <w:rFonts w:ascii="Calibri" w:hAnsi="Calibri" w:cs="Calibri"/>
          <w:shd w:val="clear" w:color="auto" w:fill="FFFFFF"/>
        </w:rPr>
      </w:pPr>
      <w:r w:rsidRPr="00DD7BD1">
        <w:rPr>
          <w:rFonts w:ascii="Calibri" w:hAnsi="Calibri" w:cs="Calibri"/>
          <w:b/>
          <w:bCs/>
          <w:highlight w:val="lightGray"/>
          <w:shd w:val="clear" w:color="auto" w:fill="FFFFFF"/>
        </w:rPr>
        <w:t>Key Takeaways</w:t>
      </w:r>
      <w:r w:rsidRPr="00DD7BD1">
        <w:rPr>
          <w:rFonts w:ascii="Calibri" w:hAnsi="Calibri" w:cs="Calibri"/>
          <w:shd w:val="clear" w:color="auto" w:fill="FFFFFF"/>
        </w:rPr>
        <w:t>: Employers are encouraged to examine all DEI-related policies and ensure that these policies do not give preference or impose illegal requirements based on any protected characteristics. This includes reviewing job postings, application forms, internal training materials and programs. Employers are encouraged to consider broader inclusion efforts that don’t single out or favor any demographic groups to avoid allegations of preferential treatment.</w:t>
      </w:r>
    </w:p>
    <w:p w14:paraId="09056878" w14:textId="6B446742" w:rsidR="00D4266B" w:rsidRPr="00DD7BD1" w:rsidRDefault="00D4266B" w:rsidP="00D4266B">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Enacts</w:t>
      </w:r>
      <w:r w:rsidRPr="00DD7BD1">
        <w:rPr>
          <w:rFonts w:ascii="Calibri" w:hAnsi="Calibri" w:cs="Calibri"/>
          <w:b/>
          <w:spacing w:val="-8"/>
          <w:sz w:val="28"/>
        </w:rPr>
        <w:t xml:space="preserve"> </w:t>
      </w:r>
      <w:r w:rsidRPr="00DD7BD1">
        <w:rPr>
          <w:rFonts w:ascii="Calibri" w:hAnsi="Calibri" w:cs="Calibri"/>
          <w:b/>
          <w:spacing w:val="-6"/>
          <w:sz w:val="28"/>
        </w:rPr>
        <w:t>New Law</w:t>
      </w:r>
      <w:r w:rsidRPr="00DD7BD1">
        <w:rPr>
          <w:rFonts w:ascii="Calibri" w:hAnsi="Calibri" w:cs="Calibri"/>
          <w:b/>
          <w:spacing w:val="-5"/>
          <w:sz w:val="28"/>
        </w:rPr>
        <w:t xml:space="preserve"> </w:t>
      </w:r>
      <w:r w:rsidRPr="00DD7BD1">
        <w:rPr>
          <w:rFonts w:ascii="Calibri" w:hAnsi="Calibri" w:cs="Calibri"/>
          <w:b/>
          <w:spacing w:val="-6"/>
          <w:sz w:val="28"/>
        </w:rPr>
        <w:t>for</w:t>
      </w:r>
      <w:r w:rsidRPr="00DD7BD1">
        <w:rPr>
          <w:rFonts w:ascii="Calibri" w:hAnsi="Calibri" w:cs="Calibri"/>
          <w:b/>
          <w:spacing w:val="-7"/>
          <w:sz w:val="28"/>
        </w:rPr>
        <w:t xml:space="preserve"> </w:t>
      </w:r>
      <w:r w:rsidRPr="00DD7BD1">
        <w:rPr>
          <w:rFonts w:ascii="Calibri" w:hAnsi="Calibri" w:cs="Calibri"/>
          <w:b/>
          <w:spacing w:val="-6"/>
          <w:sz w:val="28"/>
        </w:rPr>
        <w:t>Employers</w:t>
      </w:r>
      <w:r w:rsidRPr="00DD7BD1">
        <w:rPr>
          <w:rFonts w:ascii="Calibri" w:hAnsi="Calibri" w:cs="Calibri"/>
          <w:b/>
          <w:spacing w:val="-5"/>
          <w:sz w:val="28"/>
        </w:rPr>
        <w:t xml:space="preserve"> </w:t>
      </w:r>
      <w:r w:rsidRPr="00DD7BD1">
        <w:rPr>
          <w:rFonts w:ascii="Calibri" w:hAnsi="Calibri" w:cs="Calibri"/>
          <w:b/>
          <w:spacing w:val="-6"/>
          <w:sz w:val="28"/>
        </w:rPr>
        <w:t>Using Artificial</w:t>
      </w:r>
      <w:r w:rsidRPr="00DD7BD1">
        <w:rPr>
          <w:rFonts w:ascii="Calibri" w:hAnsi="Calibri" w:cs="Calibri"/>
          <w:b/>
          <w:spacing w:val="-5"/>
          <w:sz w:val="28"/>
        </w:rPr>
        <w:t xml:space="preserve"> </w:t>
      </w:r>
      <w:r w:rsidRPr="00DD7BD1">
        <w:rPr>
          <w:rFonts w:ascii="Calibri" w:hAnsi="Calibri" w:cs="Calibri"/>
          <w:b/>
          <w:spacing w:val="-6"/>
          <w:sz w:val="28"/>
        </w:rPr>
        <w:t>Intelligence</w:t>
      </w:r>
      <w:r w:rsidRPr="00DD7BD1">
        <w:rPr>
          <w:rFonts w:ascii="Calibri" w:hAnsi="Calibri" w:cs="Calibri"/>
          <w:b/>
          <w:spacing w:val="-2"/>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1, 2026</w:t>
      </w:r>
    </w:p>
    <w:p w14:paraId="2F858C33" w14:textId="77777777" w:rsidR="00D4266B" w:rsidRPr="00DD7BD1" w:rsidRDefault="00D4266B" w:rsidP="00D4266B">
      <w:pPr>
        <w:pStyle w:val="BodyText"/>
        <w:spacing w:after="0" w:line="240" w:lineRule="auto"/>
        <w:ind w:right="-187"/>
        <w:jc w:val="left"/>
        <w:rPr>
          <w:rFonts w:cs="Calibri"/>
          <w:color w:val="auto"/>
          <w:szCs w:val="22"/>
        </w:rPr>
      </w:pP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Greg</w:t>
      </w:r>
      <w:r w:rsidRPr="00DD7BD1">
        <w:rPr>
          <w:rFonts w:cs="Calibri"/>
          <w:color w:val="auto"/>
          <w:spacing w:val="-17"/>
          <w:w w:val="110"/>
          <w:szCs w:val="22"/>
        </w:rPr>
        <w:t xml:space="preserve"> </w:t>
      </w:r>
      <w:r w:rsidRPr="00DD7BD1">
        <w:rPr>
          <w:rFonts w:cs="Calibri"/>
          <w:color w:val="auto"/>
          <w:w w:val="110"/>
          <w:szCs w:val="22"/>
        </w:rPr>
        <w:t>Abbott</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Texas</w:t>
      </w:r>
      <w:r w:rsidRPr="00DD7BD1">
        <w:rPr>
          <w:rFonts w:cs="Calibri"/>
          <w:color w:val="auto"/>
          <w:spacing w:val="-16"/>
          <w:w w:val="110"/>
          <w:szCs w:val="22"/>
        </w:rPr>
        <w:t xml:space="preserve"> </w:t>
      </w:r>
      <w:r w:rsidRPr="00DD7BD1">
        <w:rPr>
          <w:rFonts w:cs="Calibri"/>
          <w:color w:val="auto"/>
          <w:w w:val="110"/>
          <w:szCs w:val="22"/>
        </w:rPr>
        <w:t>Responsible</w:t>
      </w:r>
      <w:r w:rsidRPr="00DD7BD1">
        <w:rPr>
          <w:rFonts w:cs="Calibri"/>
          <w:color w:val="auto"/>
          <w:spacing w:val="-17"/>
          <w:w w:val="110"/>
          <w:szCs w:val="22"/>
        </w:rPr>
        <w:t xml:space="preserve"> </w:t>
      </w:r>
      <w:r w:rsidRPr="00DD7BD1">
        <w:rPr>
          <w:rFonts w:cs="Calibri"/>
          <w:color w:val="auto"/>
          <w:w w:val="110"/>
          <w:szCs w:val="22"/>
        </w:rPr>
        <w:t>Artificial</w:t>
      </w:r>
      <w:r w:rsidRPr="00DD7BD1">
        <w:rPr>
          <w:rFonts w:cs="Calibri"/>
          <w:color w:val="auto"/>
          <w:spacing w:val="-17"/>
          <w:w w:val="110"/>
          <w:szCs w:val="22"/>
        </w:rPr>
        <w:t xml:space="preserve"> </w:t>
      </w:r>
      <w:r w:rsidRPr="00DD7BD1">
        <w:rPr>
          <w:rFonts w:cs="Calibri"/>
          <w:color w:val="auto"/>
          <w:w w:val="110"/>
          <w:szCs w:val="22"/>
        </w:rPr>
        <w:t>Intelligence</w:t>
      </w:r>
      <w:r w:rsidRPr="00DD7BD1">
        <w:rPr>
          <w:rFonts w:cs="Calibri"/>
          <w:color w:val="auto"/>
          <w:spacing w:val="-17"/>
          <w:w w:val="110"/>
          <w:szCs w:val="22"/>
        </w:rPr>
        <w:t xml:space="preserve"> </w:t>
      </w:r>
      <w:r w:rsidRPr="00DD7BD1">
        <w:rPr>
          <w:rFonts w:cs="Calibri"/>
          <w:color w:val="auto"/>
          <w:w w:val="110"/>
          <w:szCs w:val="22"/>
        </w:rPr>
        <w:t>Governance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6"/>
          <w:w w:val="110"/>
          <w:szCs w:val="22"/>
        </w:rPr>
        <w:t xml:space="preserve"> </w:t>
      </w:r>
      <w:r w:rsidRPr="00DD7BD1">
        <w:rPr>
          <w:rFonts w:cs="Calibri"/>
          <w:color w:val="auto"/>
          <w:w w:val="110"/>
          <w:szCs w:val="22"/>
        </w:rPr>
        <w:t>(TRAIGA</w:t>
      </w:r>
      <w:hyperlink r:id="rId939" w:anchor="navpanes%3D0">
        <w:r w:rsidRPr="00DD7BD1">
          <w:rPr>
            <w:rFonts w:cs="Calibri"/>
            <w:color w:val="0000FF"/>
            <w:w w:val="110"/>
            <w:szCs w:val="22"/>
            <w:u w:val="single" w:color="0000FF"/>
          </w:rPr>
          <w: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149</w:t>
        </w:r>
      </w:hyperlink>
      <w:r w:rsidRPr="00DD7BD1">
        <w:rPr>
          <w:rFonts w:cs="Calibri"/>
          <w:w w:val="110"/>
          <w:szCs w:val="22"/>
        </w:rPr>
        <w:t>)</w:t>
      </w:r>
      <w:r w:rsidRPr="00DD7BD1">
        <w:rPr>
          <w:rFonts w:cs="Calibri"/>
          <w:spacing w:val="-17"/>
          <w:w w:val="110"/>
          <w:szCs w:val="22"/>
        </w:rPr>
        <w:t xml:space="preserve"> </w:t>
      </w:r>
      <w:r w:rsidRPr="00DD7BD1">
        <w:rPr>
          <w:rFonts w:cs="Calibri"/>
          <w:color w:val="auto"/>
          <w:w w:val="110"/>
          <w:szCs w:val="22"/>
        </w:rPr>
        <w:t>into law which becomes effective on January 1, 2026.</w:t>
      </w:r>
    </w:p>
    <w:p w14:paraId="31605ABE" w14:textId="77777777" w:rsidR="00D4266B" w:rsidRPr="00DD7BD1" w:rsidRDefault="00D4266B" w:rsidP="00D4266B">
      <w:pPr>
        <w:pStyle w:val="Heading4"/>
        <w:spacing w:before="0"/>
        <w:ind w:right="-187"/>
        <w:rPr>
          <w:rFonts w:ascii="Calibri" w:hAnsi="Calibri" w:cs="Calibri"/>
          <w:b/>
          <w:bCs/>
          <w:i w:val="0"/>
          <w:iCs w:val="0"/>
          <w:color w:val="auto"/>
          <w:spacing w:val="-8"/>
          <w:highlight w:val="lightGray"/>
        </w:rPr>
      </w:pPr>
    </w:p>
    <w:p w14:paraId="5885F92C" w14:textId="77777777" w:rsidR="00D4266B" w:rsidRPr="00DD7BD1" w:rsidRDefault="00D4266B" w:rsidP="00D4266B">
      <w:pPr>
        <w:pStyle w:val="Heading4"/>
        <w:spacing w:before="0" w:line="240" w:lineRule="auto"/>
        <w:ind w:right="-187"/>
        <w:rPr>
          <w:rFonts w:ascii="Calibri" w:hAnsi="Calibri" w:cs="Calibri"/>
          <w:b/>
          <w:bCs/>
          <w:i w:val="0"/>
          <w:iCs w:val="0"/>
          <w:color w:val="auto"/>
        </w:rPr>
      </w:pPr>
      <w:r w:rsidRPr="00DD7BD1">
        <w:rPr>
          <w:rFonts w:ascii="Calibri" w:hAnsi="Calibri" w:cs="Calibri"/>
          <w:b/>
          <w:bCs/>
          <w:i w:val="0"/>
          <w:iCs w:val="0"/>
          <w:color w:val="auto"/>
          <w:spacing w:val="-8"/>
          <w:highlight w:val="lightGray"/>
        </w:rPr>
        <w:t>Recommendations</w:t>
      </w:r>
      <w:r w:rsidRPr="00DD7BD1">
        <w:rPr>
          <w:rFonts w:ascii="Calibri" w:hAnsi="Calibri" w:cs="Calibri"/>
          <w:b/>
          <w:bCs/>
          <w:i w:val="0"/>
          <w:iCs w:val="0"/>
          <w:color w:val="auto"/>
          <w:spacing w:val="-5"/>
          <w:highlight w:val="lightGray"/>
        </w:rPr>
        <w:t xml:space="preserve"> </w:t>
      </w:r>
      <w:r w:rsidRPr="00DD7BD1">
        <w:rPr>
          <w:rFonts w:ascii="Calibri" w:hAnsi="Calibri" w:cs="Calibri"/>
          <w:b/>
          <w:bCs/>
          <w:i w:val="0"/>
          <w:iCs w:val="0"/>
          <w:color w:val="auto"/>
          <w:spacing w:val="-8"/>
          <w:highlight w:val="lightGray"/>
        </w:rPr>
        <w:t>for</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Employers</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Utilizing</w:t>
      </w:r>
      <w:r w:rsidRPr="00DD7BD1">
        <w:rPr>
          <w:rFonts w:ascii="Calibri" w:hAnsi="Calibri" w:cs="Calibri"/>
          <w:b/>
          <w:bCs/>
          <w:i w:val="0"/>
          <w:iCs w:val="0"/>
          <w:color w:val="auto"/>
          <w:spacing w:val="-2"/>
          <w:highlight w:val="lightGray"/>
        </w:rPr>
        <w:t xml:space="preserve"> </w:t>
      </w:r>
      <w:r w:rsidRPr="00DD7BD1">
        <w:rPr>
          <w:rFonts w:ascii="Calibri" w:hAnsi="Calibri" w:cs="Calibri"/>
          <w:b/>
          <w:bCs/>
          <w:i w:val="0"/>
          <w:iCs w:val="0"/>
          <w:color w:val="auto"/>
          <w:spacing w:val="-8"/>
          <w:highlight w:val="lightGray"/>
        </w:rPr>
        <w:t>AI</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Tools</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in</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Employment</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Candidate</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Software</w:t>
      </w:r>
    </w:p>
    <w:p w14:paraId="26B4F822"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If an employer’s Applicant Tracking System (ATS), resume-screener, or candidate-matching AI tool could inadvertently display</w:t>
      </w:r>
      <w:r w:rsidRPr="00DD7BD1">
        <w:rPr>
          <w:rFonts w:cs="Calibri"/>
          <w:color w:val="auto"/>
          <w:spacing w:val="-9"/>
          <w:w w:val="110"/>
          <w:szCs w:val="22"/>
        </w:rPr>
        <w:t xml:space="preserve"> </w:t>
      </w:r>
      <w:r w:rsidRPr="00DD7BD1">
        <w:rPr>
          <w:rFonts w:cs="Calibri"/>
          <w:color w:val="auto"/>
          <w:w w:val="110"/>
          <w:szCs w:val="22"/>
        </w:rPr>
        <w:t>intent to discriminate against protected groups, an employer may be at risk even without disparate impact alone.</w:t>
      </w:r>
    </w:p>
    <w:p w14:paraId="07A00074" w14:textId="77777777" w:rsidR="00D4266B" w:rsidRPr="00DD7BD1" w:rsidRDefault="00D4266B" w:rsidP="00D4266B">
      <w:pPr>
        <w:pStyle w:val="BodyText"/>
        <w:spacing w:after="0" w:line="240" w:lineRule="auto"/>
        <w:ind w:right="-187"/>
        <w:jc w:val="left"/>
        <w:rPr>
          <w:rFonts w:cs="Calibri"/>
          <w:color w:val="auto"/>
          <w:sz w:val="16"/>
          <w:szCs w:val="16"/>
        </w:rPr>
      </w:pPr>
    </w:p>
    <w:p w14:paraId="203E1C4A"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Employers should audit their AI systems and the use of those systems to make decisions to confirm the tools do not intentionally discriminate against applicants or employees. Implementing AI policies and trainings about appropriate AI use can help to mitigate the risk of intentional discrimination. Employers should also ask their AI vendors</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confirm</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any</w:t>
      </w:r>
      <w:r w:rsidRPr="00DD7BD1">
        <w:rPr>
          <w:rFonts w:cs="Calibri"/>
          <w:color w:val="auto"/>
          <w:spacing w:val="-3"/>
          <w:w w:val="110"/>
          <w:szCs w:val="22"/>
        </w:rPr>
        <w:t xml:space="preserve"> </w:t>
      </w:r>
      <w:r w:rsidRPr="00DD7BD1">
        <w:rPr>
          <w:rFonts w:cs="Calibri"/>
          <w:color w:val="auto"/>
          <w:w w:val="110"/>
          <w:szCs w:val="22"/>
        </w:rPr>
        <w:t>tools</w:t>
      </w:r>
      <w:r w:rsidRPr="00DD7BD1">
        <w:rPr>
          <w:rFonts w:cs="Calibri"/>
          <w:color w:val="auto"/>
          <w:spacing w:val="-3"/>
          <w:w w:val="110"/>
          <w:szCs w:val="22"/>
        </w:rPr>
        <w:t xml:space="preserve"> </w:t>
      </w:r>
      <w:r w:rsidRPr="00DD7BD1">
        <w:rPr>
          <w:rFonts w:cs="Calibri"/>
          <w:color w:val="auto"/>
          <w:w w:val="110"/>
          <w:szCs w:val="22"/>
        </w:rPr>
        <w:t>do</w:t>
      </w:r>
      <w:r w:rsidRPr="00DD7BD1">
        <w:rPr>
          <w:rFonts w:cs="Calibri"/>
          <w:color w:val="auto"/>
          <w:spacing w:val="-3"/>
          <w:w w:val="110"/>
          <w:szCs w:val="22"/>
        </w:rPr>
        <w:t xml:space="preserve"> </w:t>
      </w:r>
      <w:r w:rsidRPr="00DD7BD1">
        <w:rPr>
          <w:rFonts w:cs="Calibri"/>
          <w:color w:val="auto"/>
          <w:w w:val="110"/>
          <w:szCs w:val="22"/>
        </w:rPr>
        <w:t>not</w:t>
      </w:r>
      <w:r w:rsidRPr="00DD7BD1">
        <w:rPr>
          <w:rFonts w:cs="Calibri"/>
          <w:color w:val="auto"/>
          <w:spacing w:val="-4"/>
          <w:w w:val="110"/>
          <w:szCs w:val="22"/>
        </w:rPr>
        <w:t xml:space="preserve"> </w:t>
      </w:r>
      <w:r w:rsidRPr="00DD7BD1">
        <w:rPr>
          <w:rFonts w:cs="Calibri"/>
          <w:color w:val="auto"/>
          <w:w w:val="110"/>
          <w:szCs w:val="22"/>
        </w:rPr>
        <w:t>intentionally</w:t>
      </w:r>
      <w:r w:rsidRPr="00DD7BD1">
        <w:rPr>
          <w:rFonts w:cs="Calibri"/>
          <w:color w:val="auto"/>
          <w:spacing w:val="-3"/>
          <w:w w:val="110"/>
          <w:szCs w:val="22"/>
        </w:rPr>
        <w:t xml:space="preserve"> </w:t>
      </w:r>
      <w:r w:rsidRPr="00DD7BD1">
        <w:rPr>
          <w:rFonts w:cs="Calibri"/>
          <w:color w:val="auto"/>
          <w:w w:val="110"/>
          <w:szCs w:val="22"/>
        </w:rPr>
        <w:t>discriminate</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protected</w:t>
      </w:r>
      <w:r w:rsidRPr="00DD7BD1">
        <w:rPr>
          <w:rFonts w:cs="Calibri"/>
          <w:color w:val="auto"/>
          <w:spacing w:val="-6"/>
          <w:w w:val="110"/>
          <w:szCs w:val="22"/>
        </w:rPr>
        <w:t xml:space="preserve"> </w:t>
      </w:r>
      <w:r w:rsidRPr="00DD7BD1">
        <w:rPr>
          <w:rFonts w:cs="Calibri"/>
          <w:color w:val="auto"/>
          <w:w w:val="110"/>
          <w:szCs w:val="22"/>
        </w:rPr>
        <w:t>group.</w:t>
      </w:r>
      <w:r w:rsidRPr="00DD7BD1">
        <w:rPr>
          <w:rFonts w:cs="Calibri"/>
          <w:color w:val="auto"/>
          <w:spacing w:val="-5"/>
          <w:w w:val="110"/>
          <w:szCs w:val="22"/>
        </w:rPr>
        <w:t xml:space="preserve"> </w:t>
      </w:r>
      <w:r w:rsidRPr="00DD7BD1">
        <w:rPr>
          <w:rFonts w:cs="Calibri"/>
          <w:color w:val="auto"/>
          <w:w w:val="110"/>
          <w:szCs w:val="22"/>
        </w:rPr>
        <w:t>Although</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DD7BD1" w:rsidRDefault="00D4266B" w:rsidP="00D4266B">
      <w:pPr>
        <w:pStyle w:val="BodyText"/>
        <w:spacing w:after="0" w:line="240" w:lineRule="auto"/>
        <w:ind w:right="-187"/>
        <w:jc w:val="left"/>
        <w:rPr>
          <w:rFonts w:cs="Calibri"/>
          <w:color w:val="auto"/>
          <w:sz w:val="16"/>
          <w:szCs w:val="16"/>
        </w:rPr>
      </w:pPr>
    </w:p>
    <w:p w14:paraId="41AF9C21" w14:textId="034B5A8C"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Compliance</w:t>
      </w:r>
      <w:r w:rsidRPr="00DD7BD1">
        <w:rPr>
          <w:rFonts w:cs="Calibri"/>
          <w:color w:val="auto"/>
          <w:spacing w:val="-14"/>
          <w:w w:val="110"/>
          <w:szCs w:val="22"/>
        </w:rPr>
        <w:t xml:space="preserve"> </w:t>
      </w:r>
      <w:r w:rsidRPr="00DD7BD1">
        <w:rPr>
          <w:rFonts w:cs="Calibri"/>
          <w:color w:val="auto"/>
          <w:w w:val="110"/>
          <w:szCs w:val="22"/>
        </w:rPr>
        <w:t>hinges</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4"/>
          <w:w w:val="110"/>
          <w:szCs w:val="22"/>
        </w:rPr>
        <w:t xml:space="preserve"> </w:t>
      </w:r>
      <w:r w:rsidRPr="00DD7BD1">
        <w:rPr>
          <w:rFonts w:cs="Calibri"/>
          <w:color w:val="auto"/>
          <w:w w:val="110"/>
          <w:szCs w:val="22"/>
        </w:rPr>
        <w:t>establishing</w:t>
      </w:r>
      <w:r w:rsidRPr="00DD7BD1">
        <w:rPr>
          <w:rFonts w:cs="Calibri"/>
          <w:color w:val="auto"/>
          <w:spacing w:val="-12"/>
          <w:w w:val="110"/>
          <w:szCs w:val="22"/>
        </w:rPr>
        <w:t xml:space="preserve"> </w:t>
      </w:r>
      <w:r w:rsidRPr="00DD7BD1">
        <w:rPr>
          <w:rFonts w:cs="Calibri"/>
          <w:color w:val="auto"/>
          <w:w w:val="110"/>
          <w:szCs w:val="22"/>
        </w:rPr>
        <w:t>internal</w:t>
      </w:r>
      <w:r w:rsidRPr="00DD7BD1">
        <w:rPr>
          <w:rFonts w:cs="Calibri"/>
          <w:color w:val="auto"/>
          <w:spacing w:val="-16"/>
          <w:w w:val="110"/>
          <w:szCs w:val="22"/>
        </w:rPr>
        <w:t xml:space="preserve"> </w:t>
      </w:r>
      <w:r w:rsidRPr="00DD7BD1">
        <w:rPr>
          <w:rFonts w:cs="Calibri"/>
          <w:color w:val="auto"/>
          <w:w w:val="110"/>
          <w:szCs w:val="22"/>
        </w:rPr>
        <w:t>governance:</w:t>
      </w:r>
      <w:r w:rsidRPr="00DD7BD1">
        <w:rPr>
          <w:rFonts w:cs="Calibri"/>
          <w:color w:val="auto"/>
          <w:spacing w:val="-13"/>
          <w:w w:val="110"/>
          <w:szCs w:val="22"/>
        </w:rPr>
        <w:t xml:space="preserve"> </w:t>
      </w:r>
      <w:r w:rsidRPr="00DD7BD1">
        <w:rPr>
          <w:rFonts w:cs="Calibri"/>
          <w:color w:val="auto"/>
          <w:w w:val="110"/>
          <w:szCs w:val="22"/>
        </w:rPr>
        <w:t>AI</w:t>
      </w:r>
      <w:r w:rsidRPr="00DD7BD1">
        <w:rPr>
          <w:rFonts w:cs="Calibri"/>
          <w:color w:val="auto"/>
          <w:spacing w:val="-17"/>
          <w:w w:val="110"/>
          <w:szCs w:val="22"/>
        </w:rPr>
        <w:t xml:space="preserve"> </w:t>
      </w:r>
      <w:r w:rsidRPr="00DD7BD1">
        <w:rPr>
          <w:rFonts w:cs="Calibri"/>
          <w:color w:val="auto"/>
          <w:w w:val="110"/>
          <w:szCs w:val="22"/>
        </w:rPr>
        <w:t>oversight</w:t>
      </w:r>
      <w:r w:rsidRPr="00DD7BD1">
        <w:rPr>
          <w:rFonts w:cs="Calibri"/>
          <w:color w:val="auto"/>
          <w:spacing w:val="-13"/>
          <w:w w:val="110"/>
          <w:szCs w:val="22"/>
        </w:rPr>
        <w:t xml:space="preserve"> </w:t>
      </w:r>
      <w:r w:rsidRPr="00DD7BD1">
        <w:rPr>
          <w:rFonts w:cs="Calibri"/>
          <w:color w:val="auto"/>
          <w:w w:val="110"/>
          <w:szCs w:val="22"/>
        </w:rPr>
        <w:t>teams,</w:t>
      </w:r>
      <w:r w:rsidRPr="00DD7BD1">
        <w:rPr>
          <w:rFonts w:cs="Calibri"/>
          <w:color w:val="auto"/>
          <w:spacing w:val="-16"/>
          <w:w w:val="110"/>
          <w:szCs w:val="22"/>
        </w:rPr>
        <w:t xml:space="preserve"> </w:t>
      </w:r>
      <w:r w:rsidRPr="00DD7BD1">
        <w:rPr>
          <w:rFonts w:cs="Calibri"/>
          <w:color w:val="auto"/>
          <w:w w:val="110"/>
          <w:szCs w:val="22"/>
        </w:rPr>
        <w:t>documentation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data</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D7BD1">
        <w:rPr>
          <w:rFonts w:cs="Calibri"/>
          <w:color w:val="auto"/>
          <w:spacing w:val="-3"/>
          <w:w w:val="110"/>
          <w:szCs w:val="22"/>
        </w:rPr>
        <w:t xml:space="preserve"> </w:t>
      </w:r>
      <w:r w:rsidRPr="00DD7BD1">
        <w:rPr>
          <w:rFonts w:cs="Calibri"/>
          <w:color w:val="auto"/>
          <w:w w:val="110"/>
          <w:szCs w:val="22"/>
        </w:rPr>
        <w:t>job-relatedness of AI tools.</w:t>
      </w:r>
    </w:p>
    <w:p w14:paraId="563B1898" w14:textId="77777777" w:rsidR="00D4266B" w:rsidRPr="00DD7BD1" w:rsidRDefault="00D4266B" w:rsidP="00D4266B">
      <w:pPr>
        <w:pStyle w:val="BodyText"/>
        <w:spacing w:after="0" w:line="240" w:lineRule="auto"/>
        <w:ind w:right="-187"/>
        <w:jc w:val="left"/>
        <w:rPr>
          <w:rFonts w:cs="Calibri"/>
          <w:color w:val="auto"/>
          <w:szCs w:val="22"/>
        </w:rPr>
      </w:pPr>
    </w:p>
    <w:p w14:paraId="12CCC9F0" w14:textId="0CCD793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Changes – Healthcare </w:t>
      </w:r>
      <w:bookmarkStart w:id="143" w:name="_Hlk205278604"/>
      <w:r w:rsidRPr="00DD7BD1">
        <w:rPr>
          <w:rFonts w:ascii="Calibri" w:hAnsi="Calibri" w:cs="Calibri"/>
          <w:b/>
          <w:bCs/>
          <w:sz w:val="28"/>
          <w:szCs w:val="28"/>
          <w:shd w:val="clear" w:color="auto" w:fill="FFFFFF"/>
          <w:lang w:val="en"/>
        </w:rPr>
        <w:t xml:space="preserve">Non-competes in Texas </w:t>
      </w:r>
      <w:r w:rsidRPr="00DD7BD1">
        <w:rPr>
          <w:rFonts w:ascii="Calibri" w:hAnsi="Calibri" w:cs="Calibri"/>
          <w:b/>
          <w:bCs/>
          <w:color w:val="C00000"/>
          <w:sz w:val="28"/>
          <w:szCs w:val="28"/>
          <w:shd w:val="clear" w:color="auto" w:fill="FFFFFF"/>
          <w:lang w:val="en"/>
        </w:rPr>
        <w:t>– Eff September 1, 2025</w:t>
      </w:r>
      <w:bookmarkEnd w:id="143"/>
    </w:p>
    <w:p w14:paraId="556BAFF6" w14:textId="77777777" w:rsidR="00F917CB" w:rsidRPr="00DD7BD1" w:rsidRDefault="00F917CB" w:rsidP="00F917CB">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A </w:t>
      </w:r>
      <w:r w:rsidRPr="00DD7BD1">
        <w:rPr>
          <w:rFonts w:ascii="Calibri" w:hAnsi="Calibri" w:cs="Calibri"/>
          <w:shd w:val="clear" w:color="auto" w:fill="FFFFFF"/>
        </w:rPr>
        <w:t>new Texas law that restricts the use of noncompete clauses in physician and other health care practitioner employment contracts entered into or renewed on or after September 1.  With </w:t>
      </w:r>
      <w:hyperlink r:id="rId940" w:tgtFrame="_blank" w:history="1">
        <w:r w:rsidRPr="00DD7BD1">
          <w:rPr>
            <w:rStyle w:val="Hyperlink"/>
            <w:rFonts w:ascii="Calibri" w:hAnsi="Calibri" w:cs="Calibri"/>
            <w:shd w:val="clear" w:color="auto" w:fill="FFFFFF"/>
          </w:rPr>
          <w:t>Senate Bill 1318</w:t>
        </w:r>
      </w:hyperlink>
      <w:r w:rsidRPr="00DD7BD1">
        <w:rPr>
          <w:rFonts w:ascii="Calibri" w:hAnsi="Calibri" w:cs="Calibri"/>
          <w:shd w:val="clear" w:color="auto" w:fill="FFFFFF"/>
        </w:rPr>
        <w:t>, signed by Governor Greg Abbott on June 20, 2025, Texas makes significant changes to its </w:t>
      </w:r>
      <w:hyperlink r:id="rId941" w:anchor="15.50" w:tgtFrame="_blank" w:history="1">
        <w:r w:rsidRPr="00DD7BD1">
          <w:rPr>
            <w:rStyle w:val="Hyperlink"/>
            <w:rFonts w:ascii="Calibri" w:hAnsi="Calibri" w:cs="Calibri"/>
            <w:shd w:val="clear" w:color="auto" w:fill="FFFFFF"/>
          </w:rPr>
          <w:t>law</w:t>
        </w:r>
      </w:hyperlink>
      <w:r w:rsidRPr="00DD7BD1">
        <w:rPr>
          <w:rFonts w:ascii="Calibri" w:hAnsi="Calibri" w:cs="Calibri"/>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1F4A5DEA" w14:textId="77777777" w:rsidR="00F917CB" w:rsidRPr="00DD7BD1" w:rsidRDefault="00F917CB" w:rsidP="00F917CB">
      <w:pPr>
        <w:spacing w:after="0" w:line="240" w:lineRule="auto"/>
        <w:rPr>
          <w:rFonts w:ascii="Calibri" w:hAnsi="Calibri" w:cs="Calibri"/>
          <w:b/>
          <w:bCs/>
          <w:color w:val="C00000"/>
          <w:sz w:val="16"/>
          <w:szCs w:val="16"/>
          <w:highlight w:val="yellow"/>
          <w:shd w:val="clear" w:color="auto" w:fill="FFFFFF"/>
          <w:lang w:val="en"/>
        </w:rPr>
      </w:pPr>
    </w:p>
    <w:p w14:paraId="0301A2EB" w14:textId="77777777" w:rsidR="00F917CB" w:rsidRPr="00DD7BD1" w:rsidRDefault="00F917CB" w:rsidP="00F917CB">
      <w:pPr>
        <w:spacing w:after="0" w:line="240" w:lineRule="auto"/>
        <w:rPr>
          <w:rFonts w:ascii="Calibri" w:hAnsi="Calibri" w:cs="Calibri"/>
          <w:b/>
          <w:bCs/>
          <w:shd w:val="clear" w:color="auto" w:fill="FFFFFF"/>
          <w:lang w:val="en"/>
        </w:rPr>
      </w:pPr>
      <w:r w:rsidRPr="00DD7BD1">
        <w:rPr>
          <w:rFonts w:ascii="Calibri" w:hAnsi="Calibri" w:cs="Calibri"/>
          <w:b/>
          <w:bCs/>
          <w:shd w:val="clear" w:color="auto" w:fill="FFFFFF"/>
          <w:lang w:val="en"/>
        </w:rPr>
        <w:t>Provisions Overview</w:t>
      </w:r>
    </w:p>
    <w:p w14:paraId="70D3BABB"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Noncompete clauses must expire after one year and be limited to a five-mile radius from the practitioner’s main practice location</w:t>
      </w:r>
    </w:p>
    <w:p w14:paraId="05AF7BF8"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The noncompete limitations cover physicians as well as dentists, nurses, and physician assistants</w:t>
      </w:r>
    </w:p>
    <w:p w14:paraId="38339004"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Current contracts are not affected, but any new agreements or contract renewals on or after September 1 are subject to the new law</w:t>
      </w:r>
    </w:p>
    <w:p w14:paraId="2D28C8C3" w14:textId="77777777" w:rsidR="00F917CB" w:rsidRPr="00DD7BD1" w:rsidRDefault="00F917CB" w:rsidP="00F917CB">
      <w:pPr>
        <w:spacing w:after="0" w:line="240" w:lineRule="auto"/>
        <w:rPr>
          <w:rFonts w:ascii="Calibri" w:hAnsi="Calibri" w:cs="Calibri"/>
          <w:sz w:val="16"/>
          <w:szCs w:val="16"/>
          <w:shd w:val="clear" w:color="auto" w:fill="FFFFFF"/>
        </w:rPr>
      </w:pPr>
    </w:p>
    <w:p w14:paraId="10AABC7B"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10D73C8"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With the adoption of SB 1318, health care employers may need to adjust their contract terms to align with the new legal landscape. Health care employers should consider the following steps before SB 1318 goes into effect on September 1, 2025:</w:t>
      </w:r>
    </w:p>
    <w:p w14:paraId="7C1F82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Update contract templates to reflect the one-year duration, five-mile radius, and buyout ceiling requirements for use in drafting new contracts entered into after the effective date.</w:t>
      </w:r>
    </w:p>
    <w:p w14:paraId="5FEC55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Include a defined “primary practice location” in contracts.</w:t>
      </w:r>
    </w:p>
    <w:p w14:paraId="08A6F527"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Inventory existing contracts that will renew after September 1, 2025, and note how they may need to be amended to comply with SB 1318.</w:t>
      </w:r>
    </w:p>
    <w:p w14:paraId="081781EF"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Ensure termination procedures include clear documentation of when termination is for good cause, including provider conduct or job performance issues that prompted the termination.</w:t>
      </w:r>
    </w:p>
    <w:p w14:paraId="08E05A1C" w14:textId="77777777" w:rsidR="00F917CB" w:rsidRPr="00DD7BD1" w:rsidRDefault="00F917CB" w:rsidP="00F917CB">
      <w:pPr>
        <w:spacing w:after="0" w:line="240" w:lineRule="auto"/>
        <w:rPr>
          <w:rFonts w:ascii="Calibri" w:hAnsi="Calibri" w:cs="Calibri"/>
          <w:b/>
          <w:bCs/>
          <w:color w:val="C00000"/>
          <w:highlight w:val="yellow"/>
          <w:shd w:val="clear" w:color="auto" w:fill="FFFFFF"/>
          <w:lang w:val="en"/>
        </w:rPr>
      </w:pPr>
    </w:p>
    <w:p w14:paraId="21EDA510" w14:textId="6F6B4BAD" w:rsidR="00F917CB" w:rsidRPr="00DD7BD1" w:rsidRDefault="00F917CB" w:rsidP="00F917CB">
      <w:pPr>
        <w:spacing w:after="0" w:line="240" w:lineRule="auto"/>
        <w:jc w:val="center"/>
        <w:rPr>
          <w:rFonts w:ascii="Calibri" w:hAnsi="Calibri" w:cs="Calibri"/>
          <w:shd w:val="clear" w:color="auto" w:fill="FFFFFF"/>
        </w:rPr>
      </w:pPr>
      <w:bookmarkStart w:id="144" w:name="_Hlk205278627"/>
      <w:r w:rsidRPr="00DD7BD1">
        <w:rPr>
          <w:rFonts w:ascii="Calibri" w:hAnsi="Calibri" w:cs="Calibri"/>
          <w:b/>
          <w:bCs/>
          <w:sz w:val="28"/>
          <w:szCs w:val="28"/>
          <w:shd w:val="clear" w:color="auto" w:fill="FFFFFF"/>
          <w:lang w:val="en"/>
        </w:rPr>
        <w:t xml:space="preserve">State Expands Medical Marijuana Law – </w:t>
      </w:r>
      <w:r w:rsidRPr="00DD7BD1">
        <w:rPr>
          <w:rFonts w:ascii="Calibri" w:hAnsi="Calibri" w:cs="Calibri"/>
          <w:b/>
          <w:bCs/>
          <w:color w:val="C00000"/>
          <w:sz w:val="28"/>
          <w:szCs w:val="28"/>
          <w:shd w:val="clear" w:color="auto" w:fill="FFFFFF"/>
          <w:lang w:val="en"/>
        </w:rPr>
        <w:t>Eff September 1, 2025</w:t>
      </w:r>
      <w:bookmarkEnd w:id="144"/>
    </w:p>
    <w:p w14:paraId="34E215D4"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278F623"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means Texas employers may see an uptick in employee cannabis use and accommodation requests. Notably, the new law does not provide employment protections.</w:t>
      </w:r>
    </w:p>
    <w:p w14:paraId="65877E45"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1A0409F1" w14:textId="77777777" w:rsidR="00F917CB" w:rsidRPr="00DD7BD1" w:rsidRDefault="00F917CB" w:rsidP="00F917CB">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What’s Changing Under the New Law?</w:t>
      </w:r>
    </w:p>
    <w:p w14:paraId="27FE131B"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Texas Compassionate-Use Program (TCU) has been on the books since 2015, but it was historically too limited to be widely considered a comprehensive medical marijuana program.</w:t>
      </w:r>
    </w:p>
    <w:p w14:paraId="592FC142"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Texas Compassionate-Use Program is still limited compared to other states, the expansion under HB46 has led some advocates to now consider Texas </w:t>
      </w:r>
      <w:hyperlink r:id="rId942" w:history="1">
        <w:r w:rsidRPr="00DD7BD1">
          <w:rPr>
            <w:rStyle w:val="Hyperlink"/>
            <w:rFonts w:ascii="Calibri" w:hAnsi="Calibri" w:cs="Calibri"/>
            <w:shd w:val="clear" w:color="auto" w:fill="FFFFFF"/>
          </w:rPr>
          <w:t>the 40th state with a comprehensive medical marijuana program</w:t>
        </w:r>
      </w:hyperlink>
      <w:r w:rsidRPr="00DD7BD1">
        <w:rPr>
          <w:rFonts w:ascii="Calibri" w:hAnsi="Calibri" w:cs="Calibri"/>
          <w:shd w:val="clear" w:color="auto" w:fill="FFFFFF"/>
        </w:rPr>
        <w:t>.</w:t>
      </w:r>
    </w:p>
    <w:p w14:paraId="33F14C2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DB3ACDA"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25A067C2"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DD7BD1" w:rsidRDefault="00F917CB" w:rsidP="009040C5">
      <w:pPr>
        <w:shd w:val="clear" w:color="auto" w:fill="FFFFFF"/>
        <w:spacing w:after="0" w:line="240" w:lineRule="auto"/>
        <w:jc w:val="center"/>
        <w:outlineLvl w:val="0"/>
        <w:rPr>
          <w:rFonts w:ascii="Calibri" w:eastAsia="Times New Roman" w:hAnsi="Calibri" w:cs="Calibri"/>
          <w:b/>
          <w:bCs/>
          <w:color w:val="231F20"/>
          <w:kern w:val="36"/>
          <w:sz w:val="16"/>
          <w:szCs w:val="16"/>
        </w:rPr>
      </w:pPr>
    </w:p>
    <w:p w14:paraId="0DC4B8BE" w14:textId="042AAE34" w:rsidR="009040C5" w:rsidRPr="00DD7BD1" w:rsidRDefault="009040C5" w:rsidP="009040C5">
      <w:pPr>
        <w:shd w:val="clear" w:color="auto" w:fill="FFFFFF"/>
        <w:spacing w:after="0" w:line="240" w:lineRule="auto"/>
        <w:jc w:val="center"/>
        <w:outlineLvl w:val="0"/>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 xml:space="preserve">Texas Bans COVID-19 Vaccines Effective </w:t>
      </w:r>
      <w:r w:rsidRPr="00DD7BD1">
        <w:rPr>
          <w:rFonts w:ascii="Calibri" w:eastAsia="Times New Roman" w:hAnsi="Calibri" w:cs="Calibri"/>
          <w:b/>
          <w:bCs/>
          <w:color w:val="C00000"/>
          <w:kern w:val="36"/>
          <w:sz w:val="28"/>
          <w:szCs w:val="28"/>
        </w:rPr>
        <w:t>Feb 7, 2024</w:t>
      </w:r>
    </w:p>
    <w:p w14:paraId="4EEFFF2E"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Texas Legislature is in special session and decided to enact a law, which Governor Greg Abbott is promising to sign, that bans the use of COVID-19 vaccine requirements by private employers.</w:t>
      </w:r>
    </w:p>
    <w:p w14:paraId="681D5D5A" w14:textId="77777777" w:rsidR="009040C5" w:rsidRPr="00DD7BD1" w:rsidRDefault="009040C5" w:rsidP="009040C5">
      <w:pPr>
        <w:shd w:val="clear" w:color="auto" w:fill="FFFFFF"/>
        <w:spacing w:after="0" w:line="240" w:lineRule="auto"/>
        <w:jc w:val="both"/>
        <w:rPr>
          <w:rFonts w:ascii="Calibri" w:eastAsia="Times New Roman" w:hAnsi="Calibri" w:cs="Calibri"/>
          <w:sz w:val="12"/>
          <w:szCs w:val="12"/>
        </w:rPr>
      </w:pPr>
    </w:p>
    <w:p w14:paraId="49933723"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w:t>
      </w:r>
      <w:r w:rsidRPr="00DD7BD1">
        <w:rPr>
          <w:rFonts w:ascii="Calibri" w:eastAsia="Times New Roman" w:hAnsi="Calibri" w:cs="Calibri"/>
          <w:b/>
          <w:bCs/>
        </w:rPr>
        <w:t xml:space="preserve"> Senate Bill 7</w:t>
      </w:r>
      <w:r w:rsidRPr="00DD7BD1">
        <w:rPr>
          <w:rFonts w:ascii="Calibri" w:eastAsia="Times New Roman" w:hAnsi="Calibri" w:cs="Calibri"/>
        </w:rPr>
        <w:t xml:space="preserve">, takes effect </w:t>
      </w:r>
      <w:r w:rsidRPr="00DD7BD1">
        <w:rPr>
          <w:rFonts w:ascii="Calibri" w:eastAsia="Times New Roman" w:hAnsi="Calibri" w:cs="Calibri"/>
          <w:color w:val="C00000"/>
        </w:rPr>
        <w:t>February 7, 2024</w:t>
      </w:r>
      <w:r w:rsidRPr="00DD7BD1">
        <w:rPr>
          <w:rFonts w:ascii="Calibri" w:eastAsia="Times New Roman" w:hAnsi="Calibri" w:cs="Calibri"/>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DD7BD1" w:rsidRDefault="00427CA7" w:rsidP="00427CA7">
      <w:pPr>
        <w:spacing w:after="0" w:line="240" w:lineRule="auto"/>
        <w:jc w:val="both"/>
        <w:rPr>
          <w:rFonts w:ascii="Calibri" w:hAnsi="Calibri" w:cs="Calibri"/>
          <w:b/>
          <w:bCs/>
          <w:color w:val="2E74B5" w:themeColor="accent5" w:themeShade="BF"/>
          <w:sz w:val="16"/>
          <w:szCs w:val="16"/>
          <w:shd w:val="clear" w:color="auto" w:fill="FFFFFF"/>
          <w:lang w:val="en"/>
        </w:rPr>
      </w:pPr>
    </w:p>
    <w:p w14:paraId="2E3C3012" w14:textId="30C41879" w:rsidR="00427CA7" w:rsidRPr="00DD7BD1" w:rsidRDefault="00427CA7" w:rsidP="00427CA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Utah</w:t>
      </w:r>
    </w:p>
    <w:p w14:paraId="6DA0DB02" w14:textId="04E560CC" w:rsidR="001A331F" w:rsidRPr="00DD66CF" w:rsidRDefault="001A331F" w:rsidP="001A331F">
      <w:pPr>
        <w:jc w:val="center"/>
        <w:rPr>
          <w:b/>
          <w:bCs/>
          <w:caps/>
          <w:noProof/>
          <w:color w:val="0E425C"/>
          <w:sz w:val="26"/>
          <w:szCs w:val="26"/>
        </w:rPr>
      </w:pPr>
      <w:r w:rsidRPr="00010461">
        <w:rPr>
          <w:b/>
          <w:bCs/>
          <w:caps/>
          <w:color w:val="0070C0"/>
          <w:sz w:val="26"/>
          <w:szCs w:val="26"/>
        </w:rPr>
        <w:t xml:space="preserve">New! </w:t>
      </w:r>
      <w:r>
        <w:rPr>
          <w:b/>
          <w:bCs/>
          <w:caps/>
          <w:noProof/>
          <w:color w:val="0E425C"/>
          <w:sz w:val="26"/>
          <w:szCs w:val="26"/>
        </w:rPr>
        <w:t>StAte Enacts Hospital Wo</w:t>
      </w:r>
      <w:r w:rsidR="00DA7C7B">
        <w:rPr>
          <w:b/>
          <w:bCs/>
          <w:caps/>
          <w:noProof/>
          <w:color w:val="0E425C"/>
          <w:sz w:val="26"/>
          <w:szCs w:val="26"/>
        </w:rPr>
        <w:t>R</w:t>
      </w:r>
      <w:r>
        <w:rPr>
          <w:b/>
          <w:bCs/>
          <w:caps/>
          <w:noProof/>
          <w:color w:val="0E425C"/>
          <w:sz w:val="26"/>
          <w:szCs w:val="26"/>
        </w:rPr>
        <w:t xml:space="preserve">kplace Violence Reporting RegulaTions effective </w:t>
      </w:r>
      <w:r w:rsidRPr="00010461">
        <w:rPr>
          <w:b/>
          <w:bCs/>
          <w:caps/>
          <w:color w:val="0070C0"/>
          <w:sz w:val="26"/>
          <w:szCs w:val="26"/>
        </w:rPr>
        <w:t xml:space="preserve">May 6 </w:t>
      </w:r>
      <w:r w:rsidRPr="00A50463">
        <w:rPr>
          <w:b/>
          <w:bCs/>
          <w:caps/>
          <w:noProof/>
          <w:color w:val="0E425C"/>
          <w:sz w:val="26"/>
          <w:szCs w:val="26"/>
        </w:rPr>
        <w:t>&amp;</w:t>
      </w:r>
      <w:r w:rsidRPr="00010461">
        <w:rPr>
          <w:b/>
          <w:bCs/>
          <w:caps/>
          <w:color w:val="0070C0"/>
          <w:sz w:val="26"/>
          <w:szCs w:val="26"/>
        </w:rPr>
        <w:t xml:space="preserve"> November 1, 2026</w:t>
      </w:r>
    </w:p>
    <w:p w14:paraId="4EFED14A" w14:textId="77777777" w:rsidR="001A331F" w:rsidRDefault="001A331F" w:rsidP="001A331F">
      <w:r w:rsidRPr="00980CDB">
        <w:t>Utah has enacted</w:t>
      </w:r>
      <w:r>
        <w:t xml:space="preserve"> </w:t>
      </w:r>
      <w:hyperlink r:id="rId943" w:history="1">
        <w:r w:rsidRPr="00695668">
          <w:rPr>
            <w:rStyle w:val="Hyperlink"/>
          </w:rPr>
          <w:t xml:space="preserve">House Bill </w:t>
        </w:r>
        <w:r>
          <w:rPr>
            <w:rStyle w:val="Hyperlink"/>
          </w:rPr>
          <w:t xml:space="preserve">(HB) </w:t>
        </w:r>
        <w:r w:rsidRPr="00695668">
          <w:rPr>
            <w:rStyle w:val="Hyperlink"/>
          </w:rPr>
          <w:t>380</w:t>
        </w:r>
      </w:hyperlink>
      <w:r w:rsidRPr="00980CDB">
        <w:t>, requiring hospitals to implement a comprehensive workplace violence reporting system that includes mandatory reporting, documentation and analysis requirements. HB 380 goes into effect on May 6, 2026, and hospitals must have their formal reporting systems in place by Nov. 1, 2026.</w:t>
      </w:r>
    </w:p>
    <w:p w14:paraId="20AFDD93" w14:textId="4B897548" w:rsidR="001A331F" w:rsidRPr="00980CDB" w:rsidRDefault="001A331F" w:rsidP="001A331F">
      <w:pPr>
        <w:jc w:val="center"/>
      </w:pPr>
      <w:r w:rsidRPr="00B50C17">
        <w:rPr>
          <w:b/>
          <w:bCs/>
          <w:caps/>
          <w:color w:val="0070C0"/>
          <w:sz w:val="26"/>
          <w:szCs w:val="26"/>
        </w:rPr>
        <w:t xml:space="preserve">New! </w:t>
      </w:r>
      <w:r w:rsidRPr="00B50C17">
        <w:rPr>
          <w:b/>
          <w:bCs/>
          <w:caps/>
          <w:noProof/>
          <w:color w:val="0E425C"/>
          <w:sz w:val="26"/>
          <w:szCs w:val="26"/>
        </w:rPr>
        <w:t>State Bans Healthcare &amp; Veterinarian Noncompetes Effective</w:t>
      </w:r>
      <w:r>
        <w:t xml:space="preserve"> </w:t>
      </w:r>
      <w:r w:rsidRPr="00B50C17">
        <w:rPr>
          <w:b/>
          <w:bCs/>
          <w:caps/>
          <w:color w:val="0070C0"/>
          <w:sz w:val="26"/>
          <w:szCs w:val="26"/>
        </w:rPr>
        <w:t>May 6, 202</w:t>
      </w:r>
      <w:r w:rsidR="009633E3">
        <w:rPr>
          <w:b/>
          <w:bCs/>
          <w:caps/>
          <w:color w:val="0070C0"/>
          <w:sz w:val="26"/>
          <w:szCs w:val="26"/>
        </w:rPr>
        <w:t>6</w:t>
      </w:r>
    </w:p>
    <w:p w14:paraId="1946B71A" w14:textId="01D22A32" w:rsidR="00986159" w:rsidRPr="001A331F" w:rsidRDefault="001A331F" w:rsidP="001A331F">
      <w:r w:rsidRPr="009F1D7F">
        <w:t xml:space="preserve">Utah passed </w:t>
      </w:r>
      <w:hyperlink r:id="rId944" w:history="1">
        <w:r w:rsidRPr="00411CC9">
          <w:rPr>
            <w:rStyle w:val="Hyperlink"/>
          </w:rPr>
          <w:t>House Bill (HB) 270</w:t>
        </w:r>
      </w:hyperlink>
      <w:r w:rsidRPr="009F1D7F">
        <w:t>, which bans noncompete agreements and certain nonsolicitation agreements with health care workers and</w:t>
      </w:r>
      <w:r>
        <w:t xml:space="preserve"> </w:t>
      </w:r>
      <w:hyperlink r:id="rId945" w:history="1">
        <w:r w:rsidRPr="00F60DB7">
          <w:rPr>
            <w:rStyle w:val="Hyperlink"/>
          </w:rPr>
          <w:t>Senate Bill (SB) 111</w:t>
        </w:r>
      </w:hyperlink>
      <w:r w:rsidRPr="009F1D7F">
        <w:t>, which bans noncompete, nonsolicitation and nondisclosure agreements with veterinarians.  The laws do not void existing enforceable noncompete agreements; however, employers of health care workers or veterinarians should review and revise template agreements to ensure they do not contain prohibited provisions in advance of the effective date.</w:t>
      </w:r>
    </w:p>
    <w:p w14:paraId="6CC21B5E" w14:textId="77777777" w:rsidR="001A331F" w:rsidRDefault="001A331F" w:rsidP="00427CA7">
      <w:pPr>
        <w:spacing w:after="0" w:line="240" w:lineRule="auto"/>
        <w:jc w:val="center"/>
        <w:rPr>
          <w:rFonts w:ascii="Calibri" w:hAnsi="Calibri" w:cs="Calibri"/>
          <w:b/>
          <w:bCs/>
          <w:sz w:val="28"/>
          <w:szCs w:val="28"/>
          <w:shd w:val="clear" w:color="auto" w:fill="FFFFFF"/>
          <w:lang w:val="en"/>
        </w:rPr>
      </w:pPr>
    </w:p>
    <w:p w14:paraId="560CE6F3" w14:textId="60D1D415" w:rsidR="00427CA7" w:rsidRPr="00DD7BD1" w:rsidRDefault="00427CA7" w:rsidP="00427CA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Adds Military Protections</w:t>
      </w:r>
    </w:p>
    <w:p w14:paraId="4804CBE6"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Utah has re-enacted and expanded its military protections—the </w:t>
      </w:r>
      <w:hyperlink r:id="rId946" w:history="1">
        <w:r w:rsidRPr="00DD7BD1">
          <w:rPr>
            <w:rStyle w:val="Hyperlink"/>
            <w:rFonts w:ascii="Calibri" w:eastAsia="Times New Roman" w:hAnsi="Calibri" w:cs="Calibri"/>
          </w:rPr>
          <w:t>Utah National Guard Amendments</w:t>
        </w:r>
      </w:hyperlink>
      <w:r w:rsidRPr="00DD7BD1">
        <w:rPr>
          <w:rFonts w:ascii="Calibri" w:eastAsia="Times New Roman" w:hAnsi="Calibri" w:cs="Calibri"/>
        </w:rPr>
        <w:t xml:space="preserve"> law was signed and took effect immediately on</w:t>
      </w:r>
      <w:r w:rsidRPr="00DD7BD1">
        <w:rPr>
          <w:rFonts w:ascii="Calibri" w:eastAsia="Times New Roman" w:hAnsi="Calibri" w:cs="Calibri"/>
          <w:color w:val="282828"/>
        </w:rPr>
        <w:t xml:space="preserve"> </w:t>
      </w:r>
      <w:r w:rsidRPr="00DD7BD1">
        <w:rPr>
          <w:rFonts w:ascii="Calibri" w:eastAsia="Times New Roman" w:hAnsi="Calibri" w:cs="Calibri"/>
          <w:color w:val="C00000"/>
        </w:rPr>
        <w:t>March 18, 2024</w:t>
      </w:r>
      <w:r w:rsidRPr="00DD7BD1">
        <w:rPr>
          <w:rFonts w:ascii="Calibri" w:eastAsia="Times New Roman" w:hAnsi="Calibri" w:cs="Calibri"/>
          <w:color w:val="282828"/>
        </w:rPr>
        <w:t xml:space="preserve">. </w:t>
      </w:r>
      <w:r w:rsidRPr="00DD7BD1">
        <w:rPr>
          <w:rFonts w:ascii="Calibri" w:eastAsia="Times New Roman" w:hAnsi="Calibri" w:cs="Calibri"/>
        </w:rPr>
        <w:t xml:space="preserve">The law requires employers of </w:t>
      </w:r>
      <w:r w:rsidRPr="00DD7BD1">
        <w:rPr>
          <w:rFonts w:ascii="Calibri" w:eastAsia="Times New Roman" w:hAnsi="Calibri" w:cs="Calibri"/>
          <w:b/>
          <w:bCs/>
        </w:rPr>
        <w:t xml:space="preserve">all sizes </w:t>
      </w:r>
      <w:r w:rsidRPr="00DD7BD1">
        <w:rPr>
          <w:rFonts w:ascii="Calibri" w:eastAsia="Times New Roman" w:hAnsi="Calibri" w:cs="Calibri"/>
        </w:rPr>
        <w:t>to provide military leave and other employment rights.</w:t>
      </w:r>
    </w:p>
    <w:p w14:paraId="7B0F054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Specifically, employers are required to:</w:t>
      </w:r>
    </w:p>
    <w:p w14:paraId="0A4B5782"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up to five (5) years of leave to employees who are members of a reserve component of the U.S. Armed Forces when they are ordered to active duty (including for training), inactive duty training, or state active duty</w:t>
      </w:r>
    </w:p>
    <w:p w14:paraId="0768C583"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D7BD1" w:rsidRDefault="00427CA7" w:rsidP="00427CA7">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Action Item</w:t>
      </w:r>
      <w:r w:rsidRPr="00DD7BD1">
        <w:rPr>
          <w:rFonts w:ascii="Calibri" w:eastAsia="Times New Roman" w:hAnsi="Calibri" w:cs="Calibri"/>
        </w:rPr>
        <w:br/>
        <w:t xml:space="preserve">Review your Company’s USERRA/Military Leave Policy to ensure no updates are needed.  </w:t>
      </w:r>
    </w:p>
    <w:p w14:paraId="4F7840C3" w14:textId="77777777" w:rsidR="00427CA7" w:rsidRPr="00DD7BD1" w:rsidRDefault="00427CA7" w:rsidP="00427CA7">
      <w:pPr>
        <w:shd w:val="clear" w:color="auto" w:fill="FFFFFF"/>
        <w:spacing w:after="0" w:line="240" w:lineRule="auto"/>
        <w:jc w:val="both"/>
        <w:rPr>
          <w:rFonts w:ascii="Calibri" w:eastAsia="Times New Roman" w:hAnsi="Calibri" w:cs="Calibri"/>
          <w:sz w:val="12"/>
          <w:szCs w:val="12"/>
        </w:rPr>
      </w:pPr>
    </w:p>
    <w:p w14:paraId="535949F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Below is Paragraph 1 extracted from ETC’s USERRA/Military Leave Policy with policy clarification language added for review, consideration and possible inclusion in your own Policy:</w:t>
      </w:r>
    </w:p>
    <w:p w14:paraId="56EAF22C" w14:textId="77777777" w:rsidR="00427CA7" w:rsidRPr="00DD7BD1" w:rsidRDefault="00427CA7" w:rsidP="00427CA7">
      <w:pPr>
        <w:shd w:val="clear" w:color="auto" w:fill="FFFFFF"/>
        <w:spacing w:after="0" w:line="240" w:lineRule="auto"/>
        <w:rPr>
          <w:rFonts w:ascii="Calibri" w:eastAsia="Times New Roman" w:hAnsi="Calibri" w:cs="Calibri"/>
          <w:sz w:val="16"/>
          <w:szCs w:val="16"/>
        </w:rPr>
      </w:pPr>
    </w:p>
    <w:p w14:paraId="0E59717B" w14:textId="77777777" w:rsidR="00427CA7" w:rsidRPr="00DD7BD1" w:rsidRDefault="00427CA7" w:rsidP="00427CA7">
      <w:pPr>
        <w:pBdr>
          <w:top w:val="nil"/>
          <w:left w:val="nil"/>
          <w:bottom w:val="nil"/>
          <w:right w:val="nil"/>
          <w:between w:val="nil"/>
        </w:pBdr>
        <w:ind w:left="900" w:right="1170"/>
        <w:jc w:val="both"/>
        <w:rPr>
          <w:rFonts w:ascii="Calibri" w:hAnsi="Calibri" w:cs="Calibri"/>
        </w:rPr>
      </w:pPr>
      <w:r w:rsidRPr="00DD7BD1">
        <w:rPr>
          <w:rFonts w:ascii="Calibri" w:hAnsi="Calibri" w:cs="Calibri"/>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DD7BD1">
        <w:rPr>
          <w:rFonts w:ascii="Calibri" w:hAnsi="Calibri" w:cs="Calibri"/>
          <w:color w:val="C00000"/>
          <w:highlight w:val="yellow"/>
        </w:rPr>
        <w:t>and/or</w:t>
      </w:r>
      <w:r w:rsidRPr="00DD7BD1">
        <w:rPr>
          <w:rFonts w:ascii="Calibri" w:hAnsi="Calibri" w:cs="Calibri"/>
          <w:color w:val="C00000"/>
        </w:rPr>
        <w:t xml:space="preserve"> </w:t>
      </w:r>
      <w:r w:rsidRPr="00DD7BD1">
        <w:rPr>
          <w:rFonts w:ascii="Calibri" w:hAnsi="Calibri" w:cs="Calibri"/>
          <w:color w:val="C00000"/>
          <w:highlight w:val="yellow"/>
        </w:rPr>
        <w:t>State Defense Force or the like, when mandated by state regulations</w:t>
      </w:r>
      <w:r w:rsidRPr="00DD7BD1">
        <w:rPr>
          <w:rFonts w:ascii="Calibri" w:hAnsi="Calibri" w:cs="Calibri"/>
          <w:color w:val="C00000"/>
        </w:rPr>
        <w:t xml:space="preserve"> </w:t>
      </w:r>
      <w:r w:rsidRPr="00DD7BD1">
        <w:rPr>
          <w:rFonts w:ascii="Calibri" w:hAnsi="Calibri" w:cs="Calibri"/>
        </w:rPr>
        <w:t>will retain certain rights with respect to reinstatement, seniority, layoffs, compensation, length of service promotions, and length of service pay increases as required by applicable federal or state law.</w:t>
      </w:r>
    </w:p>
    <w:p w14:paraId="186339F4" w14:textId="1200E7F2" w:rsidR="00427CA7" w:rsidRPr="00DD7BD1" w:rsidRDefault="00427CA7" w:rsidP="00427CA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Utah Voids Confidentiality Pacts for Sexual Assault and Harassment</w:t>
      </w:r>
    </w:p>
    <w:p w14:paraId="31B2F6F2" w14:textId="77777777" w:rsidR="00427CA7" w:rsidRPr="00DD7BD1" w:rsidRDefault="00427CA7" w:rsidP="00427CA7">
      <w:pPr>
        <w:pStyle w:val="BodyText"/>
        <w:rPr>
          <w:rFonts w:cs="Calibri"/>
          <w:color w:val="auto"/>
          <w:szCs w:val="22"/>
        </w:rPr>
      </w:pPr>
      <w:r w:rsidRPr="00DD7BD1">
        <w:rPr>
          <w:rFonts w:cs="Calibri"/>
          <w:color w:val="auto"/>
          <w:szCs w:val="22"/>
        </w:rPr>
        <w:t>Under a new Utah law</w:t>
      </w:r>
      <w:r w:rsidRPr="00DD7BD1">
        <w:rPr>
          <w:rFonts w:cs="Calibri"/>
          <w:szCs w:val="22"/>
        </w:rPr>
        <w:t xml:space="preserve">, </w:t>
      </w:r>
      <w:hyperlink r:id="rId947" w:history="1">
        <w:r w:rsidRPr="00DD7BD1">
          <w:rPr>
            <w:rStyle w:val="Hyperlink"/>
            <w:rFonts w:cs="Calibri"/>
            <w:szCs w:val="22"/>
          </w:rPr>
          <w:t>House Bill (HB) 55</w:t>
        </w:r>
      </w:hyperlink>
      <w:r w:rsidRPr="00DD7BD1">
        <w:rPr>
          <w:rFonts w:cs="Calibri"/>
          <w:szCs w:val="22"/>
        </w:rPr>
        <w:t xml:space="preserve">, </w:t>
      </w:r>
      <w:r w:rsidRPr="00DD7BD1">
        <w:rPr>
          <w:rFonts w:cs="Calibri"/>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DD7BD1" w:rsidRDefault="00427CA7" w:rsidP="00427CA7">
      <w:pPr>
        <w:pStyle w:val="SubHeader"/>
        <w:rPr>
          <w:rFonts w:cs="Calibri"/>
          <w:color w:val="auto"/>
          <w:sz w:val="22"/>
          <w:szCs w:val="22"/>
        </w:rPr>
      </w:pPr>
      <w:r w:rsidRPr="00DD7BD1">
        <w:rPr>
          <w:rFonts w:cs="Calibri"/>
          <w:color w:val="auto"/>
          <w:sz w:val="22"/>
          <w:szCs w:val="22"/>
        </w:rPr>
        <w:t xml:space="preserve">Unenforceable Agreements  </w:t>
      </w:r>
    </w:p>
    <w:p w14:paraId="72AD4C99" w14:textId="77777777" w:rsidR="00427CA7" w:rsidRPr="00DD7BD1" w:rsidRDefault="00427CA7" w:rsidP="00427CA7">
      <w:pPr>
        <w:pStyle w:val="BodyText"/>
        <w:spacing w:after="120"/>
        <w:rPr>
          <w:rFonts w:cs="Calibri"/>
          <w:color w:val="auto"/>
          <w:szCs w:val="22"/>
        </w:rPr>
      </w:pPr>
      <w:r w:rsidRPr="00DD7BD1">
        <w:rPr>
          <w:rFonts w:cs="Calibri"/>
          <w:color w:val="auto"/>
          <w:szCs w:val="22"/>
        </w:rPr>
        <w:t>Under HB 55, an agreement is deemed void and unenforceable if it is between an employee (or former employee) and employer (of any size) and either:</w:t>
      </w:r>
    </w:p>
    <w:p w14:paraId="7D60734D"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DD7BD1" w:rsidRDefault="00427CA7" w:rsidP="00427CA7">
      <w:pPr>
        <w:pStyle w:val="SubHeader"/>
        <w:spacing w:before="160"/>
        <w:rPr>
          <w:rFonts w:cs="Calibri"/>
          <w:color w:val="auto"/>
          <w:sz w:val="22"/>
          <w:szCs w:val="22"/>
        </w:rPr>
      </w:pPr>
      <w:r w:rsidRPr="00DD7BD1">
        <w:rPr>
          <w:rFonts w:cs="Calibri"/>
          <w:color w:val="auto"/>
          <w:sz w:val="22"/>
          <w:szCs w:val="22"/>
        </w:rPr>
        <w:t>Permitted Agreements</w:t>
      </w:r>
    </w:p>
    <w:p w14:paraId="423B4188" w14:textId="77777777" w:rsidR="00427CA7" w:rsidRPr="00DD7BD1" w:rsidRDefault="00427CA7" w:rsidP="00427CA7">
      <w:pPr>
        <w:pStyle w:val="BodyText"/>
        <w:rPr>
          <w:rFonts w:cs="Calibri"/>
          <w:color w:val="auto"/>
          <w:szCs w:val="22"/>
        </w:rPr>
      </w:pPr>
      <w:r w:rsidRPr="00DD7BD1">
        <w:rPr>
          <w:rFonts w:cs="Calibri"/>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DD7BD1" w:rsidRDefault="00427CA7" w:rsidP="00427CA7">
      <w:pPr>
        <w:pStyle w:val="BodyText"/>
        <w:spacing w:after="0" w:line="240" w:lineRule="auto"/>
        <w:rPr>
          <w:rFonts w:cs="Calibri"/>
          <w:b/>
          <w:color w:val="auto"/>
          <w:szCs w:val="22"/>
        </w:rPr>
      </w:pPr>
      <w:r w:rsidRPr="00DD7BD1">
        <w:rPr>
          <w:rFonts w:cs="Calibri"/>
          <w:b/>
          <w:color w:val="auto"/>
          <w:szCs w:val="22"/>
          <w:highlight w:val="lightGray"/>
        </w:rPr>
        <w:t>Employer Takeaway:</w:t>
      </w:r>
    </w:p>
    <w:p w14:paraId="24E6499E" w14:textId="77777777" w:rsidR="00427CA7" w:rsidRPr="00DD7BD1" w:rsidRDefault="00427CA7" w:rsidP="00427CA7">
      <w:pPr>
        <w:pStyle w:val="BodyText"/>
        <w:spacing w:after="0" w:line="240" w:lineRule="auto"/>
        <w:rPr>
          <w:rFonts w:cs="Calibri"/>
          <w:color w:val="auto"/>
          <w:szCs w:val="22"/>
        </w:rPr>
      </w:pPr>
      <w:r w:rsidRPr="00DD7BD1">
        <w:rPr>
          <w:rFonts w:cs="Calibri"/>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DD7BD1" w:rsidRDefault="009040C5" w:rsidP="009040C5">
      <w:pPr>
        <w:shd w:val="clear" w:color="auto" w:fill="FFFFFF"/>
        <w:spacing w:after="0" w:line="240" w:lineRule="auto"/>
        <w:jc w:val="both"/>
        <w:rPr>
          <w:rFonts w:ascii="Calibri" w:eastAsia="Times New Roman" w:hAnsi="Calibri" w:cs="Calibri"/>
          <w:sz w:val="16"/>
          <w:szCs w:val="16"/>
        </w:rPr>
      </w:pPr>
    </w:p>
    <w:p w14:paraId="0D673C42" w14:textId="640EEDAE" w:rsidR="004B7569" w:rsidRPr="00DD7BD1" w:rsidRDefault="004B7569"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Vermont</w:t>
      </w:r>
    </w:p>
    <w:p w14:paraId="1E08D7E0" w14:textId="77777777" w:rsidR="00F31142" w:rsidRPr="00DD7BD1" w:rsidRDefault="00F31142" w:rsidP="00F311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08A4316D" w14:textId="66F6D330" w:rsidR="00F31142" w:rsidRPr="00DD7BD1" w:rsidRDefault="00F31142" w:rsidP="00F31142">
      <w:pPr>
        <w:spacing w:after="0" w:line="240" w:lineRule="auto"/>
        <w:rPr>
          <w:rFonts w:ascii="Calibri" w:hAnsi="Calibri" w:cs="Calibri"/>
          <w:shd w:val="clear" w:color="auto" w:fill="FFFFFF"/>
        </w:rPr>
      </w:pPr>
      <w:r w:rsidRPr="00DD7BD1">
        <w:rPr>
          <w:rFonts w:ascii="Calibri" w:hAnsi="Calibri" w:cs="Calibri"/>
          <w:shd w:val="clear" w:color="auto" w:fill="FFFFFF"/>
        </w:rPr>
        <w:t>On January 1, 2026, Vermont’s minimum wage will increase to $14.42 per hour. The minimum base wage for tipped employees will increase to $7.21 per hour. Vermont’s minimum wage applies to employers that have two or more employees. Employers that have only one employee can pay the federal minimum wage. </w:t>
      </w:r>
    </w:p>
    <w:p w14:paraId="317DA84B" w14:textId="77777777" w:rsidR="00F31142" w:rsidRPr="00DD7BD1" w:rsidRDefault="00F31142" w:rsidP="00F31142">
      <w:pPr>
        <w:spacing w:after="0" w:line="240" w:lineRule="auto"/>
        <w:rPr>
          <w:rFonts w:ascii="Calibri" w:hAnsi="Calibri" w:cs="Calibri"/>
          <w:shd w:val="clear" w:color="auto" w:fill="FFFFFF"/>
        </w:rPr>
      </w:pPr>
    </w:p>
    <w:p w14:paraId="4B507A78" w14:textId="16319EC2" w:rsidR="00FA4062" w:rsidRPr="00DD7BD1" w:rsidRDefault="005F266D" w:rsidP="00F311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Expanded Short-term &amp; Parental Leave Allowances – </w:t>
      </w:r>
      <w:r w:rsidRPr="00DD7BD1">
        <w:rPr>
          <w:rFonts w:ascii="Calibri" w:hAnsi="Calibri" w:cs="Calibri"/>
          <w:b/>
          <w:bCs/>
          <w:color w:val="C00000"/>
          <w:sz w:val="28"/>
          <w:szCs w:val="28"/>
          <w:shd w:val="clear" w:color="auto" w:fill="FFFFFF"/>
          <w:lang w:val="en"/>
        </w:rPr>
        <w:t>July 1, 2025</w:t>
      </w:r>
    </w:p>
    <w:p w14:paraId="7DEE0706" w14:textId="2BF69380"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Governor of Vermont signed House Bill 461,</w:t>
      </w:r>
      <w:r w:rsidR="005C31E9" w:rsidRPr="00DD7BD1">
        <w:rPr>
          <w:rFonts w:ascii="Calibri" w:hAnsi="Calibri" w:cs="Calibri"/>
        </w:rPr>
        <w:t xml:space="preserve"> </w:t>
      </w:r>
      <w:hyperlink r:id="rId948" w:history="1">
        <w:r w:rsidR="005C31E9" w:rsidRPr="00DD7BD1">
          <w:rPr>
            <w:rStyle w:val="Hyperlink"/>
            <w:rFonts w:ascii="Calibri" w:hAnsi="Calibri" w:cs="Calibri"/>
          </w:rPr>
          <w:t>H. 461</w:t>
        </w:r>
      </w:hyperlink>
      <w:r w:rsidR="005C31E9" w:rsidRPr="00DD7BD1">
        <w:rPr>
          <w:rFonts w:ascii="Calibri" w:hAnsi="Calibri" w:cs="Calibri"/>
        </w:rPr>
        <w:t>,</w:t>
      </w:r>
      <w:r w:rsidRPr="00DD7BD1">
        <w:rPr>
          <w:rFonts w:ascii="Calibri" w:hAnsi="Calibri" w:cs="Calibri"/>
          <w:shd w:val="clear" w:color="auto" w:fill="FFFFFF"/>
        </w:rPr>
        <w:t xml:space="preserve"> substantially expanding the Vermont Parental and Family Leave Act. The changes go into effect on July 1, 2025. </w:t>
      </w:r>
    </w:p>
    <w:p w14:paraId="3423A298" w14:textId="77777777" w:rsidR="000411F2" w:rsidRPr="00DD7BD1" w:rsidRDefault="000411F2" w:rsidP="005F266D">
      <w:pPr>
        <w:spacing w:after="0" w:line="240" w:lineRule="auto"/>
        <w:rPr>
          <w:rFonts w:ascii="Calibri" w:hAnsi="Calibri" w:cs="Calibri"/>
          <w:shd w:val="clear" w:color="auto" w:fill="FFFFFF"/>
        </w:rPr>
      </w:pPr>
    </w:p>
    <w:p w14:paraId="215B46A6" w14:textId="716E16E3" w:rsidR="000411F2" w:rsidRPr="00DD7BD1" w:rsidRDefault="000411F2" w:rsidP="005F266D">
      <w:pPr>
        <w:spacing w:after="0" w:line="240" w:lineRule="auto"/>
        <w:rPr>
          <w:rFonts w:ascii="Calibri" w:hAnsi="Calibri" w:cs="Calibri"/>
          <w:shd w:val="clear" w:color="auto" w:fill="FFFFFF"/>
        </w:rPr>
      </w:pPr>
      <w:r w:rsidRPr="00DD7BD1">
        <w:rPr>
          <w:rFonts w:ascii="Calibri" w:hAnsi="Calibri" w:cs="Calibri"/>
          <w:shd w:val="clear" w:color="auto" w:fill="FFFFFF"/>
        </w:rPr>
        <w:t>Short term Family Leave is applicable to employers with 15 or more employees who work an average of 30 hours per week over the course of an entire year while Parental Leave covers employers with 10 or more workers who work an average of 30 hours per week over the course of an entire year.</w:t>
      </w:r>
    </w:p>
    <w:p w14:paraId="694293FF" w14:textId="243A2860" w:rsidR="000411F2" w:rsidRPr="00DD7BD1" w:rsidRDefault="000411F2" w:rsidP="005F266D">
      <w:pPr>
        <w:spacing w:after="0" w:line="240" w:lineRule="auto"/>
        <w:rPr>
          <w:rFonts w:ascii="Calibri" w:hAnsi="Calibri" w:cs="Calibri"/>
          <w:shd w:val="clear" w:color="auto" w:fill="FFFFFF"/>
        </w:rPr>
      </w:pPr>
    </w:p>
    <w:p w14:paraId="7089C8FC" w14:textId="190D5AA2"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Key changes: </w:t>
      </w:r>
    </w:p>
    <w:p w14:paraId="51880053" w14:textId="5B799B79" w:rsidR="005F266D" w:rsidRPr="00DD7BD1" w:rsidRDefault="005F266D">
      <w:pPr>
        <w:numPr>
          <w:ilvl w:val="0"/>
          <w:numId w:val="189"/>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DD7BD1" w:rsidRDefault="005F266D">
      <w:pPr>
        <w:numPr>
          <w:ilvl w:val="1"/>
          <w:numId w:val="190"/>
        </w:numPr>
        <w:spacing w:after="0" w:line="240" w:lineRule="auto"/>
        <w:rPr>
          <w:rFonts w:ascii="Calibri" w:hAnsi="Calibri" w:cs="Calibri"/>
          <w:shd w:val="clear" w:color="auto" w:fill="FFFFFF"/>
        </w:rPr>
      </w:pPr>
      <w:r w:rsidRPr="00DD7BD1">
        <w:rPr>
          <w:rFonts w:ascii="Calibri" w:hAnsi="Calibri" w:cs="Calibri"/>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DD7BD1" w:rsidRDefault="005F266D">
      <w:pPr>
        <w:numPr>
          <w:ilvl w:val="1"/>
          <w:numId w:val="191"/>
        </w:numPr>
        <w:spacing w:after="0" w:line="240" w:lineRule="auto"/>
        <w:rPr>
          <w:rFonts w:ascii="Calibri" w:hAnsi="Calibri" w:cs="Calibri"/>
          <w:shd w:val="clear" w:color="auto" w:fill="FFFFFF"/>
        </w:rPr>
      </w:pPr>
      <w:r w:rsidRPr="00DD7BD1">
        <w:rPr>
          <w:rFonts w:ascii="Calibri" w:hAnsi="Calibri" w:cs="Calibri"/>
          <w:shd w:val="clear" w:color="auto" w:fill="FFFFFF"/>
        </w:rPr>
        <w:t>The amendment permits up to 2 weeks for bereavement leave (within the overall 12-week entitlement), permitting up to 5 days to be used consecutively.  </w:t>
      </w:r>
    </w:p>
    <w:p w14:paraId="4A779C88" w14:textId="77777777" w:rsidR="005F266D" w:rsidRPr="00DD7BD1" w:rsidRDefault="005F266D">
      <w:pPr>
        <w:numPr>
          <w:ilvl w:val="1"/>
          <w:numId w:val="192"/>
        </w:numPr>
        <w:spacing w:after="0" w:line="240" w:lineRule="auto"/>
        <w:rPr>
          <w:rFonts w:ascii="Calibri" w:hAnsi="Calibri" w:cs="Calibri"/>
          <w:shd w:val="clear" w:color="auto" w:fill="FFFFFF"/>
        </w:rPr>
      </w:pPr>
      <w:r w:rsidRPr="00DD7BD1">
        <w:rPr>
          <w:rFonts w:ascii="Calibri" w:hAnsi="Calibri" w:cs="Calibri"/>
          <w:shd w:val="clear" w:color="auto" w:fill="FFFFFF"/>
        </w:rPr>
        <w:t>The law also expands the leave an employee can take to bond with an adopted child to children 18 years and under (from 16).</w:t>
      </w:r>
    </w:p>
    <w:p w14:paraId="69BCF110" w14:textId="77777777" w:rsidR="005F266D" w:rsidRPr="00DD7BD1" w:rsidRDefault="005F266D">
      <w:pPr>
        <w:numPr>
          <w:ilvl w:val="0"/>
          <w:numId w:val="193"/>
        </w:numPr>
        <w:spacing w:after="0" w:line="240" w:lineRule="auto"/>
        <w:rPr>
          <w:rFonts w:ascii="Calibri" w:hAnsi="Calibri" w:cs="Calibri"/>
          <w:shd w:val="clear" w:color="auto" w:fill="FFFFFF"/>
        </w:rPr>
      </w:pPr>
      <w:r w:rsidRPr="00DD7BD1">
        <w:rPr>
          <w:rFonts w:ascii="Calibri" w:hAnsi="Calibri" w:cs="Calibri"/>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DD7BD1" w:rsidRDefault="005F266D">
      <w:pPr>
        <w:numPr>
          <w:ilvl w:val="0"/>
          <w:numId w:val="194"/>
        </w:numPr>
        <w:spacing w:after="0" w:line="240" w:lineRule="auto"/>
        <w:rPr>
          <w:rFonts w:ascii="Calibri" w:hAnsi="Calibri" w:cs="Calibri"/>
          <w:shd w:val="clear" w:color="auto" w:fill="FFFFFF"/>
        </w:rPr>
      </w:pPr>
      <w:r w:rsidRPr="00DD7BD1">
        <w:rPr>
          <w:rFonts w:ascii="Calibri" w:hAnsi="Calibri" w:cs="Calibri"/>
          <w:shd w:val="clear" w:color="auto" w:fill="FFFFFF"/>
        </w:rPr>
        <w:t>Expansion of Covered Relationships. Prior to the amendment, the law permitted an employee to take leave for the serious health condition of their child (including a stepchild, ward, or foster child), parent, parent-in-law, and spouse. The amendment expands this to include all of the following relationships: </w:t>
      </w:r>
    </w:p>
    <w:p w14:paraId="2618D16E" w14:textId="5FE0756C" w:rsidR="005F266D" w:rsidRPr="00DD7BD1" w:rsidRDefault="005F266D">
      <w:pPr>
        <w:numPr>
          <w:ilvl w:val="1"/>
          <w:numId w:val="195"/>
        </w:numPr>
        <w:spacing w:after="0" w:line="240" w:lineRule="auto"/>
        <w:rPr>
          <w:rFonts w:ascii="Calibri" w:hAnsi="Calibri" w:cs="Calibri"/>
          <w:shd w:val="clear" w:color="auto" w:fill="FFFFFF"/>
        </w:rPr>
      </w:pPr>
      <w:r w:rsidRPr="00DD7BD1">
        <w:rPr>
          <w:rFonts w:ascii="Calibri" w:hAnsi="Calibri" w:cs="Calibri"/>
          <w:shd w:val="clear" w:color="auto" w:fill="FFFFFF"/>
        </w:rPr>
        <w:t>Child:  </w:t>
      </w:r>
    </w:p>
    <w:p w14:paraId="557EA228" w14:textId="6B1A624C" w:rsidR="005F266D" w:rsidRPr="00DD7BD1" w:rsidRDefault="005F266D">
      <w:pPr>
        <w:numPr>
          <w:ilvl w:val="2"/>
          <w:numId w:val="196"/>
        </w:numPr>
        <w:spacing w:after="0" w:line="240" w:lineRule="auto"/>
        <w:rPr>
          <w:rFonts w:ascii="Calibri" w:hAnsi="Calibri" w:cs="Calibri"/>
          <w:shd w:val="clear" w:color="auto" w:fill="FFFFFF"/>
        </w:rPr>
      </w:pPr>
      <w:r w:rsidRPr="00DD7BD1">
        <w:rPr>
          <w:rFonts w:ascii="Calibri" w:hAnsi="Calibri" w:cs="Calibri"/>
          <w:shd w:val="clear" w:color="auto" w:fill="FFFFFF"/>
        </w:rPr>
        <w:t>employee’s biological, adopted, or foster child </w:t>
      </w:r>
    </w:p>
    <w:p w14:paraId="41E2A9FD" w14:textId="17605C2E" w:rsidR="005F266D" w:rsidRPr="00DD7BD1" w:rsidRDefault="005F266D">
      <w:pPr>
        <w:numPr>
          <w:ilvl w:val="2"/>
          <w:numId w:val="197"/>
        </w:numPr>
        <w:spacing w:after="0" w:line="240" w:lineRule="auto"/>
        <w:rPr>
          <w:rFonts w:ascii="Calibri" w:hAnsi="Calibri" w:cs="Calibri"/>
          <w:shd w:val="clear" w:color="auto" w:fill="FFFFFF"/>
        </w:rPr>
      </w:pPr>
      <w:r w:rsidRPr="00DD7BD1">
        <w:rPr>
          <w:rFonts w:ascii="Calibri" w:hAnsi="Calibri" w:cs="Calibri"/>
          <w:shd w:val="clear" w:color="auto" w:fill="FFFFFF"/>
        </w:rPr>
        <w:t>employee’s stepchild or legal ward </w:t>
      </w:r>
    </w:p>
    <w:p w14:paraId="2B72C11E" w14:textId="094D8411" w:rsidR="005F266D" w:rsidRPr="00DD7BD1" w:rsidRDefault="005F266D">
      <w:pPr>
        <w:numPr>
          <w:ilvl w:val="2"/>
          <w:numId w:val="198"/>
        </w:numPr>
        <w:spacing w:after="0" w:line="240" w:lineRule="auto"/>
        <w:rPr>
          <w:rFonts w:ascii="Calibri" w:hAnsi="Calibri" w:cs="Calibri"/>
          <w:shd w:val="clear" w:color="auto" w:fill="FFFFFF"/>
        </w:rPr>
      </w:pPr>
      <w:r w:rsidRPr="00DD7BD1">
        <w:rPr>
          <w:rFonts w:ascii="Calibri" w:hAnsi="Calibri" w:cs="Calibri"/>
          <w:shd w:val="clear" w:color="auto" w:fill="FFFFFF"/>
        </w:rPr>
        <w:t>child of the employee’s spouse or civil union or domestic partner </w:t>
      </w:r>
    </w:p>
    <w:p w14:paraId="5359DC2A" w14:textId="0C326E97" w:rsidR="005F266D" w:rsidRPr="00DD7BD1" w:rsidRDefault="005F266D">
      <w:pPr>
        <w:numPr>
          <w:ilvl w:val="2"/>
          <w:numId w:val="199"/>
        </w:numPr>
        <w:spacing w:after="0" w:line="240" w:lineRule="auto"/>
        <w:rPr>
          <w:rFonts w:ascii="Calibri" w:hAnsi="Calibri" w:cs="Calibri"/>
          <w:shd w:val="clear" w:color="auto" w:fill="FFFFFF"/>
        </w:rPr>
      </w:pPr>
      <w:r w:rsidRPr="00DD7BD1">
        <w:rPr>
          <w:rFonts w:ascii="Calibri" w:hAnsi="Calibri" w:cs="Calibri"/>
          <w:shd w:val="clear" w:color="auto" w:fill="FFFFFF"/>
        </w:rPr>
        <w:t>child to whom the employee stands in loco parentis, regardless of legal documentation </w:t>
      </w:r>
    </w:p>
    <w:p w14:paraId="396025C7" w14:textId="77777777" w:rsidR="005F266D" w:rsidRPr="00DD7BD1" w:rsidRDefault="005F266D" w:rsidP="005F266D">
      <w:pPr>
        <w:spacing w:after="0" w:line="240" w:lineRule="auto"/>
        <w:ind w:left="1440"/>
        <w:rPr>
          <w:rFonts w:ascii="Calibri" w:hAnsi="Calibri" w:cs="Calibri"/>
          <w:shd w:val="clear" w:color="auto" w:fill="FFFFFF"/>
        </w:rPr>
      </w:pPr>
    </w:p>
    <w:p w14:paraId="544A910D" w14:textId="0507D519" w:rsidR="005F266D" w:rsidRPr="00DD7BD1" w:rsidRDefault="005F266D">
      <w:pPr>
        <w:numPr>
          <w:ilvl w:val="2"/>
          <w:numId w:val="200"/>
        </w:numPr>
        <w:spacing w:after="0" w:line="240" w:lineRule="auto"/>
        <w:rPr>
          <w:rFonts w:ascii="Calibri" w:hAnsi="Calibri" w:cs="Calibri"/>
          <w:shd w:val="clear" w:color="auto" w:fill="FFFFFF"/>
        </w:rPr>
      </w:pPr>
      <w:r w:rsidRPr="00DD7BD1">
        <w:rPr>
          <w:rFonts w:ascii="Calibri" w:hAnsi="Calibri" w:cs="Calibri"/>
          <w:shd w:val="clear" w:color="auto" w:fill="FFFFFF"/>
        </w:rPr>
        <w:t>individual to whom the employee stood in loco parentis when the individual was under 18 years of age </w:t>
      </w:r>
    </w:p>
    <w:p w14:paraId="4BAB84F3" w14:textId="77777777" w:rsidR="005F266D" w:rsidRPr="00DD7BD1" w:rsidRDefault="005F266D">
      <w:pPr>
        <w:numPr>
          <w:ilvl w:val="2"/>
          <w:numId w:val="201"/>
        </w:numPr>
        <w:spacing w:after="0" w:line="240" w:lineRule="auto"/>
        <w:rPr>
          <w:rFonts w:ascii="Calibri" w:hAnsi="Calibri" w:cs="Calibri"/>
          <w:shd w:val="clear" w:color="auto" w:fill="FFFFFF"/>
        </w:rPr>
      </w:pPr>
      <w:r w:rsidRPr="00DD7BD1">
        <w:rPr>
          <w:rFonts w:ascii="Calibri" w:hAnsi="Calibri" w:cs="Calibri"/>
          <w:shd w:val="clear" w:color="auto" w:fill="FFFFFF"/>
        </w:rPr>
        <w:t>an individual for whom the employee provides caregiving responsibilities similar to those of a parent-child relationship</w:t>
      </w:r>
    </w:p>
    <w:p w14:paraId="0E184755" w14:textId="77777777" w:rsidR="005F266D" w:rsidRPr="00DD7BD1" w:rsidRDefault="005F266D" w:rsidP="005F266D">
      <w:pPr>
        <w:spacing w:after="0" w:line="240" w:lineRule="auto"/>
        <w:ind w:left="720"/>
        <w:rPr>
          <w:rFonts w:ascii="Calibri" w:hAnsi="Calibri" w:cs="Calibri"/>
          <w:shd w:val="clear" w:color="auto" w:fill="FFFFFF"/>
        </w:rPr>
      </w:pPr>
    </w:p>
    <w:p w14:paraId="4EBB5D59" w14:textId="5F1EC717" w:rsidR="005F266D" w:rsidRPr="00DD7BD1" w:rsidRDefault="005F266D">
      <w:pPr>
        <w:numPr>
          <w:ilvl w:val="1"/>
          <w:numId w:val="202"/>
        </w:numPr>
        <w:spacing w:after="0" w:line="240" w:lineRule="auto"/>
        <w:rPr>
          <w:rFonts w:ascii="Calibri" w:hAnsi="Calibri" w:cs="Calibri"/>
          <w:shd w:val="clear" w:color="auto" w:fill="FFFFFF"/>
        </w:rPr>
      </w:pPr>
      <w:r w:rsidRPr="00DD7BD1">
        <w:rPr>
          <w:rFonts w:ascii="Calibri" w:hAnsi="Calibri" w:cs="Calibri"/>
          <w:shd w:val="clear" w:color="auto" w:fill="FFFFFF"/>
        </w:rPr>
        <w:t>Parent: </w:t>
      </w:r>
    </w:p>
    <w:p w14:paraId="62D34287" w14:textId="2104889F" w:rsidR="005F266D" w:rsidRPr="00DD7BD1" w:rsidRDefault="005F266D">
      <w:pPr>
        <w:numPr>
          <w:ilvl w:val="2"/>
          <w:numId w:val="203"/>
        </w:numPr>
        <w:spacing w:after="0" w:line="240" w:lineRule="auto"/>
        <w:rPr>
          <w:rFonts w:ascii="Calibri" w:hAnsi="Calibri" w:cs="Calibri"/>
          <w:shd w:val="clear" w:color="auto" w:fill="FFFFFF"/>
        </w:rPr>
      </w:pPr>
      <w:r w:rsidRPr="00DD7BD1">
        <w:rPr>
          <w:rFonts w:ascii="Calibri" w:hAnsi="Calibri" w:cs="Calibri"/>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DD7BD1" w:rsidRDefault="005F266D">
      <w:pPr>
        <w:numPr>
          <w:ilvl w:val="2"/>
          <w:numId w:val="204"/>
        </w:numPr>
        <w:spacing w:after="0" w:line="240" w:lineRule="auto"/>
        <w:rPr>
          <w:rFonts w:ascii="Calibri" w:hAnsi="Calibri" w:cs="Calibri"/>
          <w:shd w:val="clear" w:color="auto" w:fill="FFFFFF"/>
        </w:rPr>
      </w:pPr>
      <w:r w:rsidRPr="00DD7BD1">
        <w:rPr>
          <w:rFonts w:ascii="Calibri" w:hAnsi="Calibri" w:cs="Calibri"/>
          <w:shd w:val="clear" w:color="auto" w:fill="FFFFFF"/>
        </w:rPr>
        <w:t>Legal guardian of an employee or employee’s spouse or civil union or domestic partner </w:t>
      </w:r>
    </w:p>
    <w:p w14:paraId="7B5E5D62" w14:textId="77777777" w:rsidR="005F266D" w:rsidRPr="00DD7BD1" w:rsidRDefault="005F266D">
      <w:pPr>
        <w:numPr>
          <w:ilvl w:val="2"/>
          <w:numId w:val="205"/>
        </w:numPr>
        <w:spacing w:after="0" w:line="240" w:lineRule="auto"/>
        <w:rPr>
          <w:rFonts w:ascii="Calibri" w:hAnsi="Calibri" w:cs="Calibri"/>
          <w:shd w:val="clear" w:color="auto" w:fill="FFFFFF"/>
        </w:rPr>
      </w:pPr>
      <w:r w:rsidRPr="00DD7BD1">
        <w:rPr>
          <w:rFonts w:ascii="Calibri" w:hAnsi="Calibri" w:cs="Calibri"/>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DD7BD1" w:rsidRDefault="005F266D" w:rsidP="005F266D">
      <w:pPr>
        <w:spacing w:after="0" w:line="240" w:lineRule="auto"/>
        <w:rPr>
          <w:rFonts w:ascii="Calibri" w:hAnsi="Calibri" w:cs="Calibri"/>
          <w:shd w:val="clear" w:color="auto" w:fill="FFFFFF"/>
        </w:rPr>
      </w:pPr>
    </w:p>
    <w:p w14:paraId="7CCBB35F" w14:textId="77777777" w:rsidR="005F266D" w:rsidRPr="00DD7BD1" w:rsidRDefault="005F266D">
      <w:pPr>
        <w:numPr>
          <w:ilvl w:val="1"/>
          <w:numId w:val="206"/>
        </w:numPr>
        <w:spacing w:after="0" w:line="240" w:lineRule="auto"/>
        <w:rPr>
          <w:rFonts w:ascii="Calibri" w:hAnsi="Calibri" w:cs="Calibri"/>
          <w:shd w:val="clear" w:color="auto" w:fill="FFFFFF"/>
        </w:rPr>
      </w:pPr>
      <w:r w:rsidRPr="00DD7BD1">
        <w:rPr>
          <w:rFonts w:ascii="Calibri" w:hAnsi="Calibri" w:cs="Calibri"/>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DD7BD1" w:rsidRDefault="005F266D" w:rsidP="005F266D">
      <w:pPr>
        <w:spacing w:after="0" w:line="240" w:lineRule="auto"/>
        <w:ind w:left="720"/>
        <w:rPr>
          <w:rFonts w:ascii="Calibri" w:hAnsi="Calibri" w:cs="Calibri"/>
          <w:shd w:val="clear" w:color="auto" w:fill="FFFFFF"/>
        </w:rPr>
      </w:pPr>
    </w:p>
    <w:p w14:paraId="687C32B6" w14:textId="77777777" w:rsidR="005F266D" w:rsidRPr="00DD7BD1" w:rsidRDefault="005F266D">
      <w:pPr>
        <w:numPr>
          <w:ilvl w:val="1"/>
          <w:numId w:val="207"/>
        </w:numPr>
        <w:spacing w:after="0" w:line="240" w:lineRule="auto"/>
        <w:rPr>
          <w:rFonts w:ascii="Calibri" w:hAnsi="Calibri" w:cs="Calibri"/>
          <w:shd w:val="clear" w:color="auto" w:fill="FFFFFF"/>
        </w:rPr>
      </w:pPr>
      <w:r w:rsidRPr="00DD7BD1">
        <w:rPr>
          <w:rFonts w:ascii="Calibri" w:hAnsi="Calibri" w:cs="Calibri"/>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Pr="00DD7BD1" w:rsidRDefault="005F266D" w:rsidP="005F266D">
      <w:pPr>
        <w:spacing w:after="0" w:line="240" w:lineRule="auto"/>
        <w:ind w:left="720"/>
        <w:rPr>
          <w:rFonts w:ascii="Calibri" w:hAnsi="Calibri" w:cs="Calibri"/>
          <w:shd w:val="clear" w:color="auto" w:fill="FFFFFF"/>
        </w:rPr>
      </w:pPr>
    </w:p>
    <w:p w14:paraId="799A81D5" w14:textId="247DCF02" w:rsidR="005F266D" w:rsidRPr="00DD7BD1" w:rsidRDefault="005F266D">
      <w:pPr>
        <w:numPr>
          <w:ilvl w:val="0"/>
          <w:numId w:val="208"/>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DD7BD1" w:rsidRDefault="005F266D">
      <w:pPr>
        <w:numPr>
          <w:ilvl w:val="1"/>
          <w:numId w:val="209"/>
        </w:numPr>
        <w:spacing w:after="0" w:line="240" w:lineRule="auto"/>
        <w:rPr>
          <w:rFonts w:ascii="Calibri" w:hAnsi="Calibri" w:cs="Calibri"/>
          <w:shd w:val="clear" w:color="auto" w:fill="FFFFFF"/>
        </w:rPr>
      </w:pPr>
      <w:r w:rsidRPr="00DD7BD1">
        <w:rPr>
          <w:rFonts w:ascii="Calibri" w:hAnsi="Calibri" w:cs="Calibri"/>
          <w:shd w:val="clear" w:color="auto" w:fill="FFFFFF"/>
        </w:rPr>
        <w:t>school activities of the employee’s child </w:t>
      </w:r>
    </w:p>
    <w:p w14:paraId="4E3DAC33" w14:textId="12BB7708" w:rsidR="005F266D" w:rsidRPr="00DD7BD1" w:rsidRDefault="005F266D">
      <w:pPr>
        <w:numPr>
          <w:ilvl w:val="1"/>
          <w:numId w:val="210"/>
        </w:numPr>
        <w:spacing w:after="0" w:line="240" w:lineRule="auto"/>
        <w:rPr>
          <w:rFonts w:ascii="Calibri" w:hAnsi="Calibri" w:cs="Calibri"/>
          <w:shd w:val="clear" w:color="auto" w:fill="FFFFFF"/>
        </w:rPr>
      </w:pPr>
      <w:r w:rsidRPr="00DD7BD1">
        <w:rPr>
          <w:rFonts w:ascii="Calibri" w:hAnsi="Calibri" w:cs="Calibri"/>
          <w:shd w:val="clear" w:color="auto" w:fill="FFFFFF"/>
        </w:rPr>
        <w:t>routine medical or dental appointments, or other professional services for the employee’s child (including step, foster, or ward), parent, parent-in-law, or spouse </w:t>
      </w:r>
    </w:p>
    <w:p w14:paraId="2F03ED1C" w14:textId="77777777" w:rsidR="005F266D" w:rsidRPr="00DD7BD1" w:rsidRDefault="005F266D">
      <w:pPr>
        <w:numPr>
          <w:ilvl w:val="1"/>
          <w:numId w:val="211"/>
        </w:numPr>
        <w:spacing w:after="0" w:line="240" w:lineRule="auto"/>
        <w:rPr>
          <w:rFonts w:ascii="Calibri" w:hAnsi="Calibri" w:cs="Calibri"/>
          <w:shd w:val="clear" w:color="auto" w:fill="FFFFFF"/>
        </w:rPr>
      </w:pPr>
      <w:r w:rsidRPr="00DD7BD1">
        <w:rPr>
          <w:rFonts w:ascii="Calibri" w:hAnsi="Calibri" w:cs="Calibri"/>
          <w:shd w:val="clear" w:color="auto" w:fill="FFFFFF"/>
        </w:rPr>
        <w:t>to respond to a medical emergency involving the child (including step, foster, or ward), parent, parent-in-law, or spouse </w:t>
      </w:r>
    </w:p>
    <w:p w14:paraId="3720DDEC" w14:textId="77777777" w:rsidR="000411F2" w:rsidRPr="00DD7BD1" w:rsidRDefault="000411F2" w:rsidP="005F266D">
      <w:pPr>
        <w:spacing w:after="0" w:line="240" w:lineRule="auto"/>
        <w:rPr>
          <w:rFonts w:ascii="Calibri" w:hAnsi="Calibri" w:cs="Calibri"/>
          <w:shd w:val="clear" w:color="auto" w:fill="FFFFFF"/>
        </w:rPr>
      </w:pPr>
    </w:p>
    <w:p w14:paraId="116B88BA" w14:textId="77777777" w:rsidR="000411F2"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law expands the covered relationships for all reasons under the Short-Term Family leave to include the same covered relationships listed above. </w:t>
      </w:r>
    </w:p>
    <w:p w14:paraId="779A4DD8" w14:textId="77777777" w:rsidR="000411F2" w:rsidRPr="00DD7BD1" w:rsidRDefault="000411F2" w:rsidP="005F266D">
      <w:pPr>
        <w:spacing w:after="0" w:line="240" w:lineRule="auto"/>
        <w:rPr>
          <w:rFonts w:ascii="Calibri" w:hAnsi="Calibri" w:cs="Calibri"/>
          <w:shd w:val="clear" w:color="auto" w:fill="FFFFFF"/>
        </w:rPr>
      </w:pPr>
    </w:p>
    <w:p w14:paraId="04D8B605" w14:textId="4733326A"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ETC releas</w:t>
      </w:r>
      <w:r w:rsidR="005C31E9"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w:t>
      </w:r>
      <w:r w:rsidR="005C31E9" w:rsidRPr="00DD7BD1">
        <w:rPr>
          <w:rFonts w:ascii="Calibri" w:hAnsi="Calibri" w:cs="Calibri"/>
          <w:shd w:val="clear" w:color="auto" w:fill="FFFFFF"/>
        </w:rPr>
        <w:t>June 2025</w:t>
      </w:r>
    </w:p>
    <w:p w14:paraId="4A051941" w14:textId="77777777" w:rsidR="005F266D" w:rsidRPr="00DD7BD1" w:rsidRDefault="005F266D" w:rsidP="005F266D">
      <w:pPr>
        <w:spacing w:after="0" w:line="240" w:lineRule="auto"/>
        <w:rPr>
          <w:rFonts w:ascii="Calibri" w:hAnsi="Calibri" w:cs="Calibri"/>
          <w:sz w:val="16"/>
          <w:szCs w:val="16"/>
          <w:shd w:val="clear" w:color="auto" w:fill="FFFFFF"/>
        </w:rPr>
      </w:pPr>
    </w:p>
    <w:p w14:paraId="00F2C9DC" w14:textId="4B7B1138"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Pay Ranges in Job Postings – </w:t>
      </w:r>
      <w:r w:rsidRPr="00DD7BD1">
        <w:rPr>
          <w:rFonts w:ascii="Calibri" w:hAnsi="Calibri" w:cs="Calibri"/>
          <w:b/>
          <w:bCs/>
          <w:color w:val="C00000"/>
          <w:sz w:val="28"/>
          <w:szCs w:val="28"/>
          <w:shd w:val="clear" w:color="auto" w:fill="FFFFFF"/>
          <w:lang w:val="en"/>
        </w:rPr>
        <w:t>July 1, 2025</w:t>
      </w:r>
    </w:p>
    <w:p w14:paraId="7D36B8C9" w14:textId="77777777" w:rsidR="00AD4A8E" w:rsidRPr="00DD7BD1" w:rsidRDefault="00AD4A8E" w:rsidP="00AD4A8E">
      <w:pPr>
        <w:rPr>
          <w:rFonts w:ascii="Calibri" w:hAnsi="Calibri" w:cs="Calibri"/>
        </w:rPr>
      </w:pPr>
      <w:r w:rsidRPr="00DD7BD1">
        <w:rPr>
          <w:rFonts w:ascii="Calibri" w:hAnsi="Calibri" w:cs="Calibri"/>
        </w:rPr>
        <w:t>Effective July 1, 2025, Vermont employers with five or more employees, at least one of which works in the state of Vermont, must include the compensation or range of compensation in each job advertisement. The </w:t>
      </w:r>
      <w:hyperlink r:id="rId949" w:tgtFrame="_blank" w:history="1">
        <w:r w:rsidRPr="00DD7BD1">
          <w:rPr>
            <w:rStyle w:val="Hyperlink"/>
            <w:rFonts w:ascii="Calibri" w:hAnsi="Calibri" w:cs="Calibri"/>
          </w:rPr>
          <w:t>law</w:t>
        </w:r>
      </w:hyperlink>
      <w:r w:rsidRPr="00DD7BD1">
        <w:rPr>
          <w:rFonts w:ascii="Calibri" w:hAnsi="Calibri" w:cs="Calibri"/>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DD7BD1" w:rsidRDefault="00AD4A8E" w:rsidP="00AD4A8E">
      <w:pPr>
        <w:rPr>
          <w:rFonts w:ascii="Calibri" w:hAnsi="Calibri" w:cs="Calibri"/>
        </w:rPr>
      </w:pPr>
      <w:r w:rsidRPr="00DD7BD1">
        <w:rPr>
          <w:rFonts w:ascii="Calibri" w:hAnsi="Calibri" w:cs="Calibri"/>
        </w:rPr>
        <w:t xml:space="preserve">(Amend job postings to include the required information by July 1, 2025. </w:t>
      </w:r>
      <w:hyperlink r:id="rId950" w:tgtFrame="_blank" w:history="1">
        <w:r w:rsidRPr="00DD7BD1">
          <w:rPr>
            <w:rStyle w:val="Hyperlink"/>
            <w:rFonts w:ascii="Calibri" w:hAnsi="Calibri" w:cs="Calibri"/>
          </w:rPr>
          <w:t>VT H 704</w:t>
        </w:r>
      </w:hyperlink>
      <w:r w:rsidRPr="00DD7BD1">
        <w:rPr>
          <w:rFonts w:ascii="Calibri" w:hAnsi="Calibri" w:cs="Calibri"/>
        </w:rPr>
        <w:t> was signed by the governor on June 4, 2024.)</w:t>
      </w:r>
    </w:p>
    <w:p w14:paraId="3A552BDF" w14:textId="6771337D"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bookmarkStart w:id="145" w:name="_Hlk199401159"/>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Limits Captive Audience Meetings – </w:t>
      </w:r>
      <w:r w:rsidRPr="00DD7BD1">
        <w:rPr>
          <w:rFonts w:ascii="Calibri" w:hAnsi="Calibri" w:cs="Calibri"/>
          <w:b/>
          <w:bCs/>
          <w:color w:val="C00000"/>
          <w:sz w:val="28"/>
          <w:szCs w:val="28"/>
          <w:shd w:val="clear" w:color="auto" w:fill="FFFFFF"/>
        </w:rPr>
        <w:t>July 1, 2024</w:t>
      </w:r>
    </w:p>
    <w:p w14:paraId="7080D72F"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 xml:space="preserve">Beginning July 1, 2024, employers of all sizes can’t take—or threaten to take—adverse action against an employee to get them to attend, or for not attending, an employer-sponsored meeting if its primary purpose is to express the employer’s opinion on religious or political matters as per </w:t>
      </w:r>
      <w:hyperlink r:id="rId951" w:tgtFrame="_blank" w:history="1">
        <w:r w:rsidRPr="00DD7BD1">
          <w:rPr>
            <w:rStyle w:val="Hyperlink"/>
            <w:rFonts w:ascii="Calibri" w:hAnsi="Calibri" w:cs="Calibri"/>
          </w:rPr>
          <w:t>VT S 102</w:t>
        </w:r>
      </w:hyperlink>
      <w:r w:rsidRPr="00DD7BD1">
        <w:rPr>
          <w:rFonts w:ascii="Calibri" w:hAnsi="Calibri" w:cs="Calibri"/>
        </w:rPr>
        <w:t> which was enacted on May 28, 2024.</w:t>
      </w:r>
    </w:p>
    <w:p w14:paraId="19CC29BA"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The same applies to participating in or viewing communications for this purpose. These types of laws are primarily aimed at preventing employees from being forced to attend anti-unionization meetings. </w:t>
      </w:r>
    </w:p>
    <w:p w14:paraId="48697D97"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This law defines matters as </w:t>
      </w:r>
      <w:r w:rsidRPr="00DD7BD1">
        <w:rPr>
          <w:rFonts w:ascii="Calibri" w:hAnsi="Calibri" w:cs="Calibri"/>
          <w:i/>
          <w:iCs/>
        </w:rPr>
        <w:t>religious </w:t>
      </w:r>
      <w:r w:rsidRPr="00DD7BD1">
        <w:rPr>
          <w:rFonts w:ascii="Calibri" w:hAnsi="Calibri" w:cs="Calibri"/>
        </w:rPr>
        <w:t>if they relate to religious affiliation and practice and the decision to join or support any religious organization or institution. Matters are considered </w:t>
      </w:r>
      <w:r w:rsidRPr="00DD7BD1">
        <w:rPr>
          <w:rFonts w:ascii="Calibri" w:hAnsi="Calibri" w:cs="Calibri"/>
          <w:i/>
          <w:iCs/>
        </w:rPr>
        <w:t>political</w:t>
      </w:r>
      <w:r w:rsidRPr="00DD7BD1">
        <w:rPr>
          <w:rFonts w:ascii="Calibri" w:hAnsi="Calibri" w:cs="Calibri"/>
        </w:rPr>
        <w:t> if they relate to any of the following:</w:t>
      </w:r>
    </w:p>
    <w:p w14:paraId="1203EC7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affiliation</w:t>
      </w:r>
    </w:p>
    <w:p w14:paraId="3B934635"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Elections for political office</w:t>
      </w:r>
    </w:p>
    <w:p w14:paraId="1BF922D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parties </w:t>
      </w:r>
    </w:p>
    <w:p w14:paraId="3FBA65CD"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Legislative proposals</w:t>
      </w:r>
    </w:p>
    <w:p w14:paraId="6CE03F30"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The decision to join or support any political party or political, civic, community, fraternal, or labor organization </w:t>
      </w:r>
    </w:p>
    <w:p w14:paraId="71E50CD8" w14:textId="77777777" w:rsidR="001C5F42" w:rsidRPr="00DD7BD1" w:rsidRDefault="001C5F42" w:rsidP="001C5F42">
      <w:pPr>
        <w:shd w:val="clear" w:color="auto" w:fill="FFFFFF"/>
        <w:tabs>
          <w:tab w:val="num" w:pos="-360"/>
        </w:tabs>
        <w:spacing w:after="0" w:line="240" w:lineRule="auto"/>
        <w:ind w:left="810"/>
        <w:jc w:val="both"/>
        <w:rPr>
          <w:rFonts w:ascii="Calibri" w:hAnsi="Calibri" w:cs="Calibri"/>
        </w:rPr>
      </w:pPr>
      <w:r w:rsidRPr="00DD7BD1">
        <w:rPr>
          <w:rFonts w:ascii="Calibri"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Allow employees to opt out of any meeting or communication covered by this law and make sure supervisors understand the law. </w:t>
      </w:r>
    </w:p>
    <w:bookmarkEnd w:id="145"/>
    <w:p w14:paraId="2D0C4BFC" w14:textId="77777777" w:rsidR="001C5F42" w:rsidRPr="00DD7BD1" w:rsidRDefault="001C5F42" w:rsidP="00A83553">
      <w:pPr>
        <w:spacing w:after="0" w:line="240" w:lineRule="auto"/>
        <w:rPr>
          <w:rFonts w:ascii="Calibri" w:hAnsi="Calibri" w:cs="Calibri"/>
          <w:b/>
          <w:bCs/>
          <w:lang w:val="en"/>
        </w:rPr>
      </w:pPr>
    </w:p>
    <w:p w14:paraId="2AF25101" w14:textId="184FC2E5" w:rsidR="004B7569" w:rsidRPr="00DD7BD1" w:rsidRDefault="00AD4A8E" w:rsidP="004B7569">
      <w:pPr>
        <w:spacing w:after="0" w:line="240" w:lineRule="auto"/>
        <w:jc w:val="center"/>
        <w:rPr>
          <w:rFonts w:ascii="Calibri" w:eastAsia="Times New Roman" w:hAnsi="Calibri" w:cs="Calibri"/>
        </w:rPr>
      </w:pPr>
      <w:r w:rsidRPr="00DD7BD1">
        <w:rPr>
          <w:rFonts w:ascii="Calibri" w:hAnsi="Calibri" w:cs="Calibri"/>
          <w:b/>
          <w:bCs/>
          <w:sz w:val="28"/>
          <w:szCs w:val="28"/>
          <w:lang w:val="en"/>
        </w:rPr>
        <w:t>State</w:t>
      </w:r>
      <w:r w:rsidR="004B7569" w:rsidRPr="00DD7BD1">
        <w:rPr>
          <w:rFonts w:ascii="Calibri" w:hAnsi="Calibri" w:cs="Calibri"/>
          <w:b/>
          <w:bCs/>
          <w:sz w:val="28"/>
          <w:szCs w:val="28"/>
          <w:shd w:val="clear" w:color="auto" w:fill="FFFFFF"/>
          <w:lang w:val="en"/>
        </w:rPr>
        <w:t xml:space="preserve"> Expands Protections for Race - </w:t>
      </w:r>
      <w:r w:rsidR="004B7569" w:rsidRPr="00DD7BD1">
        <w:rPr>
          <w:rFonts w:ascii="Calibri" w:hAnsi="Calibri" w:cs="Calibri"/>
          <w:b/>
          <w:bCs/>
          <w:color w:val="C00000"/>
          <w:sz w:val="28"/>
          <w:szCs w:val="28"/>
          <w:shd w:val="clear" w:color="auto" w:fill="FFFFFF"/>
          <w:lang w:val="en"/>
        </w:rPr>
        <w:t>July 1</w:t>
      </w:r>
    </w:p>
    <w:p w14:paraId="2D1A4AF6"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Benning 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This definition creates a </w:t>
      </w:r>
      <w:r w:rsidRPr="00DD7BD1">
        <w:rPr>
          <w:rFonts w:ascii="Calibri" w:eastAsia="Times New Roman" w:hAnsi="Calibri" w:cs="Calibri"/>
          <w:i/>
          <w:iCs/>
        </w:rPr>
        <w:t>very</w:t>
      </w:r>
      <w:r w:rsidRPr="00DD7BD1">
        <w:rPr>
          <w:rFonts w:ascii="Calibri" w:eastAsia="Times New Roman" w:hAnsi="Calibri" w:cs="Calibri"/>
        </w:rPr>
        <w:t> broad set of protections for employees and has the potential for wide application, such as protecting dialect and styles of dress.</w:t>
      </w:r>
    </w:p>
    <w:p w14:paraId="644CA6AB" w14:textId="77777777" w:rsidR="004B7569" w:rsidRPr="00DD7BD1" w:rsidRDefault="004B7569" w:rsidP="004B7569">
      <w:pPr>
        <w:spacing w:after="0" w:line="240" w:lineRule="auto"/>
        <w:jc w:val="both"/>
        <w:rPr>
          <w:rFonts w:ascii="Calibri" w:eastAsia="Times New Roman" w:hAnsi="Calibri" w:cs="Calibri"/>
          <w:sz w:val="16"/>
          <w:szCs w:val="16"/>
        </w:rPr>
      </w:pPr>
    </w:p>
    <w:p w14:paraId="6BA2D0F3"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Employer Take-aways:</w:t>
      </w:r>
    </w:p>
    <w:p w14:paraId="6036EA85"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Ensure your EEO Policy includes an expanded definition of race:</w:t>
      </w:r>
      <w:r w:rsidRPr="00DD7BD1">
        <w:rPr>
          <w:rFonts w:ascii="Calibri" w:hAnsi="Calibri" w:cs="Calibri"/>
        </w:rPr>
        <w:t xml:space="preserve"> </w:t>
      </w:r>
    </w:p>
    <w:p w14:paraId="35CFCE0D"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 xml:space="preserve">      Sample Policy language: </w:t>
      </w:r>
    </w:p>
    <w:p w14:paraId="0020AB7B" w14:textId="77777777" w:rsidR="004B7569" w:rsidRPr="00DD7BD1" w:rsidRDefault="004B7569" w:rsidP="004B7569">
      <w:pPr>
        <w:shd w:val="clear" w:color="auto" w:fill="FFFFFF"/>
        <w:spacing w:after="0" w:line="240" w:lineRule="auto"/>
        <w:ind w:left="1620" w:right="630"/>
        <w:jc w:val="both"/>
        <w:rPr>
          <w:rFonts w:ascii="Calibri" w:hAnsi="Calibri" w:cs="Calibri"/>
          <w:color w:val="000000"/>
          <w:sz w:val="23"/>
          <w:szCs w:val="23"/>
        </w:rPr>
      </w:pPr>
      <w:r w:rsidRPr="00DD7BD1">
        <w:rPr>
          <w:rFonts w:ascii="Calibri" w:hAnsi="Calibri" w:cs="Calibri"/>
          <w:i/>
          <w:iCs/>
          <w:color w:val="000000"/>
          <w:sz w:val="23"/>
          <w:szCs w:val="23"/>
        </w:rPr>
        <w:t xml:space="preserve">COMPANY is an Equal Opportunity Employer that does not discriminate on the basis of actual or perceived race, and traits commonly or historically associated with race </w:t>
      </w:r>
      <w:r w:rsidRPr="00DD7BD1">
        <w:rPr>
          <w:rFonts w:ascii="Calibri" w:hAnsi="Calibri" w:cs="Calibri"/>
          <w:i/>
          <w:iCs/>
          <w:color w:val="C00000"/>
          <w:sz w:val="23"/>
          <w:szCs w:val="23"/>
        </w:rPr>
        <w:t xml:space="preserve">including but not limited to hair texture and hair styles such as afros, braids, twists, knots, </w:t>
      </w:r>
      <w:sdt>
        <w:sdtPr>
          <w:rPr>
            <w:rFonts w:ascii="Calibri" w:hAnsi="Calibri" w:cs="Calibri"/>
            <w:i/>
            <w:iCs/>
          </w:rPr>
          <w:tag w:val="goog_rdk_3"/>
          <w:id w:val="-1864890186"/>
        </w:sdtPr>
        <w:sdtContent/>
      </w:sdt>
      <w:r w:rsidRPr="00DD7BD1">
        <w:rPr>
          <w:rFonts w:ascii="Calibri" w:hAnsi="Calibri" w:cs="Calibri"/>
          <w:i/>
          <w:iCs/>
          <w:color w:val="C00000"/>
          <w:sz w:val="23"/>
          <w:szCs w:val="23"/>
        </w:rPr>
        <w:t>locks and high-top fades</w:t>
      </w:r>
      <w:r w:rsidRPr="00DD7BD1">
        <w:rPr>
          <w:rFonts w:ascii="Calibri" w:hAnsi="Calibri" w:cs="Calibri"/>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sidRPr="00DD7BD1">
        <w:rPr>
          <w:rFonts w:ascii="Calibri" w:hAnsi="Calibri" w:cs="Calibri"/>
          <w:color w:val="000000"/>
          <w:sz w:val="23"/>
          <w:szCs w:val="23"/>
        </w:rPr>
        <w:t>.</w:t>
      </w:r>
    </w:p>
    <w:p w14:paraId="005F5099"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hAnsi="Calibri" w:cs="Calibri"/>
          <w:color w:val="000000"/>
          <w:sz w:val="23"/>
          <w:szCs w:val="23"/>
        </w:rPr>
        <w:t>IF</w:t>
      </w:r>
      <w:r w:rsidRPr="00DD7BD1">
        <w:rPr>
          <w:rFonts w:ascii="Calibri" w:eastAsia="Times New Roman" w:hAnsi="Calibri" w:cs="Calibri"/>
        </w:rPr>
        <w:t xml:space="preserve"> 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DD7BD1" w:rsidRDefault="004B7569">
      <w:pPr>
        <w:pStyle w:val="ListParagraph"/>
        <w:numPr>
          <w:ilvl w:val="0"/>
          <w:numId w:val="67"/>
        </w:numPr>
        <w:shd w:val="clear" w:color="auto" w:fill="FFFFFF"/>
        <w:tabs>
          <w:tab w:val="clear" w:pos="720"/>
        </w:tabs>
        <w:spacing w:after="0" w:line="240" w:lineRule="auto"/>
        <w:ind w:left="990" w:right="630"/>
        <w:jc w:val="both"/>
        <w:rPr>
          <w:rFonts w:ascii="Calibri" w:eastAsia="Times New Roman" w:hAnsi="Calibri" w:cs="Calibri"/>
        </w:rPr>
      </w:pPr>
      <w:r w:rsidRPr="00DD7BD1">
        <w:rPr>
          <w:rFonts w:ascii="Calibri" w:eastAsia="Times New Roman" w:hAnsi="Calibri" w:cs="Calibri"/>
        </w:rPr>
        <w:t>Update your equal employment opportunity (EEO) policy to make it clear that race includes traits associated with or perceived to be associated with race</w:t>
      </w:r>
    </w:p>
    <w:p w14:paraId="0D4C81A2" w14:textId="77777777" w:rsidR="004B7569" w:rsidRPr="00DD7BD1" w:rsidRDefault="004B7569" w:rsidP="004B7569">
      <w:pPr>
        <w:spacing w:after="0" w:line="240" w:lineRule="auto"/>
        <w:jc w:val="both"/>
        <w:rPr>
          <w:rFonts w:ascii="Calibri" w:hAnsi="Calibri" w:cs="Calibri"/>
          <w:color w:val="000000" w:themeColor="text1"/>
          <w:shd w:val="clear" w:color="auto" w:fill="FFFFFF"/>
        </w:rPr>
      </w:pPr>
      <w:r w:rsidRPr="00DD7BD1">
        <w:rPr>
          <w:rFonts w:ascii="Calibri" w:hAnsi="Calibri" w:cs="Calibri"/>
        </w:rPr>
        <w:t>(</w:t>
      </w:r>
      <w:hyperlink r:id="rId952" w:tgtFrame="_blank" w:history="1">
        <w:r w:rsidRPr="00DD7BD1">
          <w:rPr>
            <w:rStyle w:val="Hyperlink"/>
            <w:rFonts w:ascii="Calibri" w:hAnsi="Calibri" w:cs="Calibri"/>
          </w:rPr>
          <w:t>VT H. 363</w:t>
        </w:r>
      </w:hyperlink>
      <w:r w:rsidRPr="00DD7BD1">
        <w:rPr>
          <w:rFonts w:ascii="Calibri" w:hAnsi="Calibri" w:cs="Calibri"/>
          <w:color w:val="282828"/>
          <w:shd w:val="clear" w:color="auto" w:fill="FFFFFF"/>
        </w:rPr>
        <w:t> </w:t>
      </w:r>
      <w:r w:rsidRPr="00DD7BD1">
        <w:rPr>
          <w:rFonts w:ascii="Calibri" w:hAnsi="Calibri" w:cs="Calibri"/>
          <w:color w:val="000000" w:themeColor="text1"/>
          <w:shd w:val="clear" w:color="auto" w:fill="FFFFFF"/>
        </w:rPr>
        <w:t>was signed by the governor on April 25, 2024)</w:t>
      </w:r>
    </w:p>
    <w:p w14:paraId="4B15E989" w14:textId="77777777" w:rsidR="004B7569" w:rsidRPr="00DD7BD1" w:rsidRDefault="004B7569" w:rsidP="004B7569">
      <w:pPr>
        <w:spacing w:after="0" w:line="240" w:lineRule="auto"/>
        <w:rPr>
          <w:rFonts w:ascii="Calibri" w:hAnsi="Calibri" w:cs="Calibri"/>
          <w:b/>
          <w:bCs/>
          <w:color w:val="C00000"/>
          <w:sz w:val="16"/>
          <w:szCs w:val="16"/>
          <w:shd w:val="clear" w:color="auto" w:fill="FFFFFF"/>
          <w:lang w:val="en"/>
        </w:rPr>
      </w:pPr>
    </w:p>
    <w:p w14:paraId="22AD03C3" w14:textId="715E5F13" w:rsidR="004B7569" w:rsidRPr="00DD7BD1" w:rsidRDefault="004B7569" w:rsidP="004B7569">
      <w:pPr>
        <w:spacing w:after="0" w:line="240" w:lineRule="auto"/>
        <w:jc w:val="center"/>
        <w:rPr>
          <w:rFonts w:ascii="Calibri" w:hAnsi="Calibri" w:cs="Calibri"/>
          <w:b/>
          <w:bCs/>
          <w:color w:val="C00000"/>
          <w:sz w:val="28"/>
          <w:szCs w:val="28"/>
          <w:shd w:val="clear" w:color="auto" w:fill="FFFFFF"/>
          <w:lang w:val="en"/>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State’s Paid Leave Expansion – July 1</w:t>
      </w:r>
    </w:p>
    <w:p w14:paraId="62762542"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DD7BD1">
        <w:rPr>
          <w:rFonts w:ascii="Calibri" w:hAnsi="Calibri" w:cs="Calibri"/>
          <w:color w:val="C00000"/>
          <w:sz w:val="22"/>
          <w:szCs w:val="22"/>
        </w:rPr>
        <w:t>July 1, 2024</w:t>
      </w:r>
      <w:r w:rsidRPr="00DD7BD1">
        <w:rPr>
          <w:rFonts w:ascii="Calibri" w:hAnsi="Calibri" w:cs="Calibri"/>
          <w:sz w:val="22"/>
          <w:szCs w:val="22"/>
        </w:rPr>
        <w:t>.</w:t>
      </w:r>
    </w:p>
    <w:p w14:paraId="69803183"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6"/>
          <w:szCs w:val="16"/>
        </w:rPr>
      </w:pPr>
    </w:p>
    <w:p w14:paraId="75F854F0"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2"/>
          <w:szCs w:val="12"/>
        </w:rPr>
      </w:pPr>
    </w:p>
    <w:p w14:paraId="1E11C77C"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953">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954"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DD7BD1">
        <w:rPr>
          <w:rFonts w:ascii="Calibri" w:hAnsi="Calibri" w:cs="Calibri"/>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The birth of a child and to care for the newborn child within one year of birth;</w:t>
      </w:r>
    </w:p>
    <w:p w14:paraId="502DC06B"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 employee’s adoption of a child or foster care placement and to care for the newly placed child within one year of placement;</w:t>
      </w:r>
    </w:p>
    <w:p w14:paraId="063BAC28"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Caring for the employee’s spouse, child, stepchild, foster child, ward who lives with the employee, parent, or parent of the employee’s spouse who has a serious health condition;</w:t>
      </w:r>
    </w:p>
    <w:p w14:paraId="3A48217F"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 serious health condition that makes the employee unable to perform the essential functions of their job; or</w:t>
      </w:r>
    </w:p>
    <w:p w14:paraId="7C39C9FE"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46A5C89D" w14:textId="327353EB"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Virginia</w:t>
      </w:r>
    </w:p>
    <w:p w14:paraId="198E3699" w14:textId="77777777" w:rsidR="00834F37" w:rsidRDefault="00834F37" w:rsidP="00834F37">
      <w:pPr>
        <w:rPr>
          <w:b/>
          <w:bCs/>
          <w:caps/>
          <w:color w:val="0070C0"/>
          <w:sz w:val="26"/>
          <w:szCs w:val="26"/>
        </w:rPr>
      </w:pPr>
      <w:r>
        <w:rPr>
          <w:b/>
          <w:bCs/>
          <w:caps/>
          <w:color w:val="0070C0"/>
          <w:sz w:val="26"/>
          <w:szCs w:val="26"/>
        </w:rPr>
        <w:t xml:space="preserve">New! </w:t>
      </w:r>
      <w:r w:rsidRPr="00987A38">
        <w:rPr>
          <w:b/>
          <w:bCs/>
          <w:caps/>
          <w:noProof/>
          <w:color w:val="0E425C"/>
          <w:sz w:val="26"/>
          <w:szCs w:val="26"/>
        </w:rPr>
        <w:t>State Enacts Paid Family &amp; Medical Leave</w:t>
      </w:r>
      <w:r>
        <w:rPr>
          <w:b/>
          <w:bCs/>
          <w:caps/>
          <w:noProof/>
          <w:color w:val="0E425C"/>
          <w:sz w:val="26"/>
          <w:szCs w:val="26"/>
        </w:rPr>
        <w:t xml:space="preserve"> Insurance Program</w:t>
      </w:r>
    </w:p>
    <w:p w14:paraId="7FD152FC" w14:textId="77777777" w:rsidR="00834F37" w:rsidRDefault="00834F37" w:rsidP="00834F37">
      <w:pPr>
        <w:spacing w:after="10"/>
      </w:pPr>
      <w:r w:rsidRPr="005F47A8">
        <w:t>Virginia has</w:t>
      </w:r>
      <w:r>
        <w:t xml:space="preserve"> </w:t>
      </w:r>
      <w:hyperlink r:id="rId955" w:history="1">
        <w:r w:rsidRPr="00DF40A3">
          <w:rPr>
            <w:rStyle w:val="Hyperlink"/>
          </w:rPr>
          <w:t>enacted</w:t>
        </w:r>
      </w:hyperlink>
      <w:r>
        <w:t xml:space="preserve"> </w:t>
      </w:r>
      <w:r w:rsidRPr="005F47A8">
        <w:t xml:space="preserve">a paid family and medical leave insurance program (PFML) that will provide 12 weeks of partially compensated, job-protected leave to most Virginia employees. </w:t>
      </w:r>
    </w:p>
    <w:p w14:paraId="1C6991B9" w14:textId="77777777" w:rsidR="00834F37" w:rsidRPr="000746EC" w:rsidRDefault="00834F37" w:rsidP="00834F37">
      <w:pPr>
        <w:spacing w:after="0"/>
        <w:rPr>
          <w:b/>
          <w:bCs/>
        </w:rPr>
      </w:pPr>
      <w:r w:rsidRPr="000746EC">
        <w:rPr>
          <w:b/>
          <w:bCs/>
        </w:rPr>
        <w:t>Implementation</w:t>
      </w:r>
      <w:r>
        <w:rPr>
          <w:b/>
          <w:bCs/>
        </w:rPr>
        <w:t xml:space="preserve"> Timeline</w:t>
      </w:r>
    </w:p>
    <w:p w14:paraId="19082992" w14:textId="77777777" w:rsidR="00834F37" w:rsidRDefault="00834F37">
      <w:pPr>
        <w:pStyle w:val="ListParagraph"/>
        <w:numPr>
          <w:ilvl w:val="0"/>
          <w:numId w:val="340"/>
        </w:numPr>
        <w:spacing w:after="0" w:line="276" w:lineRule="auto"/>
      </w:pPr>
      <w:r w:rsidRPr="00534F9A">
        <w:rPr>
          <w:b/>
          <w:bCs/>
        </w:rPr>
        <w:t>Contributions</w:t>
      </w:r>
      <w:r w:rsidRPr="000746EC">
        <w:t xml:space="preserve"> to fund the program start </w:t>
      </w:r>
      <w:r w:rsidRPr="00534F9A">
        <w:rPr>
          <w:b/>
          <w:bCs/>
        </w:rPr>
        <w:t>April 1, 202</w:t>
      </w:r>
      <w:r w:rsidRPr="00534F9A">
        <w:rPr>
          <w:b/>
          <w:bCs/>
          <w:u w:val="single"/>
        </w:rPr>
        <w:t>8</w:t>
      </w:r>
    </w:p>
    <w:p w14:paraId="692F84D4" w14:textId="77777777" w:rsidR="00834F37" w:rsidRDefault="00834F37">
      <w:pPr>
        <w:pStyle w:val="ListParagraph"/>
        <w:numPr>
          <w:ilvl w:val="0"/>
          <w:numId w:val="340"/>
        </w:numPr>
        <w:spacing w:after="0" w:line="276" w:lineRule="auto"/>
      </w:pPr>
      <w:r w:rsidRPr="00534F9A">
        <w:rPr>
          <w:b/>
          <w:bCs/>
        </w:rPr>
        <w:t>Leave</w:t>
      </w:r>
      <w:r>
        <w:t xml:space="preserve"> b</w:t>
      </w:r>
      <w:r w:rsidRPr="000746EC">
        <w:t xml:space="preserve">enefits begin </w:t>
      </w:r>
      <w:r w:rsidRPr="00534F9A">
        <w:rPr>
          <w:b/>
          <w:bCs/>
        </w:rPr>
        <w:t>December 1, 202</w:t>
      </w:r>
      <w:r w:rsidRPr="00534F9A">
        <w:rPr>
          <w:b/>
          <w:bCs/>
          <w:u w:val="single"/>
        </w:rPr>
        <w:t>8</w:t>
      </w:r>
    </w:p>
    <w:p w14:paraId="5F079B18" w14:textId="77777777" w:rsidR="00834F37" w:rsidRPr="00D16F45" w:rsidRDefault="00834F37" w:rsidP="00834F37">
      <w:pPr>
        <w:pStyle w:val="Heading2"/>
        <w:spacing w:before="0"/>
        <w:rPr>
          <w:color w:val="auto"/>
        </w:rPr>
      </w:pPr>
      <w:r w:rsidRPr="00B24444">
        <w:rPr>
          <w:color w:val="auto"/>
        </w:rPr>
        <w:t>Covered Employers</w:t>
      </w:r>
    </w:p>
    <w:p w14:paraId="41D5DF01" w14:textId="77777777" w:rsidR="00834F37" w:rsidRDefault="00834F37" w:rsidP="00834F37">
      <w:pPr>
        <w:spacing w:after="10"/>
      </w:pPr>
      <w:r w:rsidRPr="00B24444">
        <w:t xml:space="preserve">The new PFML program will apply to employers that have paid wages of </w:t>
      </w:r>
      <w:r w:rsidRPr="00447741">
        <w:rPr>
          <w:u w:val="single"/>
        </w:rPr>
        <w:t>at least $1,500 in any quarter of the current or preceding year</w:t>
      </w:r>
      <w:r w:rsidRPr="00B24444">
        <w:t xml:space="preserve">, or who have </w:t>
      </w:r>
      <w:r w:rsidRPr="00447741">
        <w:rPr>
          <w:u w:val="single"/>
        </w:rPr>
        <w:t>employed at least one person for part of a day in each of 20 weeks during that time.</w:t>
      </w:r>
      <w:r w:rsidRPr="00B24444">
        <w:t xml:space="preserve"> </w:t>
      </w:r>
    </w:p>
    <w:p w14:paraId="44D909CC" w14:textId="77777777" w:rsidR="00834F37" w:rsidRPr="003C411C" w:rsidRDefault="00834F37" w:rsidP="00834F37">
      <w:pPr>
        <w:spacing w:after="10"/>
        <w:rPr>
          <w:b/>
          <w:bCs/>
        </w:rPr>
      </w:pPr>
      <w:r w:rsidRPr="003C411C">
        <w:rPr>
          <w:b/>
          <w:bCs/>
        </w:rPr>
        <w:t>Covered Employees</w:t>
      </w:r>
    </w:p>
    <w:p w14:paraId="5559A82E" w14:textId="77777777" w:rsidR="00834F37" w:rsidRDefault="00834F37" w:rsidP="00834F37">
      <w:pPr>
        <w:spacing w:after="10"/>
      </w:pPr>
      <w:r w:rsidRPr="00B24444">
        <w:t xml:space="preserve">Employees are eligible for PFML if they meet the income eligibility requirements for the state’s unemployment insurance program. </w:t>
      </w:r>
    </w:p>
    <w:p w14:paraId="6B95DB14" w14:textId="77777777" w:rsidR="00834F37" w:rsidRPr="008C10CF" w:rsidRDefault="00834F37" w:rsidP="00834F37">
      <w:pPr>
        <w:spacing w:after="10"/>
        <w:rPr>
          <w:b/>
          <w:bCs/>
        </w:rPr>
      </w:pPr>
      <w:r w:rsidRPr="008C10CF">
        <w:rPr>
          <w:b/>
          <w:bCs/>
        </w:rPr>
        <w:t>Leave</w:t>
      </w:r>
    </w:p>
    <w:p w14:paraId="6F027D75" w14:textId="77777777" w:rsidR="00834F37" w:rsidRPr="008C10CF" w:rsidRDefault="00834F37" w:rsidP="00834F37">
      <w:pPr>
        <w:spacing w:after="0" w:line="240" w:lineRule="auto"/>
      </w:pPr>
      <w:r w:rsidRPr="008C10CF">
        <w:t xml:space="preserve">Eligible employees receive up to 12 weeks of PFML per year for the following reasons: </w:t>
      </w:r>
    </w:p>
    <w:p w14:paraId="4D93E09F" w14:textId="77777777" w:rsidR="00834F37" w:rsidRPr="008C10CF" w:rsidRDefault="00834F37" w:rsidP="00834F37">
      <w:pPr>
        <w:pStyle w:val="Bullet"/>
        <w:spacing w:line="240" w:lineRule="auto"/>
        <w:ind w:left="648"/>
        <w:rPr>
          <w:color w:val="auto"/>
        </w:rPr>
      </w:pPr>
      <w:r w:rsidRPr="008C10CF">
        <w:rPr>
          <w:color w:val="auto"/>
        </w:rPr>
        <w:t>Child bonding (during the first year after the child’s birth, adoption or placement);</w:t>
      </w:r>
    </w:p>
    <w:p w14:paraId="3D1D1BFD" w14:textId="77777777" w:rsidR="00834F37" w:rsidRPr="008C10CF" w:rsidRDefault="00834F37" w:rsidP="00834F37">
      <w:pPr>
        <w:pStyle w:val="Bullet"/>
        <w:spacing w:line="240" w:lineRule="auto"/>
        <w:ind w:left="648"/>
        <w:rPr>
          <w:color w:val="auto"/>
        </w:rPr>
      </w:pPr>
      <w:r w:rsidRPr="008C10CF">
        <w:rPr>
          <w:color w:val="auto"/>
        </w:rPr>
        <w:t>Their employee’s own or a family member’s serious health condition;</w:t>
      </w:r>
    </w:p>
    <w:p w14:paraId="20C785CA" w14:textId="77777777" w:rsidR="00834F37" w:rsidRPr="008C10CF" w:rsidRDefault="00834F37" w:rsidP="00834F37">
      <w:pPr>
        <w:pStyle w:val="Bullet"/>
        <w:spacing w:line="240" w:lineRule="auto"/>
        <w:ind w:left="648"/>
        <w:rPr>
          <w:color w:val="auto"/>
        </w:rPr>
      </w:pPr>
      <w:r w:rsidRPr="008C10CF">
        <w:rPr>
          <w:color w:val="auto"/>
        </w:rPr>
        <w:t xml:space="preserve">Care for a military service member who is a family member; </w:t>
      </w:r>
    </w:p>
    <w:p w14:paraId="216457CC" w14:textId="77777777" w:rsidR="00834F37" w:rsidRPr="008C10CF" w:rsidRDefault="00834F37" w:rsidP="00834F37">
      <w:pPr>
        <w:pStyle w:val="Bullet"/>
        <w:spacing w:line="240" w:lineRule="auto"/>
        <w:ind w:left="648"/>
        <w:rPr>
          <w:color w:val="auto"/>
        </w:rPr>
      </w:pPr>
      <w:r w:rsidRPr="008C10CF">
        <w:rPr>
          <w:color w:val="auto"/>
        </w:rPr>
        <w:t>Military exigency (family deployment leave); and</w:t>
      </w:r>
    </w:p>
    <w:p w14:paraId="2188F68B" w14:textId="77777777" w:rsidR="00834F37" w:rsidRPr="008C10CF" w:rsidRDefault="00834F37" w:rsidP="00834F37">
      <w:pPr>
        <w:pStyle w:val="Bullet"/>
        <w:spacing w:line="276" w:lineRule="auto"/>
        <w:ind w:left="648"/>
        <w:rPr>
          <w:color w:val="auto"/>
        </w:rPr>
      </w:pPr>
      <w:r w:rsidRPr="008C10CF">
        <w:rPr>
          <w:color w:val="auto"/>
        </w:rPr>
        <w:t xml:space="preserve">Safety leave (only four weeks permitted annually of leave necessitated by domestic violence against or harassment, sexual assault or stalking of the employee or a family member). </w:t>
      </w:r>
    </w:p>
    <w:p w14:paraId="1E66E646" w14:textId="77777777" w:rsidR="00834F37" w:rsidRPr="009C2B5A" w:rsidRDefault="00834F37" w:rsidP="00834F37">
      <w:pPr>
        <w:spacing w:after="0"/>
        <w:rPr>
          <w:sz w:val="12"/>
          <w:szCs w:val="12"/>
        </w:rPr>
      </w:pPr>
    </w:p>
    <w:p w14:paraId="6C9CD29C" w14:textId="77777777" w:rsidR="00834F37" w:rsidRPr="00813E85" w:rsidRDefault="00834F37" w:rsidP="00834F37">
      <w:pPr>
        <w:rPr>
          <w:b/>
          <w:bCs/>
        </w:rPr>
      </w:pPr>
      <w:r w:rsidRPr="00B14509">
        <w:rPr>
          <w:b/>
          <w:bCs/>
          <w:highlight w:val="lightGray"/>
        </w:rPr>
        <w:t xml:space="preserve">Employer </w:t>
      </w:r>
      <w:r>
        <w:rPr>
          <w:b/>
          <w:bCs/>
          <w:highlight w:val="lightGray"/>
        </w:rPr>
        <w:t xml:space="preserve">Recap &amp; </w:t>
      </w:r>
      <w:r w:rsidRPr="00B14509">
        <w:rPr>
          <w:b/>
          <w:bCs/>
          <w:highlight w:val="lightGray"/>
        </w:rPr>
        <w:t>Takeaway</w:t>
      </w:r>
      <w:r>
        <w:rPr>
          <w:b/>
          <w:bCs/>
          <w:highlight w:val="lightGray"/>
        </w:rPr>
        <w:t>s</w:t>
      </w:r>
      <w:r w:rsidRPr="00B14509">
        <w:rPr>
          <w:b/>
          <w:bCs/>
          <w:highlight w:val="lightGray"/>
        </w:rPr>
        <w:t>:</w:t>
      </w:r>
      <w:r w:rsidRPr="00B14509">
        <w:rPr>
          <w:b/>
          <w:bCs/>
        </w:rPr>
        <w:t xml:space="preserve"> </w:t>
      </w:r>
      <w:r w:rsidRPr="00813E85">
        <w:t>ETC will continue to monitor and provide updates as well as reminders closer to the effective date of the enactment</w:t>
      </w:r>
      <w:r>
        <w:t>.</w:t>
      </w:r>
    </w:p>
    <w:p w14:paraId="574899F0" w14:textId="77777777" w:rsidR="00834F37" w:rsidRPr="007C3D0D" w:rsidRDefault="00834F37" w:rsidP="00834F37">
      <w:pPr>
        <w:rPr>
          <w:b/>
          <w:bCs/>
          <w:caps/>
          <w:color w:val="0070C0"/>
          <w:sz w:val="10"/>
          <w:szCs w:val="10"/>
        </w:rPr>
      </w:pPr>
    </w:p>
    <w:p w14:paraId="1746825A" w14:textId="0CAA2C7A" w:rsidR="00834F37" w:rsidRDefault="00834F37" w:rsidP="00834F37">
      <w:pPr>
        <w:rPr>
          <w:b/>
          <w:bCs/>
          <w:caps/>
          <w:color w:val="0070C0"/>
          <w:sz w:val="26"/>
          <w:szCs w:val="26"/>
        </w:rPr>
      </w:pPr>
      <w:r>
        <w:rPr>
          <w:b/>
          <w:bCs/>
          <w:caps/>
          <w:color w:val="0070C0"/>
          <w:sz w:val="26"/>
          <w:szCs w:val="26"/>
        </w:rPr>
        <w:t>New</w:t>
      </w:r>
      <w:r w:rsidRPr="007160FF">
        <w:rPr>
          <w:b/>
          <w:bCs/>
          <w:caps/>
          <w:color w:val="0070C0"/>
          <w:sz w:val="26"/>
          <w:szCs w:val="26"/>
        </w:rPr>
        <w:t>!</w:t>
      </w:r>
      <w:r w:rsidRPr="007160FF">
        <w:rPr>
          <w:b/>
          <w:bCs/>
          <w:caps/>
          <w:noProof/>
          <w:color w:val="0E425C"/>
          <w:sz w:val="26"/>
          <w:szCs w:val="26"/>
        </w:rPr>
        <w:t xml:space="preserve"> State Enacts Pay Transparen</w:t>
      </w:r>
      <w:r w:rsidR="00342253">
        <w:rPr>
          <w:b/>
          <w:bCs/>
          <w:caps/>
          <w:noProof/>
          <w:color w:val="0E425C"/>
          <w:sz w:val="26"/>
          <w:szCs w:val="26"/>
        </w:rPr>
        <w:t>C</w:t>
      </w:r>
      <w:r w:rsidRPr="007160FF">
        <w:rPr>
          <w:b/>
          <w:bCs/>
          <w:caps/>
          <w:noProof/>
          <w:color w:val="0E425C"/>
          <w:sz w:val="26"/>
          <w:szCs w:val="26"/>
        </w:rPr>
        <w:t xml:space="preserve">y Regulations effective </w:t>
      </w:r>
      <w:r>
        <w:rPr>
          <w:b/>
          <w:bCs/>
          <w:caps/>
          <w:color w:val="0070C0"/>
          <w:sz w:val="26"/>
          <w:szCs w:val="26"/>
        </w:rPr>
        <w:t>July 1, 2026</w:t>
      </w:r>
    </w:p>
    <w:p w14:paraId="07037B55" w14:textId="77777777" w:rsidR="00834F37" w:rsidRDefault="00834F37" w:rsidP="00834F37">
      <w:pPr>
        <w:spacing w:after="10"/>
      </w:pPr>
      <w:r w:rsidRPr="0026688A">
        <w:t>On April 22, 2026, Virginia enacted a pay transparency</w:t>
      </w:r>
      <w:r>
        <w:t xml:space="preserve"> </w:t>
      </w:r>
      <w:hyperlink r:id="rId956" w:history="1">
        <w:r w:rsidRPr="0098036B">
          <w:rPr>
            <w:rStyle w:val="Hyperlink"/>
          </w:rPr>
          <w:t>law</w:t>
        </w:r>
      </w:hyperlink>
      <w:r>
        <w:t>.</w:t>
      </w:r>
    </w:p>
    <w:p w14:paraId="2B9F2E0B" w14:textId="77777777" w:rsidR="00834F37" w:rsidRPr="00580805" w:rsidRDefault="00834F37" w:rsidP="00834F37">
      <w:pPr>
        <w:spacing w:after="10"/>
        <w:rPr>
          <w:b/>
          <w:bCs/>
        </w:rPr>
      </w:pPr>
      <w:r w:rsidRPr="00580805">
        <w:rPr>
          <w:b/>
          <w:bCs/>
        </w:rPr>
        <w:t>Overview of the New Law</w:t>
      </w:r>
    </w:p>
    <w:p w14:paraId="14B61E63" w14:textId="77777777" w:rsidR="00834F37" w:rsidRPr="0026688A" w:rsidRDefault="00834F37" w:rsidP="00834F37">
      <w:pPr>
        <w:spacing w:after="0"/>
      </w:pPr>
      <w:r w:rsidRPr="0026688A">
        <w:t>The new law prohibits employers from:</w:t>
      </w:r>
    </w:p>
    <w:p w14:paraId="29B86CE5" w14:textId="77777777" w:rsidR="00834F37" w:rsidRPr="0026688A" w:rsidRDefault="00834F37" w:rsidP="00834F37">
      <w:pPr>
        <w:pStyle w:val="Bullet"/>
        <w:spacing w:line="276" w:lineRule="auto"/>
        <w:ind w:left="648"/>
        <w:rPr>
          <w:color w:val="auto"/>
        </w:rPr>
      </w:pPr>
      <w:r w:rsidRPr="0026688A">
        <w:rPr>
          <w:color w:val="auto"/>
        </w:rPr>
        <w:t>Seeking an applicant’s wage or salary history;</w:t>
      </w:r>
    </w:p>
    <w:p w14:paraId="2336581F" w14:textId="77777777" w:rsidR="00834F37" w:rsidRPr="0026688A" w:rsidRDefault="00834F37" w:rsidP="00834F37">
      <w:pPr>
        <w:pStyle w:val="Bullet"/>
        <w:spacing w:line="276" w:lineRule="auto"/>
        <w:ind w:left="648"/>
        <w:rPr>
          <w:color w:val="auto"/>
        </w:rPr>
      </w:pPr>
      <w:r w:rsidRPr="0026688A">
        <w:rPr>
          <w:color w:val="auto"/>
        </w:rPr>
        <w:t xml:space="preserve">Relying on an applicant’s wage or salary history in considering their employment or determining the wages or salary to be paid upon hire; </w:t>
      </w:r>
    </w:p>
    <w:p w14:paraId="76DF6950" w14:textId="77777777" w:rsidR="00834F37" w:rsidRPr="0026688A" w:rsidRDefault="00834F37" w:rsidP="00834F37">
      <w:pPr>
        <w:pStyle w:val="Bullet"/>
        <w:spacing w:line="276" w:lineRule="auto"/>
        <w:ind w:left="648"/>
        <w:rPr>
          <w:color w:val="auto"/>
        </w:rPr>
      </w:pPr>
      <w:r w:rsidRPr="0026688A">
        <w:rPr>
          <w:color w:val="auto"/>
        </w:rPr>
        <w:t>Refusing to interview, hire, employ or promote, or otherwise retaliating against an applicant or employee for not providing a wage or salary history or requesting a wage or salary range;</w:t>
      </w:r>
    </w:p>
    <w:p w14:paraId="73D809E9" w14:textId="77777777" w:rsidR="00834F37" w:rsidRPr="0026688A" w:rsidRDefault="00834F37" w:rsidP="00834F37">
      <w:pPr>
        <w:pStyle w:val="Bullet"/>
        <w:spacing w:line="276" w:lineRule="auto"/>
        <w:ind w:left="648"/>
        <w:rPr>
          <w:color w:val="auto"/>
        </w:rPr>
      </w:pPr>
      <w:r w:rsidRPr="0026688A">
        <w:rPr>
          <w:color w:val="auto"/>
        </w:rPr>
        <w:t>Failing or refusing to disclose the wage, salary, or wage or salary range in each public and internal posting for each job, promotion, transfer or other employment opportunity; or</w:t>
      </w:r>
    </w:p>
    <w:p w14:paraId="4201268E" w14:textId="77777777" w:rsidR="00834F37" w:rsidRDefault="00834F37" w:rsidP="00834F37">
      <w:pPr>
        <w:pStyle w:val="Bullet"/>
        <w:spacing w:line="276" w:lineRule="auto"/>
        <w:ind w:left="648"/>
        <w:rPr>
          <w:color w:val="auto"/>
        </w:rPr>
      </w:pPr>
      <w:r w:rsidRPr="0026688A">
        <w:rPr>
          <w:color w:val="auto"/>
        </w:rPr>
        <w:t>Failing to set a wage or salary range in good faith.</w:t>
      </w:r>
    </w:p>
    <w:p w14:paraId="4130F99E" w14:textId="77777777" w:rsidR="00834F37" w:rsidRPr="00580805" w:rsidRDefault="00834F37" w:rsidP="00834F37">
      <w:pPr>
        <w:pStyle w:val="Bullet"/>
        <w:numPr>
          <w:ilvl w:val="0"/>
          <w:numId w:val="0"/>
        </w:numPr>
        <w:spacing w:line="276" w:lineRule="auto"/>
        <w:rPr>
          <w:b/>
          <w:bCs/>
          <w:color w:val="auto"/>
        </w:rPr>
      </w:pPr>
      <w:r w:rsidRPr="00580805">
        <w:rPr>
          <w:b/>
          <w:bCs/>
          <w:color w:val="auto"/>
        </w:rPr>
        <w:t xml:space="preserve">Penalties </w:t>
      </w:r>
    </w:p>
    <w:p w14:paraId="0EE4E8AF" w14:textId="77777777" w:rsidR="00834F37" w:rsidRPr="003D68F2" w:rsidRDefault="00834F37" w:rsidP="00834F37">
      <w:r w:rsidRPr="003D68F2">
        <w:t xml:space="preserve">The attorney general may bring a civil action to enforce the law. Employers may be subject to a civil penalty of up to $1,000 for the first violation and up to $5,000 for any subsequent violation and other appropriate relief. Aggrieved individuals may also bring a civil action under the law, but only after providing written notice of the violation to the employer and allowing the employer </w:t>
      </w:r>
      <w:r w:rsidRPr="003D68F2">
        <w:rPr>
          <w:b/>
          <w:bCs/>
        </w:rPr>
        <w:t xml:space="preserve">15 business days </w:t>
      </w:r>
      <w:r w:rsidRPr="003D68F2">
        <w:t>to correct the violation.</w:t>
      </w:r>
    </w:p>
    <w:p w14:paraId="7EBF4395" w14:textId="77777777" w:rsidR="00834F37" w:rsidRDefault="00834F37" w:rsidP="00834F37">
      <w:pPr>
        <w:rPr>
          <w:rFonts w:eastAsia="Times New Roman" w:cs="Arial"/>
          <w:szCs w:val="20"/>
        </w:rPr>
      </w:pPr>
      <w:r w:rsidRPr="0026688A">
        <w:rPr>
          <w:b/>
          <w:bCs/>
          <w:highlight w:val="lightGray"/>
        </w:rPr>
        <w:t>Employer Takeaway:</w:t>
      </w:r>
      <w:r w:rsidRPr="007C1FB5">
        <w:rPr>
          <w:rFonts w:eastAsia="Times New Roman" w:cs="Arial"/>
          <w:szCs w:val="20"/>
        </w:rPr>
        <w:t xml:space="preserve"> Employers with employees in Virginia are encouraged to review </w:t>
      </w:r>
      <w:r>
        <w:rPr>
          <w:rFonts w:eastAsia="Times New Roman" w:cs="Arial"/>
          <w:szCs w:val="20"/>
        </w:rPr>
        <w:t>and</w:t>
      </w:r>
      <w:r w:rsidRPr="007C1FB5">
        <w:rPr>
          <w:rFonts w:eastAsia="Times New Roman" w:cs="Arial"/>
          <w:szCs w:val="20"/>
        </w:rPr>
        <w:t xml:space="preserve"> update job postings</w:t>
      </w:r>
      <w:r>
        <w:rPr>
          <w:rFonts w:eastAsia="Times New Roman" w:cs="Arial"/>
          <w:szCs w:val="20"/>
        </w:rPr>
        <w:t>, establish compensation methodologies for determining pay ranges for positions and ensuring interviewing parties are aware of the new regulations.</w:t>
      </w:r>
    </w:p>
    <w:p w14:paraId="0A90AC4F" w14:textId="77777777" w:rsidR="00834F37" w:rsidRPr="00580805" w:rsidRDefault="00834F37" w:rsidP="00834F37">
      <w:pPr>
        <w:rPr>
          <w:b/>
          <w:bCs/>
          <w:highlight w:val="lightGray"/>
        </w:rPr>
      </w:pPr>
    </w:p>
    <w:p w14:paraId="6B2F0BDE" w14:textId="77777777" w:rsidR="00834F37" w:rsidRDefault="00834F37" w:rsidP="00834F37">
      <w:pPr>
        <w:rPr>
          <w:b/>
          <w:bCs/>
          <w:caps/>
          <w:color w:val="0070C0"/>
          <w:sz w:val="26"/>
          <w:szCs w:val="26"/>
        </w:rPr>
      </w:pPr>
      <w:r w:rsidRPr="00010461">
        <w:rPr>
          <w:b/>
          <w:bCs/>
          <w:caps/>
          <w:color w:val="0070C0"/>
          <w:sz w:val="26"/>
          <w:szCs w:val="26"/>
        </w:rPr>
        <w:t>New!</w:t>
      </w:r>
      <w:r>
        <w:rPr>
          <w:b/>
          <w:bCs/>
          <w:caps/>
          <w:color w:val="0070C0"/>
          <w:sz w:val="26"/>
          <w:szCs w:val="26"/>
        </w:rPr>
        <w:t xml:space="preserve"> </w:t>
      </w:r>
      <w:r w:rsidRPr="007D4E6B">
        <w:rPr>
          <w:b/>
          <w:bCs/>
          <w:caps/>
          <w:noProof/>
          <w:color w:val="0E425C"/>
          <w:sz w:val="26"/>
          <w:szCs w:val="26"/>
        </w:rPr>
        <w:t>State Amends Human Rights Act Effective</w:t>
      </w:r>
      <w:r>
        <w:rPr>
          <w:b/>
          <w:bCs/>
          <w:caps/>
          <w:color w:val="0070C0"/>
          <w:sz w:val="26"/>
          <w:szCs w:val="26"/>
        </w:rPr>
        <w:t xml:space="preserve"> July 1, 2026</w:t>
      </w:r>
    </w:p>
    <w:p w14:paraId="06E73432" w14:textId="77777777" w:rsidR="00834F37" w:rsidRPr="00FF245D" w:rsidRDefault="00834F37" w:rsidP="00834F37">
      <w:r w:rsidRPr="0000495B">
        <w:t>On April 13, 2026, Virginia</w:t>
      </w:r>
      <w:r>
        <w:t xml:space="preserve"> </w:t>
      </w:r>
      <w:hyperlink r:id="rId957" w:history="1">
        <w:r w:rsidRPr="00BB1FAF">
          <w:rPr>
            <w:rStyle w:val="Hyperlink"/>
          </w:rPr>
          <w:t>amended</w:t>
        </w:r>
      </w:hyperlink>
      <w:r>
        <w:t xml:space="preserve"> </w:t>
      </w:r>
      <w:r w:rsidRPr="0000495B">
        <w:t xml:space="preserve">the Virginia Human Rights Act (VHRA) to expand the employers covered by the law and extend the statute of limitations for filing a complaint of unlawful discrimination. </w:t>
      </w:r>
    </w:p>
    <w:p w14:paraId="6ECA0F0B" w14:textId="77777777" w:rsidR="00834F37" w:rsidRDefault="00834F37" w:rsidP="00834F37">
      <w:r w:rsidRPr="00C57FF7">
        <w:rPr>
          <w:b/>
          <w:bCs/>
          <w:highlight w:val="lightGray"/>
        </w:rPr>
        <w:t>Employer Takeaway:</w:t>
      </w:r>
      <w:r w:rsidRPr="00C57FF7">
        <w:rPr>
          <w:b/>
          <w:bCs/>
        </w:rPr>
        <w:t xml:space="preserve"> </w:t>
      </w:r>
      <w:r w:rsidRPr="0000495B">
        <w:t>With the new, lowered threshold, employers who were not previously covered by the VHRA may now be covered. Employers are encouraged to review and ensure compliance with the applicable obligations.</w:t>
      </w:r>
    </w:p>
    <w:p w14:paraId="58B011A1" w14:textId="77777777" w:rsidR="00834F37" w:rsidRPr="008A1229" w:rsidRDefault="00834F37" w:rsidP="00834F37">
      <w:pPr>
        <w:rPr>
          <w:b/>
          <w:bCs/>
          <w:i/>
          <w:iCs/>
        </w:rPr>
      </w:pPr>
      <w:r w:rsidRPr="008A1229">
        <w:rPr>
          <w:b/>
          <w:bCs/>
          <w:i/>
          <w:iCs/>
        </w:rPr>
        <w:t>Covered Employers, as amended</w:t>
      </w:r>
    </w:p>
    <w:p w14:paraId="75A13868" w14:textId="77777777" w:rsidR="00834F37" w:rsidRPr="008A1229" w:rsidRDefault="00834F37" w:rsidP="00834F37">
      <w:r w:rsidRPr="008A1229">
        <w:t xml:space="preserve">The VHRA’s provisions on employment discrimination will apply to employers with </w:t>
      </w:r>
      <w:r w:rsidRPr="008A1229">
        <w:rPr>
          <w:b/>
          <w:bCs/>
        </w:rPr>
        <w:t xml:space="preserve">5 or more employees </w:t>
      </w:r>
      <w:r w:rsidRPr="008A1229">
        <w:t xml:space="preserve">for each working day in each of 20 or more calendar weeks in the current or preceding calendar year and any agent of such person, or one or more domestic workers. </w:t>
      </w:r>
    </w:p>
    <w:p w14:paraId="44FDF5B4" w14:textId="77777777" w:rsidR="00834F37" w:rsidRPr="008A1229" w:rsidRDefault="00834F37" w:rsidP="00834F37">
      <w:pPr>
        <w:rPr>
          <w:b/>
          <w:bCs/>
          <w:i/>
          <w:iCs/>
        </w:rPr>
      </w:pPr>
      <w:r w:rsidRPr="008A1229">
        <w:rPr>
          <w:b/>
          <w:bCs/>
          <w:i/>
          <w:iCs/>
        </w:rPr>
        <w:t>Statute of Limitations, as amended</w:t>
      </w:r>
    </w:p>
    <w:p w14:paraId="5DC7C10C" w14:textId="77777777" w:rsidR="00834F37" w:rsidRDefault="00834F37" w:rsidP="00834F37">
      <w:r>
        <w:t>I</w:t>
      </w:r>
      <w:r w:rsidRPr="008A1229">
        <w:t xml:space="preserve">ndividuals alleging a violation of the VHRA may file a claim with the VOCR within </w:t>
      </w:r>
      <w:r>
        <w:rPr>
          <w:b/>
          <w:bCs/>
        </w:rPr>
        <w:t>2</w:t>
      </w:r>
      <w:r w:rsidRPr="008A1229">
        <w:rPr>
          <w:b/>
          <w:bCs/>
        </w:rPr>
        <w:t xml:space="preserve"> years </w:t>
      </w:r>
      <w:r w:rsidRPr="008A1229">
        <w:t>of the alleged violation.</w:t>
      </w:r>
    </w:p>
    <w:p w14:paraId="5345CE36" w14:textId="77777777" w:rsidR="00834F37" w:rsidRPr="007C3D0D" w:rsidRDefault="00834F37" w:rsidP="00834F37">
      <w:pPr>
        <w:rPr>
          <w:sz w:val="10"/>
          <w:szCs w:val="10"/>
        </w:rPr>
      </w:pPr>
    </w:p>
    <w:p w14:paraId="3804DA30" w14:textId="77777777" w:rsidR="00834F37" w:rsidRPr="008A1229" w:rsidRDefault="00834F37" w:rsidP="00834F37">
      <w:r w:rsidRPr="00693CD3">
        <w:rPr>
          <w:b/>
          <w:bCs/>
          <w:caps/>
          <w:color w:val="0070C0"/>
          <w:sz w:val="26"/>
          <w:szCs w:val="26"/>
        </w:rPr>
        <w:t xml:space="preserve">New! </w:t>
      </w:r>
      <w:r w:rsidRPr="00693CD3">
        <w:rPr>
          <w:b/>
          <w:bCs/>
          <w:caps/>
          <w:noProof/>
          <w:color w:val="0E425C"/>
          <w:sz w:val="26"/>
          <w:szCs w:val="26"/>
        </w:rPr>
        <w:t>State Passes Emergency Responder Leave Effective</w:t>
      </w:r>
      <w:r>
        <w:t xml:space="preserve"> </w:t>
      </w:r>
      <w:r w:rsidRPr="00693CD3">
        <w:rPr>
          <w:b/>
          <w:bCs/>
          <w:caps/>
          <w:color w:val="0070C0"/>
          <w:sz w:val="26"/>
          <w:szCs w:val="26"/>
        </w:rPr>
        <w:t>July 1, 2026</w:t>
      </w:r>
    </w:p>
    <w:p w14:paraId="2D3344D9" w14:textId="77777777" w:rsidR="00834F37" w:rsidRPr="007A0654" w:rsidRDefault="00834F37" w:rsidP="00834F37">
      <w:r w:rsidRPr="009F650A">
        <w:t>Virginia employers will be required to provide unpaid leave for employees acting as volunteer emergency responders starting on July 1.  Ahead of the effective date ETC will release an updated State Handbook Addendum for employer adoption and distribution to Virginia employees.</w:t>
      </w:r>
    </w:p>
    <w:p w14:paraId="22E4F168" w14:textId="77777777" w:rsidR="00834F37" w:rsidRPr="000E17BD" w:rsidRDefault="00834F37" w:rsidP="00834F37">
      <w:pPr>
        <w:rPr>
          <w:b/>
          <w:bCs/>
          <w:caps/>
          <w:color w:val="0070C0"/>
          <w:sz w:val="10"/>
          <w:szCs w:val="10"/>
        </w:rPr>
      </w:pPr>
    </w:p>
    <w:p w14:paraId="440DDB94" w14:textId="77777777" w:rsidR="00834F37" w:rsidRDefault="00834F37" w:rsidP="00834F37">
      <w:pPr>
        <w:rPr>
          <w:b/>
          <w:bCs/>
          <w:caps/>
          <w:noProof/>
          <w:color w:val="0E425C"/>
          <w:sz w:val="28"/>
          <w:szCs w:val="28"/>
        </w:rPr>
      </w:pPr>
      <w:r w:rsidRPr="00750794">
        <w:rPr>
          <w:b/>
          <w:bCs/>
          <w:caps/>
          <w:color w:val="0070C0"/>
          <w:sz w:val="26"/>
          <w:szCs w:val="26"/>
        </w:rPr>
        <w:t xml:space="preserve">New! </w:t>
      </w:r>
      <w:r w:rsidRPr="00750794">
        <w:rPr>
          <w:b/>
          <w:bCs/>
          <w:caps/>
          <w:noProof/>
          <w:color w:val="0E425C"/>
          <w:sz w:val="26"/>
          <w:szCs w:val="26"/>
        </w:rPr>
        <w:t>State Requires Severance Benefits for Noncompetes effective</w:t>
      </w:r>
      <w:r>
        <w:rPr>
          <w:b/>
          <w:bCs/>
          <w:caps/>
          <w:noProof/>
          <w:color w:val="0E425C"/>
          <w:sz w:val="28"/>
          <w:szCs w:val="28"/>
        </w:rPr>
        <w:t xml:space="preserve"> </w:t>
      </w:r>
      <w:r w:rsidRPr="00750794">
        <w:rPr>
          <w:b/>
          <w:bCs/>
          <w:caps/>
          <w:color w:val="0070C0"/>
          <w:sz w:val="26"/>
          <w:szCs w:val="26"/>
        </w:rPr>
        <w:t>July 1, 2026</w:t>
      </w:r>
    </w:p>
    <w:p w14:paraId="62AD8A77" w14:textId="77777777" w:rsidR="00834F37" w:rsidRDefault="00834F37" w:rsidP="00834F37">
      <w:r w:rsidRPr="001621EF">
        <w:t>On April 13, 2026, Virginia passed a new</w:t>
      </w:r>
      <w:r>
        <w:t xml:space="preserve"> </w:t>
      </w:r>
      <w:hyperlink r:id="rId958" w:history="1">
        <w:r w:rsidRPr="00CA282F">
          <w:rPr>
            <w:rStyle w:val="Hyperlink"/>
          </w:rPr>
          <w:t>law</w:t>
        </w:r>
      </w:hyperlink>
      <w:r>
        <w:t xml:space="preserve"> </w:t>
      </w:r>
      <w:r w:rsidRPr="001621EF">
        <w:t>that will require employers to provide severance in connection with any noncompete agreements.</w:t>
      </w:r>
    </w:p>
    <w:p w14:paraId="36A5DEEF" w14:textId="77777777" w:rsidR="00834F37" w:rsidRDefault="00834F37" w:rsidP="00834F37">
      <w:r w:rsidRPr="00C57FF7">
        <w:rPr>
          <w:b/>
          <w:bCs/>
          <w:highlight w:val="lightGray"/>
        </w:rPr>
        <w:t>Employer Takeaway:</w:t>
      </w:r>
      <w:r>
        <w:rPr>
          <w:b/>
          <w:bCs/>
        </w:rPr>
        <w:t xml:space="preserve"> </w:t>
      </w:r>
      <w:r w:rsidRPr="00E956C9">
        <w:t xml:space="preserve">Employers should ensure that noncompete agreements entered into, amended or renewed on or after July 1, 2026, provide severance or other monetary benefits upon a termination other than for cause. </w:t>
      </w:r>
    </w:p>
    <w:p w14:paraId="1466394A" w14:textId="77777777" w:rsidR="00834F37" w:rsidRPr="00A53F3B" w:rsidRDefault="00834F37" w:rsidP="00834F37">
      <w:pPr>
        <w:rPr>
          <w:b/>
          <w:bCs/>
        </w:rPr>
      </w:pPr>
      <w:r>
        <w:rPr>
          <w:b/>
          <w:bCs/>
        </w:rPr>
        <w:t>Overview of Change</w:t>
      </w:r>
    </w:p>
    <w:p w14:paraId="30B083C8" w14:textId="77777777" w:rsidR="00834F37" w:rsidRPr="00AA6C6B" w:rsidRDefault="00834F37">
      <w:pPr>
        <w:pStyle w:val="ListParagraph"/>
        <w:numPr>
          <w:ilvl w:val="0"/>
          <w:numId w:val="338"/>
        </w:numPr>
        <w:spacing w:after="100" w:line="276" w:lineRule="auto"/>
      </w:pPr>
      <w:r w:rsidRPr="00AA6C6B">
        <w:t>Currently, Virginia prohibits employers from entering into noncompete agreements with employee</w:t>
      </w:r>
      <w:r w:rsidRPr="00AA6C6B">
        <w:rPr>
          <w:u w:val="single"/>
        </w:rPr>
        <w:t>s who earn less than the current average weekly wage</w:t>
      </w:r>
      <w:r w:rsidRPr="00AA6C6B">
        <w:t xml:space="preserve"> in Virginia </w:t>
      </w:r>
      <w:r w:rsidRPr="00AA6C6B">
        <w:rPr>
          <w:u w:val="single"/>
        </w:rPr>
        <w:t>or</w:t>
      </w:r>
      <w:r w:rsidRPr="00AA6C6B">
        <w:t xml:space="preserve"> who are </w:t>
      </w:r>
      <w:r w:rsidRPr="00AA6C6B">
        <w:rPr>
          <w:u w:val="single"/>
        </w:rPr>
        <w:t>classified as nonexempt</w:t>
      </w:r>
      <w:r w:rsidRPr="00AA6C6B">
        <w:t xml:space="preserve"> from the Fair Labor Standards Act’s overtime pay requirements. </w:t>
      </w:r>
    </w:p>
    <w:p w14:paraId="7EBC5676" w14:textId="77777777" w:rsidR="00834F37" w:rsidRPr="00FF55F1" w:rsidRDefault="00834F37">
      <w:pPr>
        <w:pStyle w:val="ListParagraph"/>
        <w:numPr>
          <w:ilvl w:val="0"/>
          <w:numId w:val="338"/>
        </w:numPr>
        <w:spacing w:after="100" w:line="276" w:lineRule="auto"/>
      </w:pPr>
      <w:r w:rsidRPr="00FF55F1">
        <w:t xml:space="preserve">Under the new law, noncompete agreements entered into, amended or renewed on or after July 1, 2026, will be unenforceable if the employer does not provide severance benefits or other monetary payment upon termination (other than a termination for cause). The severance benefits or other monetary payment must be disclosed upon execution of the noncompete agreement. </w:t>
      </w:r>
    </w:p>
    <w:p w14:paraId="1A4DDFA9" w14:textId="77777777" w:rsidR="00834F37" w:rsidRDefault="00834F37">
      <w:pPr>
        <w:pStyle w:val="ListParagraph"/>
        <w:numPr>
          <w:ilvl w:val="0"/>
          <w:numId w:val="338"/>
        </w:numPr>
        <w:spacing w:after="100" w:line="276" w:lineRule="auto"/>
      </w:pPr>
      <w:r w:rsidRPr="00FF55F1">
        <w:t xml:space="preserve">The law does </w:t>
      </w:r>
      <w:r w:rsidRPr="00235EA8">
        <w:rPr>
          <w:i/>
          <w:iCs/>
        </w:rPr>
        <w:t>not</w:t>
      </w:r>
      <w:r w:rsidRPr="00FF55F1">
        <w:t xml:space="preserve"> define severance benefits or other monetary payments or what may constitute a termination for cause.</w:t>
      </w:r>
    </w:p>
    <w:p w14:paraId="388A145C" w14:textId="77777777" w:rsidR="00834F37" w:rsidRDefault="00834F37">
      <w:pPr>
        <w:pStyle w:val="ListParagraph"/>
        <w:numPr>
          <w:ilvl w:val="0"/>
          <w:numId w:val="338"/>
        </w:numPr>
        <w:spacing w:after="100" w:line="276" w:lineRule="auto"/>
      </w:pPr>
      <w:r w:rsidRPr="004D4FB4">
        <w:rPr>
          <w:b/>
          <w:bCs/>
        </w:rPr>
        <w:t xml:space="preserve">Violation Penalties: </w:t>
      </w:r>
      <w:r w:rsidRPr="004D4FB4">
        <w:t xml:space="preserve">Under Virginia’s noncompete ban, employees may bring a private right of action against an employer who attempts to enforce a prohibited noncompete. Courts may void any unenforceable noncompete and order all appropriate relief, including injunctive relief, liquidated damages, lost compensation, damages, and reasonable attorney fees and costs. In addition, violations may result in a civil penalty of $10,000 per violation.  </w:t>
      </w:r>
    </w:p>
    <w:p w14:paraId="243BEF94" w14:textId="77777777" w:rsidR="00834F37" w:rsidRPr="004A791E" w:rsidRDefault="00834F37" w:rsidP="00834F37">
      <w:pPr>
        <w:pStyle w:val="ListParagraph"/>
        <w:rPr>
          <w:sz w:val="12"/>
          <w:szCs w:val="12"/>
        </w:rPr>
      </w:pPr>
    </w:p>
    <w:p w14:paraId="2A62D8A8" w14:textId="77777777" w:rsidR="00834F37" w:rsidRDefault="00834F37" w:rsidP="00834F37">
      <w:pPr>
        <w:pStyle w:val="ListParagraph"/>
        <w:ind w:left="0"/>
        <w:rPr>
          <w:b/>
          <w:bCs/>
          <w:caps/>
          <w:color w:val="0070C0"/>
          <w:sz w:val="26"/>
          <w:szCs w:val="26"/>
        </w:rPr>
      </w:pPr>
    </w:p>
    <w:p w14:paraId="2D1E8158" w14:textId="77777777" w:rsidR="00834F37" w:rsidRDefault="00834F37" w:rsidP="00834F37">
      <w:pPr>
        <w:pStyle w:val="ListParagraph"/>
        <w:ind w:left="0"/>
        <w:rPr>
          <w:b/>
          <w:bCs/>
          <w:caps/>
          <w:color w:val="0070C0"/>
          <w:sz w:val="26"/>
          <w:szCs w:val="26"/>
        </w:rPr>
      </w:pPr>
      <w:r>
        <w:rPr>
          <w:b/>
          <w:bCs/>
          <w:caps/>
          <w:color w:val="0070C0"/>
          <w:sz w:val="26"/>
          <w:szCs w:val="26"/>
        </w:rPr>
        <w:t xml:space="preserve">New! </w:t>
      </w:r>
      <w:r w:rsidRPr="0022263E">
        <w:rPr>
          <w:b/>
          <w:bCs/>
          <w:caps/>
          <w:noProof/>
          <w:color w:val="0E425C"/>
          <w:sz w:val="26"/>
          <w:szCs w:val="26"/>
        </w:rPr>
        <w:t xml:space="preserve">StATe Enacts </w:t>
      </w:r>
      <w:r>
        <w:rPr>
          <w:b/>
          <w:bCs/>
          <w:caps/>
          <w:noProof/>
          <w:color w:val="0E425C"/>
          <w:sz w:val="26"/>
          <w:szCs w:val="26"/>
        </w:rPr>
        <w:t xml:space="preserve">NEW </w:t>
      </w:r>
      <w:r w:rsidRPr="0022263E">
        <w:rPr>
          <w:b/>
          <w:bCs/>
          <w:caps/>
          <w:noProof/>
          <w:color w:val="0E425C"/>
          <w:sz w:val="26"/>
          <w:szCs w:val="26"/>
        </w:rPr>
        <w:t>Hospital-specific Workplace Violence Reporting Requirements Effective</w:t>
      </w:r>
      <w:r>
        <w:rPr>
          <w:b/>
          <w:bCs/>
          <w:caps/>
          <w:color w:val="0070C0"/>
          <w:sz w:val="26"/>
          <w:szCs w:val="26"/>
        </w:rPr>
        <w:t xml:space="preserve"> JUly 1, 2026</w:t>
      </w:r>
    </w:p>
    <w:p w14:paraId="0654DE6B" w14:textId="77777777" w:rsidR="00834F37" w:rsidRPr="00060D3B" w:rsidRDefault="00834F37" w:rsidP="00834F37">
      <w:r w:rsidRPr="00060D3B">
        <w:t>On April 6, 2026, Gov. Abigail Spanberger enacted</w:t>
      </w:r>
      <w:r w:rsidRPr="00AA1175">
        <w:t> </w:t>
      </w:r>
      <w:hyperlink r:id="rId959" w:history="1">
        <w:r w:rsidRPr="00AA1175">
          <w:rPr>
            <w:rStyle w:val="Hyperlink"/>
          </w:rPr>
          <w:t>House Bill 1489</w:t>
        </w:r>
      </w:hyperlink>
      <w:r>
        <w:t xml:space="preserve"> </w:t>
      </w:r>
      <w:r w:rsidRPr="00060D3B">
        <w:t xml:space="preserve">(HB1489), which expands and clarifies workplace violence reporting requirements for hospitals with emergency departments. </w:t>
      </w:r>
    </w:p>
    <w:p w14:paraId="00E5735C" w14:textId="77777777" w:rsidR="00834F37" w:rsidRPr="00060D3B" w:rsidRDefault="00834F37">
      <w:pPr>
        <w:pStyle w:val="ListParagraph"/>
        <w:numPr>
          <w:ilvl w:val="0"/>
          <w:numId w:val="339"/>
        </w:numPr>
        <w:spacing w:after="100" w:line="276" w:lineRule="auto"/>
      </w:pPr>
      <w:r w:rsidRPr="00060D3B">
        <w:t xml:space="preserve">HB1489 goes into effect July 1, 2026 </w:t>
      </w:r>
    </w:p>
    <w:p w14:paraId="7D8744A5" w14:textId="77777777" w:rsidR="00834F37" w:rsidRPr="00060D3B" w:rsidRDefault="00834F37">
      <w:pPr>
        <w:pStyle w:val="ListParagraph"/>
        <w:numPr>
          <w:ilvl w:val="0"/>
          <w:numId w:val="339"/>
        </w:numPr>
        <w:spacing w:after="100" w:line="276" w:lineRule="auto"/>
      </w:pPr>
      <w:r w:rsidRPr="00060D3B">
        <w:t xml:space="preserve">Regulations from the Virginia Department of Health (Department) are to be issued by January 1, 2027 </w:t>
      </w:r>
    </w:p>
    <w:p w14:paraId="49615EEF" w14:textId="77777777" w:rsidR="00834F37" w:rsidRPr="00060D3B" w:rsidRDefault="00834F37" w:rsidP="00834F37">
      <w:r w:rsidRPr="00060D3B">
        <w:t xml:space="preserve">Prior to the enactment of HB1489, </w:t>
      </w:r>
      <w:r w:rsidRPr="00633388">
        <w:rPr>
          <w:b/>
          <w:bCs/>
        </w:rPr>
        <w:t>Virginia already required certain hospitals to implement workplace violence prevention measures</w:t>
      </w:r>
      <w:r w:rsidRPr="00060D3B">
        <w:t xml:space="preserve">, including: </w:t>
      </w:r>
    </w:p>
    <w:p w14:paraId="3783D8E8" w14:textId="77777777" w:rsidR="00834F37" w:rsidRPr="00060D3B" w:rsidRDefault="00834F37" w:rsidP="00834F37">
      <w:pPr>
        <w:pStyle w:val="Bullet"/>
        <w:spacing w:after="80"/>
        <w:ind w:left="648"/>
        <w:rPr>
          <w:color w:val="auto"/>
        </w:rPr>
      </w:pPr>
      <w:r w:rsidRPr="00060D3B">
        <w:rPr>
          <w:color w:val="auto"/>
        </w:rPr>
        <w:t xml:space="preserve">Maintaining an incident reporting system; </w:t>
      </w:r>
    </w:p>
    <w:p w14:paraId="58250D34" w14:textId="77777777" w:rsidR="00834F37" w:rsidRPr="00060D3B" w:rsidRDefault="00834F37" w:rsidP="00834F37">
      <w:pPr>
        <w:pStyle w:val="Bullet"/>
        <w:spacing w:after="80"/>
        <w:ind w:left="648"/>
        <w:rPr>
          <w:color w:val="auto"/>
        </w:rPr>
      </w:pPr>
      <w:r w:rsidRPr="00060D3B">
        <w:rPr>
          <w:color w:val="auto"/>
        </w:rPr>
        <w:t xml:space="preserve">Adopting anti-retaliation protections for employees; and </w:t>
      </w:r>
    </w:p>
    <w:p w14:paraId="20786453" w14:textId="77777777" w:rsidR="00834F37" w:rsidRPr="00060D3B" w:rsidRDefault="00834F37" w:rsidP="00834F37">
      <w:pPr>
        <w:pStyle w:val="Bullet"/>
        <w:spacing w:after="80"/>
        <w:ind w:left="648"/>
        <w:rPr>
          <w:color w:val="auto"/>
        </w:rPr>
      </w:pPr>
      <w:r w:rsidRPr="00060D3B">
        <w:rPr>
          <w:color w:val="auto"/>
        </w:rPr>
        <w:t xml:space="preserve">Establishing security plans based on facility-specific risk assessments. </w:t>
      </w:r>
    </w:p>
    <w:p w14:paraId="45AD953A" w14:textId="77777777" w:rsidR="00834F37" w:rsidRPr="00060D3B" w:rsidRDefault="00834F37" w:rsidP="00834F37">
      <w:pPr>
        <w:rPr>
          <w:b/>
        </w:rPr>
      </w:pPr>
      <w:r w:rsidRPr="00060D3B">
        <w:t xml:space="preserve">Hospitals were also expected to provide workforce training on violence prevention, de-escalation techniques and risk identification. HB1489 builds on this existing framework by expanding the scope, specificity and reporting requirements associated with workplace violence incidents while reinforcing confidentiality protections and increasing transparency at the state level. </w:t>
      </w:r>
    </w:p>
    <w:p w14:paraId="2F429A14" w14:textId="77777777" w:rsidR="00834F37" w:rsidRDefault="00834F37" w:rsidP="00834F37">
      <w:r w:rsidRPr="00633388">
        <w:rPr>
          <w:b/>
          <w:bCs/>
        </w:rPr>
        <w:t>HB1489 expands</w:t>
      </w:r>
      <w:r w:rsidRPr="00060D3B">
        <w:t xml:space="preserve"> confidentiality protections for health-related records and related operational data. While such records remain exempt from mandatory disclosure, the new law permits the release of aggregate or statistical information provided that all personally identifiable information is removed. </w:t>
      </w:r>
    </w:p>
    <w:p w14:paraId="291DBA19" w14:textId="77777777" w:rsidR="00834F37" w:rsidRPr="00060D3B" w:rsidRDefault="00834F37" w:rsidP="00834F37">
      <w:r w:rsidRPr="00060D3B">
        <w:t xml:space="preserve">Newly emphasized protected categories include: </w:t>
      </w:r>
    </w:p>
    <w:p w14:paraId="747919D6" w14:textId="77777777" w:rsidR="00834F37" w:rsidRPr="00060D3B" w:rsidRDefault="00834F37" w:rsidP="00834F37">
      <w:pPr>
        <w:pStyle w:val="Bullet"/>
        <w:spacing w:after="80"/>
        <w:ind w:left="648"/>
        <w:rPr>
          <w:color w:val="auto"/>
        </w:rPr>
      </w:pPr>
      <w:r w:rsidRPr="00060D3B">
        <w:rPr>
          <w:color w:val="auto"/>
        </w:rPr>
        <w:t xml:space="preserve">Workplace violence data; and </w:t>
      </w:r>
    </w:p>
    <w:p w14:paraId="64E10EE4" w14:textId="77777777" w:rsidR="00834F37" w:rsidRPr="00060D3B" w:rsidRDefault="00834F37" w:rsidP="00834F37">
      <w:pPr>
        <w:pStyle w:val="Bullet"/>
        <w:spacing w:after="80"/>
        <w:ind w:left="648"/>
        <w:rPr>
          <w:color w:val="auto"/>
        </w:rPr>
      </w:pPr>
      <w:r w:rsidRPr="00060D3B">
        <w:rPr>
          <w:color w:val="auto"/>
        </w:rPr>
        <w:t>Other sensitive facility-level information collected for regulatory purposes.</w:t>
      </w:r>
    </w:p>
    <w:p w14:paraId="29052D40" w14:textId="77777777" w:rsidR="00834F37" w:rsidRPr="00060D3B" w:rsidRDefault="00834F37" w:rsidP="00834F37">
      <w:r w:rsidRPr="00060D3B">
        <w:t xml:space="preserve">Hospitals with emergency departments are now required to maintain detailed records of all reported workplace violence incidents for a minimum of two years. Each record must include: </w:t>
      </w:r>
    </w:p>
    <w:p w14:paraId="46A5C3B8" w14:textId="77777777" w:rsidR="00834F37" w:rsidRPr="00060D3B" w:rsidRDefault="00834F37" w:rsidP="00834F37">
      <w:pPr>
        <w:pStyle w:val="Bullet"/>
        <w:spacing w:after="80"/>
        <w:ind w:left="648"/>
        <w:rPr>
          <w:color w:val="auto"/>
        </w:rPr>
      </w:pPr>
      <w:r w:rsidRPr="00060D3B">
        <w:rPr>
          <w:color w:val="auto"/>
        </w:rPr>
        <w:t xml:space="preserve">Specific information, such as the date and time of the incident; </w:t>
      </w:r>
    </w:p>
    <w:p w14:paraId="60525105" w14:textId="77777777" w:rsidR="00834F37" w:rsidRPr="00060D3B" w:rsidRDefault="00834F37" w:rsidP="00834F37">
      <w:pPr>
        <w:pStyle w:val="Bullet"/>
        <w:spacing w:after="80"/>
        <w:ind w:left="648"/>
        <w:rPr>
          <w:color w:val="auto"/>
        </w:rPr>
      </w:pPr>
      <w:r w:rsidRPr="00060D3B">
        <w:rPr>
          <w:color w:val="auto"/>
        </w:rPr>
        <w:t xml:space="preserve">A description of the event; and </w:t>
      </w:r>
    </w:p>
    <w:p w14:paraId="50FB0B3A" w14:textId="77777777" w:rsidR="00834F37" w:rsidRPr="00060D3B" w:rsidRDefault="00834F37" w:rsidP="00834F37">
      <w:pPr>
        <w:pStyle w:val="Bullet"/>
        <w:spacing w:after="80"/>
        <w:ind w:left="648"/>
        <w:rPr>
          <w:color w:val="auto"/>
        </w:rPr>
      </w:pPr>
      <w:r w:rsidRPr="00060D3B">
        <w:rPr>
          <w:color w:val="auto"/>
        </w:rPr>
        <w:t xml:space="preserve">The job category of the affected employee. </w:t>
      </w:r>
    </w:p>
    <w:p w14:paraId="49EA84D0" w14:textId="77777777" w:rsidR="00834F37" w:rsidRPr="00060D3B" w:rsidRDefault="00834F37" w:rsidP="00834F37">
      <w:r w:rsidRPr="00060D3B">
        <w:t>The record must also identify the type of perpetrator involved, including whether the individual was a patient, visitor, employee or another party, as well as the location category where the incident occurred.</w:t>
      </w:r>
    </w:p>
    <w:p w14:paraId="44F60A1C" w14:textId="77777777" w:rsidR="00834F37" w:rsidRPr="00060D3B" w:rsidRDefault="00834F37" w:rsidP="00834F37">
      <w:r w:rsidRPr="00060D3B">
        <w:t xml:space="preserve">HB1489 further requires classification of the type of incident, including whether it involved physical assault with or without a weapon, threats of violence, sexual assault or threats thereof, or other forms of harmful conduct. Hospitals must also document the outcome of each incident, including: </w:t>
      </w:r>
    </w:p>
    <w:p w14:paraId="2DEEB940" w14:textId="77777777" w:rsidR="00834F37" w:rsidRPr="00060D3B" w:rsidRDefault="00834F37" w:rsidP="00834F37">
      <w:pPr>
        <w:pStyle w:val="Bullet"/>
        <w:spacing w:after="80"/>
        <w:ind w:left="648"/>
        <w:rPr>
          <w:color w:val="auto"/>
        </w:rPr>
      </w:pPr>
      <w:r w:rsidRPr="00060D3B">
        <w:rPr>
          <w:color w:val="auto"/>
        </w:rPr>
        <w:t>The severity of any staff injuries using standardized categories ranging from no injury to fatality; and</w:t>
      </w:r>
    </w:p>
    <w:p w14:paraId="3A45A75D" w14:textId="77777777" w:rsidR="00834F37" w:rsidRPr="00060D3B" w:rsidRDefault="00834F37" w:rsidP="00834F37">
      <w:pPr>
        <w:pStyle w:val="Bullet"/>
        <w:spacing w:after="80"/>
        <w:ind w:left="648"/>
        <w:rPr>
          <w:color w:val="auto"/>
        </w:rPr>
      </w:pPr>
      <w:r w:rsidRPr="00060D3B">
        <w:rPr>
          <w:color w:val="auto"/>
        </w:rPr>
        <w:t>Any involvement of law enforcement or security personnel.</w:t>
      </w:r>
    </w:p>
    <w:p w14:paraId="1D326FD5" w14:textId="77777777" w:rsidR="00834F37" w:rsidRPr="00060D3B" w:rsidRDefault="00834F37" w:rsidP="00834F37">
      <w:r w:rsidRPr="00060D3B">
        <w:t>Beyond recordkeeping, hospitals are required to report aggregated workplace violence data internally to senior leadership, including executive and clinical leadership, at least quarterly. On an annual basis, hospitals must submit aggregated, de-identified data to the Department, including a statement indicating whether any policy changes were implemented in response to those incidents. All submitted data is confidential and exempt from public disclosure under the Virginia Freedom of Information Act.</w:t>
      </w:r>
    </w:p>
    <w:p w14:paraId="32F8F813" w14:textId="77777777" w:rsidR="00834F37" w:rsidRPr="004A791E" w:rsidRDefault="00834F37" w:rsidP="00834F37">
      <w:r w:rsidRPr="00060D3B">
        <w:t>At the state level, the Department is required to aggregate the data by health planning region, remove any personally identifiable information and publish an annual report summarizing workplace violence trends. The first report is required to be issued no later than Dec. 31, 2027. The Department is required to promulgate regulations implementing these provisions by Jan. 1, 2027.</w:t>
      </w:r>
    </w:p>
    <w:p w14:paraId="1451C580" w14:textId="77777777" w:rsidR="00834F37" w:rsidRPr="000E17BD" w:rsidRDefault="00834F37" w:rsidP="00834F37">
      <w:pPr>
        <w:pStyle w:val="ListParagraph"/>
        <w:ind w:left="0"/>
        <w:rPr>
          <w:b/>
          <w:bCs/>
          <w:caps/>
          <w:color w:val="0070C0"/>
          <w:sz w:val="10"/>
          <w:szCs w:val="10"/>
        </w:rPr>
      </w:pPr>
    </w:p>
    <w:p w14:paraId="201275C0" w14:textId="77777777" w:rsidR="00834F37" w:rsidRPr="00620B89" w:rsidRDefault="00834F37" w:rsidP="00834F37">
      <w:pPr>
        <w:pStyle w:val="ListParagraph"/>
        <w:ind w:left="0"/>
        <w:rPr>
          <w:b/>
          <w:bCs/>
          <w:caps/>
          <w:noProof/>
          <w:color w:val="0E425C"/>
          <w:sz w:val="28"/>
          <w:szCs w:val="28"/>
        </w:rPr>
      </w:pPr>
      <w:r w:rsidRPr="0008010A">
        <w:rPr>
          <w:b/>
          <w:bCs/>
          <w:caps/>
          <w:color w:val="0070C0"/>
          <w:sz w:val="26"/>
          <w:szCs w:val="26"/>
        </w:rPr>
        <w:t xml:space="preserve">New! </w:t>
      </w:r>
      <w:r w:rsidRPr="0008010A">
        <w:rPr>
          <w:b/>
          <w:bCs/>
          <w:caps/>
          <w:noProof/>
          <w:color w:val="0E425C"/>
          <w:sz w:val="26"/>
          <w:szCs w:val="26"/>
        </w:rPr>
        <w:t>State Mandates</w:t>
      </w:r>
      <w:r>
        <w:rPr>
          <w:b/>
          <w:bCs/>
          <w:caps/>
          <w:noProof/>
          <w:color w:val="0E425C"/>
          <w:sz w:val="26"/>
          <w:szCs w:val="26"/>
        </w:rPr>
        <w:t xml:space="preserve"> New Workplace Heat Illness Prevention Standards </w:t>
      </w:r>
    </w:p>
    <w:p w14:paraId="7F3C0DB4" w14:textId="77777777" w:rsidR="00834F37" w:rsidRPr="008524C7" w:rsidRDefault="00834F37" w:rsidP="00834F37">
      <w:r w:rsidRPr="008524C7">
        <w:t xml:space="preserve">On April 13, 2026, Gov. Abagail Spanberger enacted </w:t>
      </w:r>
      <w:hyperlink r:id="rId960" w:history="1">
        <w:r w:rsidRPr="008524C7">
          <w:rPr>
            <w:rStyle w:val="Hyperlink"/>
          </w:rPr>
          <w:t>SB 288</w:t>
        </w:r>
      </w:hyperlink>
      <w:r w:rsidRPr="008524C7">
        <w:t>, requiring the Safety and Health Codes Board (Board) to develop standards governing indoor and outdoor workplace heat illness prevention that will apply to employers and may carry implications for insurers.</w:t>
      </w:r>
      <w:r>
        <w:t xml:space="preserve"> </w:t>
      </w:r>
      <w:r w:rsidRPr="008524C7">
        <w:t>The law applies to employers subject to Virginia OSHA (VOSH) jurisdiction and covers employees, independent contractors and other workers whose working conditions are controlled by such employers.</w:t>
      </w:r>
    </w:p>
    <w:p w14:paraId="3DE6B31E" w14:textId="77777777" w:rsidR="00834F37" w:rsidRPr="008524C7" w:rsidRDefault="00834F37" w:rsidP="00834F37">
      <w:r w:rsidRPr="008524C7">
        <w:t>The regulations adopted under SB 288 will be enforced through existing VOSH enforcement mechanisms, including inspections, citations and potential civil penalties for noncompliance.</w:t>
      </w:r>
    </w:p>
    <w:p w14:paraId="56726222" w14:textId="77777777" w:rsidR="00834F37" w:rsidRDefault="00834F37" w:rsidP="00834F37">
      <w:r w:rsidRPr="008524C7">
        <w:t xml:space="preserve">Finally, the Board is required to develop these regulations in consultation with the Virginia Department of Labor and Industry and to consider existing standards and guidance from federal and state occupational safety agencies and professional organizations. The rulemaking process must also include input from an advisory panel composed of employee advocates and representatives from agriculture and business industries and public institutions of higher education. </w:t>
      </w:r>
    </w:p>
    <w:p w14:paraId="7D2BA331" w14:textId="77777777" w:rsidR="00834F37" w:rsidRPr="008524C7" w:rsidRDefault="00834F37" w:rsidP="00834F37">
      <w:r w:rsidRPr="008524C7">
        <w:t>SB 288 requires the Board to create these enforceable standards by May 1, 2028.</w:t>
      </w:r>
    </w:p>
    <w:p w14:paraId="0E207DC6" w14:textId="77777777" w:rsidR="00834F37" w:rsidRPr="0046311C" w:rsidRDefault="00834F37" w:rsidP="00834F37">
      <w:pPr>
        <w:rPr>
          <w:b/>
          <w:bCs/>
        </w:rPr>
      </w:pPr>
      <w:r w:rsidRPr="008524C7">
        <w:rPr>
          <w:b/>
          <w:bCs/>
        </w:rPr>
        <w:t xml:space="preserve">Employer </w:t>
      </w:r>
      <w:r>
        <w:rPr>
          <w:b/>
          <w:bCs/>
        </w:rPr>
        <w:t xml:space="preserve">Takeaway: </w:t>
      </w:r>
      <w:r w:rsidRPr="0046311C">
        <w:t xml:space="preserve">Applicable, covered </w:t>
      </w:r>
      <w:r>
        <w:t>e</w:t>
      </w:r>
      <w:r w:rsidRPr="008524C7">
        <w:t xml:space="preserve">mployers should also closely monitor ongoing rulemaking and related legal developments to stay informed of evolving obligations and be prepared to implement any new standards adopted by the Board.  </w:t>
      </w:r>
    </w:p>
    <w:p w14:paraId="0F85C8DC" w14:textId="77777777" w:rsidR="00834F37" w:rsidRPr="00F50723" w:rsidRDefault="00834F37" w:rsidP="00834F37"/>
    <w:p w14:paraId="1A774EAE" w14:textId="77777777" w:rsidR="00834F37" w:rsidRPr="008524C7" w:rsidRDefault="00834F37" w:rsidP="00834F37">
      <w:pPr>
        <w:rPr>
          <w:b/>
          <w:bCs/>
          <w:caps/>
          <w:noProof/>
          <w:color w:val="0E425C"/>
          <w:sz w:val="26"/>
          <w:szCs w:val="26"/>
        </w:rPr>
      </w:pPr>
      <w:r w:rsidRPr="008524C7">
        <w:rPr>
          <w:b/>
          <w:bCs/>
          <w:caps/>
          <w:color w:val="0070C0"/>
          <w:sz w:val="26"/>
          <w:szCs w:val="26"/>
        </w:rPr>
        <w:t xml:space="preserve">New! </w:t>
      </w:r>
      <w:r w:rsidRPr="008524C7">
        <w:rPr>
          <w:b/>
          <w:bCs/>
          <w:caps/>
          <w:noProof/>
          <w:color w:val="0E425C"/>
          <w:sz w:val="26"/>
          <w:szCs w:val="26"/>
        </w:rPr>
        <w:t>State Expands Wage Payment &amp; MIsclassification Penalties Effective</w:t>
      </w:r>
      <w:r w:rsidRPr="008524C7">
        <w:rPr>
          <w:b/>
          <w:bCs/>
          <w:caps/>
          <w:color w:val="0070C0"/>
          <w:sz w:val="26"/>
          <w:szCs w:val="26"/>
        </w:rPr>
        <w:t xml:space="preserve"> JUly 1, 2026</w:t>
      </w:r>
    </w:p>
    <w:p w14:paraId="6E1229DF" w14:textId="77777777" w:rsidR="00834F37" w:rsidRPr="008524C7" w:rsidRDefault="00834F37" w:rsidP="00834F37">
      <w:r w:rsidRPr="00551910">
        <w:t xml:space="preserve">Virginia’s </w:t>
      </w:r>
      <w:hyperlink r:id="rId961" w:history="1">
        <w:r w:rsidRPr="008524C7">
          <w:rPr>
            <w:rStyle w:val="Hyperlink"/>
          </w:rPr>
          <w:t>House Bill (HB) 238</w:t>
        </w:r>
      </w:hyperlink>
      <w:r w:rsidRPr="008524C7">
        <w:t xml:space="preserve"> </w:t>
      </w:r>
      <w:r w:rsidRPr="00551910">
        <w:t>allows employees to bring civil actions for violations of the state’s laws regarding minimum wage, overtime, worker classification and prevailing wages. The bill also strengthens the Virginia Department of Labor and Industry’s (DOLI) investigative powers.</w:t>
      </w:r>
    </w:p>
    <w:p w14:paraId="49DD46D9" w14:textId="77777777" w:rsidR="00834F37" w:rsidRPr="00551910" w:rsidRDefault="00834F37" w:rsidP="00834F37">
      <w:pPr>
        <w:pStyle w:val="Heading3"/>
        <w:rPr>
          <w:b/>
          <w:bCs/>
          <w:color w:val="auto"/>
        </w:rPr>
      </w:pPr>
      <w:r w:rsidRPr="00551910">
        <w:rPr>
          <w:b/>
          <w:bCs/>
          <w:color w:val="auto"/>
        </w:rPr>
        <w:t>Expanded Definition of Wages</w:t>
      </w:r>
    </w:p>
    <w:p w14:paraId="48F3CFF8" w14:textId="77777777" w:rsidR="00834F37" w:rsidRPr="00551910" w:rsidRDefault="00834F37" w:rsidP="00834F37">
      <w:r w:rsidRPr="00551910">
        <w:t>The law modifies the definition of “wages” to include damages owed to misclassified workers and, as a result, treats misclassification claims as wage claims for enforcement and remedy purposes. Under HB 238,</w:t>
      </w:r>
      <w:r w:rsidRPr="00551910">
        <w:rPr>
          <w:b/>
          <w:bCs/>
        </w:rPr>
        <w:t xml:space="preserve"> wages</w:t>
      </w:r>
      <w:r w:rsidRPr="00551910">
        <w:t xml:space="preserve"> include any remuneration an employer owes to an employee, including hourly wages, minimum wages, piece-rate wages, day rates, salaries, overtime wages, legally required prevailing wages, commissions, tips, bonuses and damages available for the misclassification of an employee.</w:t>
      </w:r>
    </w:p>
    <w:p w14:paraId="4C7E2E77" w14:textId="77777777" w:rsidR="00834F37" w:rsidRPr="00551910" w:rsidRDefault="00834F37" w:rsidP="00834F37">
      <w:pPr>
        <w:pStyle w:val="Heading3"/>
        <w:rPr>
          <w:b/>
          <w:bCs/>
          <w:color w:val="auto"/>
        </w:rPr>
      </w:pPr>
      <w:r w:rsidRPr="00551910">
        <w:rPr>
          <w:b/>
          <w:bCs/>
          <w:color w:val="auto"/>
        </w:rPr>
        <w:t>Worker Misclassification</w:t>
      </w:r>
    </w:p>
    <w:p w14:paraId="1FC96F1D" w14:textId="77777777" w:rsidR="00834F37" w:rsidRPr="00F50723" w:rsidRDefault="00834F37" w:rsidP="00834F37">
      <w:r w:rsidRPr="00F50723">
        <w:t xml:space="preserve">Under existing Virginia law, individuals who have not been properly classified as employees may bring a civil action for damages if the employer had knowledge of the misclassification. In such actions, the court may award damages in the amount of any wages, salary, employment benefits, other lost compensation and reasonable attorney fees and costs. </w:t>
      </w:r>
    </w:p>
    <w:p w14:paraId="0DB863E2" w14:textId="77777777" w:rsidR="00834F37" w:rsidRPr="00F50723" w:rsidRDefault="00834F37" w:rsidP="00834F37">
      <w:r w:rsidRPr="00F50723">
        <w:t>Under the new law, successful worker misclassification claims trigger the full remedies available under Virginia’s wage and hour laws, including unpaid wages, liquidated damages, prejudgment interest, and reasonable attorney fees and costs. If the court finds that the employer knowingly failed to pay wages to an employee, the court will award the employee an amount equal to three times the amount of wages due.</w:t>
      </w:r>
    </w:p>
    <w:p w14:paraId="75DC9F5A" w14:textId="77777777" w:rsidR="00834F37" w:rsidRPr="00F50723" w:rsidRDefault="00834F37" w:rsidP="00834F37">
      <w:r w:rsidRPr="00F50723">
        <w:t>Civil actions for misclassification must be brought within three years.</w:t>
      </w:r>
    </w:p>
    <w:p w14:paraId="2BDA4020" w14:textId="77777777" w:rsidR="00834F37" w:rsidRPr="008524C7" w:rsidRDefault="00834F37" w:rsidP="00834F37">
      <w:r w:rsidRPr="00F50723">
        <w:rPr>
          <w:b/>
          <w:bCs/>
          <w:highlight w:val="lightGray"/>
        </w:rPr>
        <w:t>Employer Takeaway:</w:t>
      </w:r>
      <w:r w:rsidRPr="00F50723">
        <w:rPr>
          <w:b/>
          <w:bCs/>
        </w:rPr>
        <w:t xml:space="preserve"> </w:t>
      </w:r>
      <w:r w:rsidRPr="00F50723">
        <w:t>Virginia employers should review and update their wage and hour policies and procedures to ensure compliance with the new law by the law’s effective date.</w:t>
      </w:r>
    </w:p>
    <w:p w14:paraId="59F14FC6" w14:textId="77777777" w:rsidR="00834F37" w:rsidRDefault="00834F37" w:rsidP="0095107A">
      <w:pPr>
        <w:spacing w:after="0" w:line="240" w:lineRule="auto"/>
        <w:jc w:val="center"/>
        <w:rPr>
          <w:rFonts w:ascii="Calibri" w:hAnsi="Calibri" w:cs="Calibri"/>
          <w:b/>
          <w:bCs/>
          <w:sz w:val="28"/>
          <w:szCs w:val="28"/>
          <w:shd w:val="clear" w:color="auto" w:fill="FFFFFF"/>
        </w:rPr>
      </w:pPr>
    </w:p>
    <w:p w14:paraId="47A428E9" w14:textId="0B9E7B6A" w:rsidR="0095107A" w:rsidRPr="00DD7BD1" w:rsidRDefault="0095107A" w:rsidP="0095107A">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7FC250AD" w14:textId="77777777" w:rsidR="0095107A" w:rsidRPr="00DD7BD1" w:rsidRDefault="0095107A" w:rsidP="0095107A">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Virginia’s minimum wage will increase to $12.77 per hour. The minimum base wage for tipped employees remains at $2.13 per hour.</w:t>
      </w:r>
    </w:p>
    <w:p w14:paraId="4AEB8041" w14:textId="77777777" w:rsidR="0095107A" w:rsidRPr="00DD7BD1" w:rsidRDefault="00C4571D" w:rsidP="0095107A">
      <w:pPr>
        <w:spacing w:after="0" w:line="240" w:lineRule="auto"/>
        <w:jc w:val="both"/>
        <w:rPr>
          <w:rFonts w:ascii="Calibri" w:hAnsi="Calibri" w:cs="Calibri"/>
          <w:b/>
          <w:bCs/>
          <w:shd w:val="clear" w:color="auto" w:fill="FFFFFF"/>
          <w:lang w:val="en"/>
        </w:rPr>
      </w:pPr>
      <w:r w:rsidRPr="00DD7BD1">
        <w:rPr>
          <w:rFonts w:ascii="Calibri" w:hAnsi="Calibri" w:cs="Calibri"/>
          <w:b/>
          <w:bCs/>
          <w:sz w:val="28"/>
          <w:szCs w:val="28"/>
          <w:shd w:val="clear" w:color="auto" w:fill="FFFFFF"/>
          <w:lang w:val="en"/>
        </w:rPr>
        <w:tab/>
      </w:r>
      <w:bookmarkStart w:id="146" w:name="_Hlk213075317"/>
    </w:p>
    <w:p w14:paraId="601EB2B5" w14:textId="20F0A4B5" w:rsidR="00C4571D" w:rsidRPr="00DD7BD1" w:rsidRDefault="00C4571D" w:rsidP="0095107A">
      <w:pPr>
        <w:spacing w:after="0" w:line="240" w:lineRule="auto"/>
        <w:jc w:val="both"/>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New Penalties for Failure to Respond to VEC Unemployment Claims – </w:t>
      </w:r>
      <w:r w:rsidRPr="00DD7BD1">
        <w:rPr>
          <w:rFonts w:ascii="Calibri" w:hAnsi="Calibri" w:cs="Calibri"/>
          <w:b/>
          <w:bCs/>
          <w:color w:val="C00000"/>
          <w:sz w:val="28"/>
          <w:szCs w:val="28"/>
          <w:shd w:val="clear" w:color="auto" w:fill="FFFFFF"/>
        </w:rPr>
        <w:t>July 1, 2025</w:t>
      </w:r>
      <w:bookmarkEnd w:id="146"/>
    </w:p>
    <w:p w14:paraId="3BD1E5B2" w14:textId="33CCBE00"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 Below, we explain the changes to the law and concrete steps for employers to take.</w:t>
      </w:r>
    </w:p>
    <w:p w14:paraId="032DB73C" w14:textId="77777777" w:rsidR="00C4571D" w:rsidRPr="00DD7BD1" w:rsidRDefault="00C4571D" w:rsidP="00C4571D">
      <w:pPr>
        <w:spacing w:after="0" w:line="240" w:lineRule="auto"/>
        <w:jc w:val="both"/>
        <w:rPr>
          <w:rFonts w:ascii="Calibri" w:hAnsi="Calibri" w:cs="Calibri"/>
          <w:b/>
          <w:bCs/>
          <w:w w:val="110"/>
        </w:rPr>
      </w:pPr>
    </w:p>
    <w:p w14:paraId="7E65C450" w14:textId="72215102" w:rsidR="00C4571D" w:rsidRPr="00DD7BD1" w:rsidRDefault="00C4571D" w:rsidP="00C4571D">
      <w:pPr>
        <w:spacing w:after="0" w:line="240" w:lineRule="auto"/>
        <w:jc w:val="both"/>
        <w:rPr>
          <w:rFonts w:ascii="Calibri" w:hAnsi="Calibri" w:cs="Calibri"/>
          <w:b/>
          <w:bCs/>
          <w:w w:val="110"/>
        </w:rPr>
      </w:pPr>
      <w:r w:rsidRPr="00DD7BD1">
        <w:rPr>
          <w:rFonts w:ascii="Calibri" w:hAnsi="Calibri" w:cs="Calibri"/>
          <w:b/>
          <w:bCs/>
          <w:w w:val="110"/>
        </w:rPr>
        <w:t>Increased Penalties for Failure to Respond to VEC.</w:t>
      </w:r>
    </w:p>
    <w:p w14:paraId="4373998A" w14:textId="4E8F37A8" w:rsidR="00C4571D" w:rsidRPr="00DD7BD1" w:rsidRDefault="00C4571D" w:rsidP="00C4571D">
      <w:pPr>
        <w:spacing w:after="0" w:line="240" w:lineRule="auto"/>
        <w:jc w:val="both"/>
        <w:rPr>
          <w:rFonts w:ascii="Calibri" w:hAnsi="Calibri" w:cs="Calibri"/>
          <w:w w:val="110"/>
        </w:rPr>
      </w:pPr>
      <w:hyperlink r:id="rId962" w:tgtFrame="_blank" w:history="1">
        <w:r w:rsidRPr="00DD7BD1">
          <w:rPr>
            <w:rStyle w:val="Hyperlink"/>
            <w:rFonts w:ascii="Calibri" w:hAnsi="Calibri" w:cs="Calibri"/>
            <w:w w:val="110"/>
          </w:rPr>
          <w:t>Virginia Code § 60.2</w:t>
        </w:r>
        <w:r w:rsidRPr="00DD7BD1">
          <w:rPr>
            <w:rStyle w:val="Hyperlink"/>
            <w:rFonts w:ascii="Calibri" w:hAnsi="Calibri" w:cs="Calibri"/>
            <w:w w:val="110"/>
          </w:rPr>
          <w:noBreakHyphen/>
          <w:t>528.1</w:t>
        </w:r>
      </w:hyperlink>
      <w:r w:rsidRPr="00DD7BD1">
        <w:rPr>
          <w:rFonts w:ascii="Calibri" w:hAnsi="Calibri" w:cs="Calibri"/>
          <w:w w:val="110"/>
        </w:rPr>
        <w:t xml:space="preserve"> requires employers to “adequately” respond to VEC requests for information regarding unemployment benefits within 10 calendar days of delivery. A response is “adequate” if it provides sufficient and accurate information for the VEC to make a decision on a claim for benefits, such as whether the employee was fired for cause. </w:t>
      </w:r>
    </w:p>
    <w:p w14:paraId="73AE3A8C" w14:textId="77777777" w:rsidR="00C4571D" w:rsidRPr="00DD7BD1" w:rsidRDefault="00C4571D" w:rsidP="00C4571D">
      <w:pPr>
        <w:spacing w:after="0" w:line="240" w:lineRule="auto"/>
        <w:jc w:val="both"/>
        <w:rPr>
          <w:rFonts w:ascii="Calibri" w:hAnsi="Calibri" w:cs="Calibri"/>
          <w:w w:val="110"/>
        </w:rPr>
      </w:pPr>
    </w:p>
    <w:p w14:paraId="44D60BAA" w14:textId="0BDB35DE"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 VEC employs a more severe three-tiered system:</w:t>
      </w:r>
    </w:p>
    <w:p w14:paraId="628A4C00"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First failure</w:t>
      </w:r>
      <w:r w:rsidRPr="00DD7BD1">
        <w:rPr>
          <w:rFonts w:ascii="Calibri" w:hAnsi="Calibri" w:cs="Calibri"/>
          <w:w w:val="110"/>
        </w:rPr>
        <w:t>: the employer receives a warning letter</w:t>
      </w:r>
    </w:p>
    <w:p w14:paraId="6E9294A2"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Second failure</w:t>
      </w:r>
      <w:r w:rsidRPr="00DD7BD1">
        <w:rPr>
          <w:rFonts w:ascii="Calibri" w:hAnsi="Calibri" w:cs="Calibri"/>
          <w:w w:val="110"/>
        </w:rPr>
        <w:t>: the employer is assessed an increased civil penalty of </w:t>
      </w:r>
      <w:r w:rsidRPr="00DD7BD1">
        <w:rPr>
          <w:rFonts w:ascii="Calibri" w:hAnsi="Calibri" w:cs="Calibri"/>
          <w:b/>
          <w:bCs/>
          <w:w w:val="110"/>
        </w:rPr>
        <w:t>$100</w:t>
      </w:r>
    </w:p>
    <w:p w14:paraId="7147CED1" w14:textId="00D6B802"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Third (or additional) failure</w:t>
      </w:r>
      <w:r w:rsidRPr="00DD7BD1">
        <w:rPr>
          <w:rFonts w:ascii="Calibri" w:hAnsi="Calibri" w:cs="Calibri"/>
          <w:w w:val="110"/>
        </w:rPr>
        <w:t>: the employer </w:t>
      </w:r>
      <w:r w:rsidRPr="00DD7BD1">
        <w:rPr>
          <w:rFonts w:ascii="Calibri" w:hAnsi="Calibri" w:cs="Calibri"/>
          <w:b/>
          <w:bCs/>
          <w:w w:val="110"/>
        </w:rPr>
        <w:t>loses its appeal rights</w:t>
      </w:r>
      <w:r w:rsidRPr="00DD7BD1">
        <w:rPr>
          <w:rFonts w:ascii="Calibri" w:hAnsi="Calibri" w:cs="Calibri"/>
          <w:w w:val="110"/>
        </w:rPr>
        <w:t> to the decision </w:t>
      </w:r>
      <w:r w:rsidRPr="00DD7BD1">
        <w:rPr>
          <w:rFonts w:ascii="Calibri" w:hAnsi="Calibri" w:cs="Calibri"/>
          <w:b/>
          <w:bCs/>
          <w:w w:val="110"/>
        </w:rPr>
        <w:t>and</w:t>
      </w:r>
      <w:r w:rsidRPr="00DD7BD1">
        <w:rPr>
          <w:rFonts w:ascii="Calibri" w:hAnsi="Calibri" w:cs="Calibri"/>
          <w:w w:val="110"/>
        </w:rPr>
        <w:t> will not be credited for any overpayment resulting from the decision’</w:t>
      </w:r>
    </w:p>
    <w:p w14:paraId="3B57FF5B" w14:textId="77777777" w:rsidR="00C4571D" w:rsidRPr="00DD7BD1" w:rsidRDefault="00C4571D" w:rsidP="00C4571D">
      <w:pPr>
        <w:spacing w:after="0" w:line="240" w:lineRule="auto"/>
        <w:jc w:val="both"/>
        <w:rPr>
          <w:rFonts w:ascii="Calibri" w:hAnsi="Calibri" w:cs="Calibri"/>
          <w:w w:val="110"/>
        </w:rPr>
      </w:pPr>
    </w:p>
    <w:p w14:paraId="343032C6" w14:textId="7E0906D4"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These determinations remain in effect for the duration of the VEC “review period,” which is a four-year span ending on the June 30 before the VEC’s next yearly recalculation of the employer’s benefit charges.</w:t>
      </w:r>
    </w:p>
    <w:p w14:paraId="7AE28A21" w14:textId="5FDA20ED" w:rsidR="00C4571D" w:rsidRPr="00DD7BD1" w:rsidRDefault="00C4571D" w:rsidP="00C4571D">
      <w:pPr>
        <w:spacing w:after="0" w:line="240" w:lineRule="auto"/>
        <w:jc w:val="both"/>
        <w:rPr>
          <w:rFonts w:ascii="Calibri" w:hAnsi="Calibri" w:cs="Calibri"/>
          <w:w w:val="110"/>
        </w:rPr>
      </w:pPr>
      <w:r w:rsidRPr="00DD7BD1">
        <w:rPr>
          <w:rFonts w:ascii="Calibri" w:hAnsi="Calibri" w:cs="Calibri"/>
          <w:b/>
          <w:bCs/>
          <w:w w:val="110"/>
          <w:highlight w:val="lightGray"/>
        </w:rPr>
        <w:t>Employer Takeaway:</w:t>
      </w:r>
      <w:r w:rsidRPr="00DD7BD1">
        <w:rPr>
          <w:rFonts w:ascii="Calibri" w:hAnsi="Calibri" w:cs="Calibri"/>
          <w:w w:val="110"/>
        </w:rPr>
        <w:t xml:space="preserve"> Employers should be mindful and provide timely responses to the VEC regarding unemployment claims.  Employers are offered the option to respond either electronically, by fax, or by mail. More information can be found on the </w:t>
      </w:r>
      <w:hyperlink r:id="rId963" w:tgtFrame="_blank" w:history="1">
        <w:r w:rsidRPr="00DD7BD1">
          <w:rPr>
            <w:rStyle w:val="Hyperlink"/>
            <w:rFonts w:ascii="Calibri" w:hAnsi="Calibri" w:cs="Calibri"/>
            <w:w w:val="110"/>
          </w:rPr>
          <w:t>VEC website</w:t>
        </w:r>
      </w:hyperlink>
      <w:r w:rsidRPr="00DD7BD1">
        <w:rPr>
          <w:rFonts w:ascii="Calibri" w:hAnsi="Calibri" w:cs="Calibri"/>
          <w:w w:val="110"/>
        </w:rPr>
        <w:t>.</w:t>
      </w:r>
    </w:p>
    <w:p w14:paraId="6CEC2307" w14:textId="77777777" w:rsidR="00C4571D" w:rsidRPr="00DD7BD1" w:rsidRDefault="00C4571D" w:rsidP="00C4571D">
      <w:pPr>
        <w:spacing w:after="0" w:line="240" w:lineRule="auto"/>
        <w:jc w:val="center"/>
        <w:rPr>
          <w:rFonts w:ascii="Calibri" w:hAnsi="Calibri" w:cs="Calibri"/>
          <w:b/>
          <w:bCs/>
          <w:shd w:val="clear" w:color="auto" w:fill="FFFFFF"/>
          <w:lang w:val="en"/>
        </w:rPr>
      </w:pPr>
    </w:p>
    <w:p w14:paraId="571841D5" w14:textId="2465B561" w:rsidR="00264A05" w:rsidRPr="00DD7BD1" w:rsidRDefault="00264A05" w:rsidP="00C4571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Healthcare Workplace Violence Incident Reporting Requirements – </w:t>
      </w:r>
      <w:r w:rsidRPr="00DD7BD1">
        <w:rPr>
          <w:rFonts w:ascii="Calibri" w:hAnsi="Calibri" w:cs="Calibri"/>
          <w:b/>
          <w:bCs/>
          <w:color w:val="C00000"/>
          <w:sz w:val="28"/>
          <w:szCs w:val="28"/>
          <w:shd w:val="clear" w:color="auto" w:fill="FFFFFF"/>
          <w:lang w:val="en"/>
        </w:rPr>
        <w:t>Eff July 1, 2025</w:t>
      </w:r>
    </w:p>
    <w:p w14:paraId="68ED2478" w14:textId="2961FBA5" w:rsidR="00264A05" w:rsidRPr="00DD7BD1" w:rsidRDefault="00264A05" w:rsidP="00264A05">
      <w:pPr>
        <w:rPr>
          <w:rFonts w:ascii="Calibri" w:hAnsi="Calibri" w:cs="Calibri"/>
        </w:rPr>
      </w:pPr>
      <w:r w:rsidRPr="00DD7BD1">
        <w:rPr>
          <w:rFonts w:ascii="Calibri" w:hAnsi="Calibri" w:cs="Calibri"/>
        </w:rPr>
        <w:t xml:space="preserve">Starting July 1, 2025, Virginia will require health care employers to implement a workplace violence incident reporting system under </w:t>
      </w:r>
      <w:hyperlink r:id="rId964" w:history="1">
        <w:r w:rsidRPr="00DD7BD1">
          <w:rPr>
            <w:rStyle w:val="Hyperlink"/>
            <w:rFonts w:ascii="Calibri" w:hAnsi="Calibri" w:cs="Calibri"/>
          </w:rPr>
          <w:t>VA Code § 31.1-127</w:t>
        </w:r>
      </w:hyperlink>
      <w:r w:rsidRPr="00DD7BD1">
        <w:rPr>
          <w:rFonts w:ascii="Calibri" w:hAnsi="Calibri" w:cs="Calibri"/>
        </w:rPr>
        <w:t xml:space="preserve">. These incident reporting systems will document, track and analyze any incident of workplace violence that has been reported. </w:t>
      </w:r>
    </w:p>
    <w:p w14:paraId="608AD5BF" w14:textId="062A8CA3" w:rsidR="00264A05" w:rsidRPr="00DD7BD1" w:rsidRDefault="00264A05" w:rsidP="00264A05">
      <w:pPr>
        <w:rPr>
          <w:rFonts w:ascii="Calibri" w:hAnsi="Calibri" w:cs="Calibri"/>
        </w:rPr>
      </w:pPr>
      <w:r w:rsidRPr="00DD7BD1">
        <w:rPr>
          <w:rFonts w:ascii="Calibri" w:hAnsi="Calibri" w:cs="Calibri"/>
        </w:rPr>
        <w:t xml:space="preserve">The law was enacted to analyze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DD7BD1" w:rsidRDefault="00264A05">
      <w:pPr>
        <w:pStyle w:val="ListParagraph"/>
        <w:numPr>
          <w:ilvl w:val="1"/>
          <w:numId w:val="182"/>
        </w:numPr>
        <w:spacing w:after="0" w:line="240" w:lineRule="auto"/>
        <w:ind w:left="630"/>
        <w:rPr>
          <w:rFonts w:ascii="Calibri" w:hAnsi="Calibri" w:cs="Calibri"/>
        </w:rPr>
      </w:pPr>
      <w:r w:rsidRPr="00DD7BD1">
        <w:rPr>
          <w:rFonts w:ascii="Calibri" w:hAnsi="Calibri" w:cs="Calibri"/>
        </w:rPr>
        <w:t xml:space="preserve">Employers must have their workplace violence reporting systems in effect by July 1, 2025.  </w:t>
      </w:r>
    </w:p>
    <w:p w14:paraId="59222BF2" w14:textId="77777777" w:rsidR="00264A05" w:rsidRPr="00DD7BD1" w:rsidRDefault="00264A05">
      <w:pPr>
        <w:pStyle w:val="ListParagraph"/>
        <w:numPr>
          <w:ilvl w:val="1"/>
          <w:numId w:val="182"/>
        </w:numPr>
        <w:spacing w:after="0" w:line="240" w:lineRule="auto"/>
        <w:ind w:left="630"/>
        <w:rPr>
          <w:rFonts w:ascii="Calibri" w:hAnsi="Calibri" w:cs="Calibri"/>
          <w:b/>
          <w:bCs/>
        </w:rPr>
      </w:pPr>
      <w:r w:rsidRPr="00DD7BD1">
        <w:rPr>
          <w:rFonts w:ascii="Calibri" w:hAnsi="Calibri" w:cs="Calibri"/>
        </w:rPr>
        <w:t xml:space="preserve">Hospitals must start reporting to the Department of Health annually the number of incidents of workplace violence voluntarily reported by an employee by </w:t>
      </w:r>
      <w:r w:rsidRPr="00DD7BD1">
        <w:rPr>
          <w:rFonts w:ascii="Calibri" w:hAnsi="Calibri" w:cs="Calibri"/>
          <w:color w:val="C00000"/>
        </w:rPr>
        <w:t>July 1, 202</w:t>
      </w:r>
      <w:r w:rsidRPr="00DD7BD1">
        <w:rPr>
          <w:rFonts w:ascii="Calibri" w:hAnsi="Calibri" w:cs="Calibri"/>
          <w:color w:val="C00000"/>
          <w:u w:val="single"/>
        </w:rPr>
        <w:t>6</w:t>
      </w:r>
    </w:p>
    <w:p w14:paraId="0EFCD6FB" w14:textId="77777777" w:rsidR="00264A05" w:rsidRPr="00DD7BD1" w:rsidRDefault="00264A05" w:rsidP="00264A05">
      <w:pPr>
        <w:rPr>
          <w:rFonts w:ascii="Calibri" w:hAnsi="Calibri" w:cs="Calibri"/>
          <w:b/>
          <w:bCs/>
          <w:color w:val="2E74B5" w:themeColor="accent5" w:themeShade="BF"/>
          <w:sz w:val="16"/>
          <w:szCs w:val="16"/>
          <w:shd w:val="clear" w:color="auto" w:fill="FFFFFF"/>
          <w:lang w:val="en"/>
        </w:rPr>
      </w:pPr>
    </w:p>
    <w:p w14:paraId="0EE30325" w14:textId="28C0C3F6" w:rsidR="00264A05" w:rsidRPr="00DD7BD1" w:rsidRDefault="00264A05" w:rsidP="00264A05">
      <w:pPr>
        <w:rPr>
          <w:rFonts w:ascii="Calibri" w:hAnsi="Calibri" w:cs="Calibri"/>
        </w:rPr>
      </w:pPr>
      <w:r w:rsidRPr="00DD7BD1">
        <w:rPr>
          <w:rFonts w:ascii="Calibri" w:hAnsi="Calibri" w:cs="Calibri"/>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DD7BD1" w:rsidRDefault="00264A05" w:rsidP="00264A05">
      <w:pPr>
        <w:rPr>
          <w:rFonts w:ascii="Calibri" w:hAnsi="Calibri" w:cs="Calibri"/>
        </w:rPr>
      </w:pPr>
      <w:r w:rsidRPr="00DD7BD1">
        <w:rPr>
          <w:rFonts w:ascii="Calibri" w:hAnsi="Calibri" w:cs="Calibri"/>
          <w:b/>
          <w:bCs/>
          <w:highlight w:val="lightGray"/>
        </w:rPr>
        <w:t>Next Steps:</w:t>
      </w:r>
      <w:r w:rsidRPr="00DD7BD1">
        <w:rPr>
          <w:rFonts w:ascii="Calibri" w:hAnsi="Calibri" w:cs="Calibri"/>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DD7BD1" w:rsidRDefault="004B7569" w:rsidP="004B7569">
      <w:pPr>
        <w:shd w:val="clear" w:color="auto" w:fill="FFFFFF"/>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 xml:space="preserve">New Notice Required for Workers’ Compensation Claim Denials – </w:t>
      </w:r>
      <w:r w:rsidRPr="00DD7BD1">
        <w:rPr>
          <w:rFonts w:ascii="Calibri" w:hAnsi="Calibri" w:cs="Calibri"/>
          <w:b/>
          <w:bCs/>
          <w:color w:val="C00000"/>
          <w:sz w:val="28"/>
          <w:szCs w:val="28"/>
        </w:rPr>
        <w:t>July 1</w:t>
      </w:r>
    </w:p>
    <w:p w14:paraId="34A4CF2C" w14:textId="77777777" w:rsidR="004B7569" w:rsidRPr="00DD7BD1" w:rsidRDefault="004B7569" w:rsidP="004B7569">
      <w:pPr>
        <w:pStyle w:val="BodyText"/>
        <w:spacing w:after="60"/>
        <w:rPr>
          <w:rFonts w:cs="Calibri"/>
          <w:color w:val="auto"/>
          <w:szCs w:val="22"/>
        </w:rPr>
      </w:pPr>
      <w:r w:rsidRPr="00DD7BD1">
        <w:rPr>
          <w:rFonts w:cs="Calibri"/>
          <w:color w:val="auto"/>
          <w:szCs w:val="22"/>
        </w:rPr>
        <w:t xml:space="preserve">Under an </w:t>
      </w:r>
      <w:hyperlink r:id="rId965" w:history="1">
        <w:r w:rsidRPr="00DD7BD1">
          <w:rPr>
            <w:rStyle w:val="Hyperlink"/>
            <w:rFonts w:cs="Calibri"/>
            <w:szCs w:val="22"/>
          </w:rPr>
          <w:t>amendment</w:t>
        </w:r>
      </w:hyperlink>
      <w:r w:rsidRPr="00DD7BD1">
        <w:rPr>
          <w:rFonts w:cs="Calibri"/>
          <w:color w:val="auto"/>
          <w:szCs w:val="22"/>
        </w:rPr>
        <w:t xml:space="preserve"> that goes into effect on </w:t>
      </w:r>
      <w:r w:rsidRPr="00DD7BD1">
        <w:rPr>
          <w:rFonts w:cs="Calibri"/>
          <w:b/>
          <w:bCs/>
          <w:color w:val="C00000"/>
          <w:szCs w:val="22"/>
        </w:rPr>
        <w:t>July 1, 2024</w:t>
      </w:r>
      <w:r w:rsidRPr="00DD7BD1">
        <w:rPr>
          <w:rFonts w:cs="Calibri"/>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Covered Employers</w:t>
      </w:r>
    </w:p>
    <w:p w14:paraId="43A14DD6"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amendment applies to all employers that are subject to the </w:t>
      </w:r>
      <w:hyperlink r:id="rId966" w:history="1">
        <w:r w:rsidRPr="00DD7BD1">
          <w:rPr>
            <w:rStyle w:val="Hyperlink"/>
            <w:rFonts w:cs="Calibri"/>
            <w:szCs w:val="22"/>
          </w:rPr>
          <w:t>Virginia Workers’ Compensation Act</w:t>
        </w:r>
      </w:hyperlink>
      <w:r w:rsidRPr="00DD7BD1">
        <w:rPr>
          <w:rFonts w:cs="Calibri"/>
          <w:szCs w:val="22"/>
        </w:rPr>
        <w:t xml:space="preserve">. </w:t>
      </w:r>
      <w:r w:rsidRPr="00DD7BD1">
        <w:rPr>
          <w:rFonts w:cs="Calibri"/>
          <w:color w:val="auto"/>
          <w:szCs w:val="22"/>
        </w:rPr>
        <w:t xml:space="preserve">These include any employer that regularly employs </w:t>
      </w:r>
      <w:r w:rsidRPr="00DD7BD1">
        <w:rPr>
          <w:rFonts w:cs="Calibri"/>
          <w:b/>
          <w:bCs/>
          <w:color w:val="auto"/>
          <w:szCs w:val="22"/>
        </w:rPr>
        <w:t>three or more employees</w:t>
      </w:r>
      <w:r w:rsidRPr="00DD7BD1">
        <w:rPr>
          <w:rFonts w:cs="Calibri"/>
          <w:color w:val="auto"/>
          <w:szCs w:val="22"/>
        </w:rPr>
        <w:t>, all underground coal mine operators regardless of the number of employees, and all “</w:t>
      </w:r>
      <w:hyperlink r:id="rId967" w:history="1">
        <w:r w:rsidRPr="00DD7BD1">
          <w:rPr>
            <w:rStyle w:val="Hyperlink"/>
            <w:rFonts w:cs="Calibri"/>
            <w:szCs w:val="22"/>
          </w:rPr>
          <w:t>statutory employers</w:t>
        </w:r>
      </w:hyperlink>
      <w:r w:rsidRPr="00DD7BD1">
        <w:rPr>
          <w:rFonts w:cs="Calibri"/>
          <w:szCs w:val="22"/>
        </w:rPr>
        <w:t>.”</w:t>
      </w:r>
    </w:p>
    <w:p w14:paraId="1E33F6A4"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 xml:space="preserve">Text of Required Notice </w:t>
      </w:r>
    </w:p>
    <w:p w14:paraId="4A89BAA2" w14:textId="77777777" w:rsidR="004B7569" w:rsidRPr="00DD7BD1" w:rsidRDefault="004B7569" w:rsidP="004B7569">
      <w:pPr>
        <w:pStyle w:val="BodyText"/>
        <w:spacing w:after="60"/>
        <w:ind w:left="540" w:right="360"/>
        <w:rPr>
          <w:rFonts w:cs="Calibri"/>
          <w:color w:val="auto"/>
          <w:szCs w:val="22"/>
        </w:rPr>
      </w:pPr>
      <w:r w:rsidRPr="00DD7BD1">
        <w:rPr>
          <w:rFonts w:cs="Calibri"/>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letter must also include the address, telephone number and website an employee may use to </w:t>
      </w:r>
      <w:hyperlink r:id="rId968" w:history="1">
        <w:r w:rsidRPr="00DD7BD1">
          <w:rPr>
            <w:rStyle w:val="Hyperlink"/>
            <w:rFonts w:cs="Calibri"/>
            <w:szCs w:val="22"/>
          </w:rPr>
          <w:t>contact the state workers’ compensation commission</w:t>
        </w:r>
      </w:hyperlink>
      <w:r w:rsidRPr="00DD7BD1">
        <w:rPr>
          <w:rFonts w:cs="Calibri"/>
          <w:szCs w:val="22"/>
        </w:rPr>
        <w:t>.</w:t>
      </w:r>
    </w:p>
    <w:p w14:paraId="756B9B60"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Enforcement</w:t>
      </w:r>
    </w:p>
    <w:p w14:paraId="3C349F45" w14:textId="77777777" w:rsidR="004B7569" w:rsidRPr="00DD7BD1" w:rsidRDefault="004B7569" w:rsidP="004B7569">
      <w:pPr>
        <w:pStyle w:val="BodyText"/>
        <w:spacing w:after="60"/>
        <w:rPr>
          <w:rFonts w:cs="Calibri"/>
          <w:color w:val="auto"/>
          <w:szCs w:val="22"/>
        </w:rPr>
      </w:pPr>
      <w:r w:rsidRPr="00DD7BD1">
        <w:rPr>
          <w:rFonts w:cs="Calibri"/>
          <w:color w:val="auto"/>
          <w:szCs w:val="22"/>
        </w:rPr>
        <w:t>An employer (or its insurance carrier) that fails to comply with the new notice requirement may be subject to a civil penalty of up to $500 per violation. If a violation is willful, the penalty may be increased to between $500 and $5,000.</w:t>
      </w:r>
    </w:p>
    <w:p w14:paraId="7551726F" w14:textId="77777777" w:rsidR="00A83553" w:rsidRPr="00DD7BD1" w:rsidRDefault="00A83553" w:rsidP="004B7569">
      <w:pPr>
        <w:shd w:val="clear" w:color="auto" w:fill="FFFFFF"/>
        <w:spacing w:after="0" w:line="240" w:lineRule="auto"/>
        <w:jc w:val="center"/>
        <w:rPr>
          <w:rFonts w:ascii="Calibri" w:hAnsi="Calibri" w:cs="Calibri"/>
          <w:b/>
          <w:bCs/>
          <w:shd w:val="clear" w:color="auto" w:fill="FFFFFF"/>
          <w:lang w:val="en"/>
        </w:rPr>
      </w:pPr>
    </w:p>
    <w:p w14:paraId="2B818AE6" w14:textId="3FFA02FD" w:rsidR="004B7569" w:rsidRPr="00DD7BD1" w:rsidRDefault="004B7569" w:rsidP="004B7569">
      <w:pPr>
        <w:shd w:val="clear" w:color="auto" w:fill="FFFFFF"/>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Captive Audience Meetings Limited &amp; Race Protections Expanded – </w:t>
      </w:r>
      <w:r w:rsidRPr="00DD7BD1">
        <w:rPr>
          <w:rFonts w:ascii="Calibri" w:hAnsi="Calibri" w:cs="Calibri"/>
          <w:b/>
          <w:bCs/>
          <w:color w:val="C00000"/>
          <w:sz w:val="28"/>
          <w:szCs w:val="28"/>
          <w:shd w:val="clear" w:color="auto" w:fill="FFFFFF"/>
          <w:lang w:val="en"/>
        </w:rPr>
        <w:t>July 1</w:t>
      </w:r>
    </w:p>
    <w:p w14:paraId="23BA538D"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LIMITS ON CAPTIVE AUDIENCE MEETINGS</w:t>
      </w:r>
      <w:r w:rsidRPr="00DD7BD1">
        <w:rPr>
          <w:rFonts w:ascii="Calibri" w:eastAsia="Times New Roman" w:hAnsi="Calibri" w:cs="Calibri"/>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law defines matters as </w:t>
      </w:r>
      <w:r w:rsidRPr="00DD7BD1">
        <w:rPr>
          <w:rFonts w:ascii="Calibri" w:eastAsia="Times New Roman" w:hAnsi="Calibri" w:cs="Calibri"/>
          <w:i/>
          <w:iCs/>
        </w:rPr>
        <w:t>religious </w:t>
      </w:r>
      <w:r w:rsidRPr="00DD7BD1">
        <w:rPr>
          <w:rFonts w:ascii="Calibri" w:eastAsia="Times New Roman" w:hAnsi="Calibri" w:cs="Calibri"/>
        </w:rPr>
        <w:t>if they relate to religious affiliation and practice and the decision to join or support any religious organization or institution. Matters are considered </w:t>
      </w:r>
      <w:r w:rsidRPr="00DD7BD1">
        <w:rPr>
          <w:rFonts w:ascii="Calibri" w:eastAsia="Times New Roman" w:hAnsi="Calibri" w:cs="Calibri"/>
          <w:i/>
          <w:iCs/>
        </w:rPr>
        <w:t>political</w:t>
      </w:r>
      <w:r w:rsidRPr="00DD7BD1">
        <w:rPr>
          <w:rFonts w:ascii="Calibri" w:eastAsia="Times New Roman" w:hAnsi="Calibri" w:cs="Calibri"/>
        </w:rPr>
        <w:t> if they relate to any of the following:</w:t>
      </w:r>
    </w:p>
    <w:p w14:paraId="08DFECA5"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affiliation</w:t>
      </w:r>
    </w:p>
    <w:p w14:paraId="11863E6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Elections for political office</w:t>
      </w:r>
    </w:p>
    <w:p w14:paraId="66149B54"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parties</w:t>
      </w:r>
    </w:p>
    <w:p w14:paraId="3F97E24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Legislative proposals</w:t>
      </w:r>
    </w:p>
    <w:p w14:paraId="40D05B77"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The decision to join or support any political party or political, civic, community, fraternal, or labor organization</w:t>
      </w:r>
    </w:p>
    <w:p w14:paraId="1451BB60"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Allow employees to opt out of any meeting or communication covered by this law and make sure supervisors understand the law. </w:t>
      </w:r>
    </w:p>
    <w:p w14:paraId="4ADD2EF1"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225EBAA7" w14:textId="4E0E98BC" w:rsidR="004B7569" w:rsidRPr="00DD7BD1" w:rsidRDefault="00696F10" w:rsidP="00696F10">
      <w:pPr>
        <w:shd w:val="clear" w:color="auto" w:fill="FFFFFF"/>
        <w:spacing w:after="0" w:line="240" w:lineRule="auto"/>
        <w:ind w:right="-90"/>
        <w:rPr>
          <w:rFonts w:ascii="Calibri" w:eastAsia="Times New Roman" w:hAnsi="Calibri" w:cs="Calibri"/>
        </w:rPr>
      </w:pPr>
      <w:r w:rsidRPr="00DD7BD1">
        <w:rPr>
          <w:rFonts w:ascii="Calibri" w:eastAsia="Times New Roman" w:hAnsi="Calibri" w:cs="Calibri"/>
          <w:b/>
          <w:bCs/>
          <w:sz w:val="28"/>
          <w:szCs w:val="28"/>
        </w:rPr>
        <w:t xml:space="preserve">State </w:t>
      </w:r>
      <w:r w:rsidR="004B7569" w:rsidRPr="00DD7BD1">
        <w:rPr>
          <w:rFonts w:ascii="Calibri" w:eastAsia="Times New Roman" w:hAnsi="Calibri" w:cs="Calibri"/>
          <w:b/>
          <w:bCs/>
          <w:sz w:val="28"/>
          <w:szCs w:val="28"/>
        </w:rPr>
        <w:t>E</w:t>
      </w:r>
      <w:r w:rsidRPr="00DD7BD1">
        <w:rPr>
          <w:rFonts w:ascii="Calibri" w:eastAsia="Times New Roman" w:hAnsi="Calibri" w:cs="Calibri"/>
          <w:b/>
          <w:bCs/>
          <w:sz w:val="28"/>
          <w:szCs w:val="28"/>
        </w:rPr>
        <w:t>xpands</w:t>
      </w:r>
      <w:r w:rsidR="004B7569" w:rsidRPr="00DD7BD1">
        <w:rPr>
          <w:rFonts w:ascii="Calibri" w:eastAsia="Times New Roman" w:hAnsi="Calibri" w:cs="Calibri"/>
          <w:b/>
          <w:bCs/>
          <w:sz w:val="28"/>
          <w:szCs w:val="28"/>
        </w:rPr>
        <w:t xml:space="preserve"> P</w:t>
      </w:r>
      <w:r w:rsidRPr="00DD7BD1">
        <w:rPr>
          <w:rFonts w:ascii="Calibri" w:eastAsia="Times New Roman" w:hAnsi="Calibri" w:cs="Calibri"/>
          <w:b/>
          <w:bCs/>
          <w:sz w:val="28"/>
          <w:szCs w:val="28"/>
        </w:rPr>
        <w:t>rotections</w:t>
      </w:r>
      <w:r w:rsidR="004B7569" w:rsidRPr="00DD7BD1">
        <w:rPr>
          <w:rFonts w:ascii="Calibri" w:eastAsia="Times New Roman" w:hAnsi="Calibri" w:cs="Calibri"/>
          <w:b/>
          <w:bCs/>
          <w:sz w:val="28"/>
          <w:szCs w:val="28"/>
        </w:rPr>
        <w:t xml:space="preserve"> </w:t>
      </w:r>
      <w:r w:rsidRPr="00DD7BD1">
        <w:rPr>
          <w:rFonts w:ascii="Calibri" w:eastAsia="Times New Roman" w:hAnsi="Calibri" w:cs="Calibri"/>
          <w:b/>
          <w:bCs/>
          <w:sz w:val="28"/>
          <w:szCs w:val="28"/>
        </w:rPr>
        <w:t>for</w:t>
      </w:r>
      <w:r w:rsidR="004B7569" w:rsidRPr="00DD7BD1">
        <w:rPr>
          <w:rFonts w:ascii="Calibri" w:eastAsia="Times New Roman" w:hAnsi="Calibri" w:cs="Calibri"/>
          <w:b/>
          <w:bCs/>
          <w:sz w:val="28"/>
          <w:szCs w:val="28"/>
        </w:rPr>
        <w:t xml:space="preserve"> R</w:t>
      </w:r>
      <w:r w:rsidRPr="00DD7BD1">
        <w:rPr>
          <w:rFonts w:ascii="Calibri" w:eastAsia="Times New Roman" w:hAnsi="Calibri" w:cs="Calibri"/>
          <w:b/>
          <w:bCs/>
          <w:sz w:val="28"/>
          <w:szCs w:val="28"/>
        </w:rPr>
        <w:t>ace</w:t>
      </w:r>
      <w:r w:rsidR="004B7569" w:rsidRPr="00DD7BD1">
        <w:rPr>
          <w:rFonts w:ascii="Calibri" w:eastAsia="Times New Roman" w:hAnsi="Calibri" w:cs="Calibri"/>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definition creates a very broad set of protections for employees and has the potential for wide application, such as protecting dialect and styles of dress.</w:t>
      </w:r>
    </w:p>
    <w:p w14:paraId="4878BB09"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If you have dress or grooming policies that regulate hairstyles or head coverings, consider whether they’re absolutely necessary for your organization. If you believe that they are, consider consulting with an attorney to ensure they don’t run afoul of this law.  Additionally, 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Lastly, consider updating your Equal Employment Opportunity (EEO) policy to make it clear that race includes traits associated with or perceived to be associated with race.  ETC’s EEO Policy does include the reference “</w:t>
      </w:r>
      <w:r w:rsidRPr="00DD7BD1">
        <w:rPr>
          <w:rFonts w:ascii="Calibri" w:hAnsi="Calibri" w:cs="Calibri"/>
          <w:color w:val="000000"/>
        </w:rPr>
        <w:t xml:space="preserve">actual or perceived race, and traits commonly or historically associated with race </w:t>
      </w:r>
      <w:r w:rsidRPr="00DD7BD1">
        <w:rPr>
          <w:rFonts w:ascii="Calibri" w:hAnsi="Calibri" w:cs="Calibri"/>
        </w:rPr>
        <w:t>including but not limited to hair texture and hair styles such as afros, braids, twists, knots, locks and high-top fades.”</w:t>
      </w:r>
    </w:p>
    <w:p w14:paraId="56FFCF1D" w14:textId="77777777" w:rsidR="004B7569" w:rsidRPr="00DD7BD1" w:rsidRDefault="004B7569" w:rsidP="009040C5">
      <w:pPr>
        <w:pStyle w:val="MainTitle"/>
        <w:spacing w:after="0" w:line="240" w:lineRule="auto"/>
        <w:jc w:val="center"/>
        <w:rPr>
          <w:rFonts w:ascii="Calibri" w:eastAsia="Times New Roman" w:hAnsi="Calibri" w:cs="Calibri"/>
          <w:bCs/>
          <w:color w:val="231F20"/>
          <w:kern w:val="36"/>
          <w:sz w:val="20"/>
          <w:szCs w:val="20"/>
        </w:rPr>
      </w:pPr>
    </w:p>
    <w:p w14:paraId="610E1204" w14:textId="7E424199" w:rsidR="009040C5" w:rsidRPr="00DD7BD1" w:rsidRDefault="009040C5" w:rsidP="00264A05">
      <w:pPr>
        <w:pStyle w:val="MainTitle"/>
        <w:spacing w:after="0" w:line="240" w:lineRule="auto"/>
        <w:jc w:val="center"/>
        <w:rPr>
          <w:rFonts w:ascii="Calibri" w:hAnsi="Calibri" w:cs="Calibri"/>
        </w:rPr>
      </w:pPr>
      <w:r w:rsidRPr="00DD7BD1">
        <w:rPr>
          <w:rFonts w:ascii="Calibri" w:eastAsia="Times New Roman" w:hAnsi="Calibri" w:cs="Calibri"/>
          <w:bCs/>
          <w:color w:val="231F20"/>
          <w:kern w:val="36"/>
          <w:sz w:val="28"/>
          <w:szCs w:val="28"/>
        </w:rPr>
        <w:t>Eligible Employers Must Register for RetirePath by Feb. 15, 2024</w:t>
      </w:r>
    </w:p>
    <w:p w14:paraId="73D5FB44"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Employers that are required to participate in Virginia’s state-facilitated individual retirement account (IRA) savings program—known as </w:t>
      </w:r>
      <w:hyperlink r:id="rId969" w:history="1">
        <w:r w:rsidRPr="00DD7BD1">
          <w:rPr>
            <w:rStyle w:val="Hyperlink"/>
            <w:rFonts w:cs="Calibri"/>
            <w:szCs w:val="22"/>
          </w:rPr>
          <w:t>RetirePath Virginia</w:t>
        </w:r>
      </w:hyperlink>
      <w:r w:rsidRPr="00DD7BD1">
        <w:rPr>
          <w:rFonts w:cs="Calibri"/>
          <w:szCs w:val="22"/>
        </w:rPr>
        <w:t>—</w:t>
      </w:r>
      <w:r w:rsidRPr="00DD7BD1">
        <w:rPr>
          <w:rFonts w:cs="Calibri"/>
          <w:color w:val="auto"/>
          <w:szCs w:val="22"/>
        </w:rPr>
        <w:t xml:space="preserve">must register or certify an exemption for the program before </w:t>
      </w:r>
      <w:r w:rsidRPr="00DD7BD1">
        <w:rPr>
          <w:rFonts w:cs="Calibri"/>
          <w:b/>
          <w:bCs/>
          <w:color w:val="auto"/>
          <w:szCs w:val="22"/>
        </w:rPr>
        <w:t>Feb. 15, 2024</w:t>
      </w:r>
      <w:r w:rsidRPr="00DD7BD1">
        <w:rPr>
          <w:rFonts w:cs="Calibri"/>
          <w:color w:val="auto"/>
          <w:szCs w:val="22"/>
        </w:rPr>
        <w:t xml:space="preserve">. Businesses that fail to act before the registration deadline may face an annual penalty of up to </w:t>
      </w:r>
      <w:r w:rsidRPr="00DD7BD1">
        <w:rPr>
          <w:rFonts w:cs="Calibri"/>
          <w:b/>
          <w:bCs/>
          <w:color w:val="auto"/>
          <w:szCs w:val="22"/>
        </w:rPr>
        <w:t>$200</w:t>
      </w:r>
      <w:r w:rsidRPr="00DD7BD1">
        <w:rPr>
          <w:rFonts w:cs="Calibri"/>
          <w:color w:val="auto"/>
          <w:szCs w:val="22"/>
        </w:rPr>
        <w:t xml:space="preserve"> per eligible employee.  </w:t>
      </w:r>
    </w:p>
    <w:p w14:paraId="73155B68" w14:textId="77777777" w:rsidR="009040C5" w:rsidRPr="00DD7BD1" w:rsidRDefault="009040C5" w:rsidP="009040C5">
      <w:pPr>
        <w:pStyle w:val="SubHeader"/>
        <w:spacing w:line="240" w:lineRule="auto"/>
        <w:rPr>
          <w:rFonts w:cs="Calibri"/>
          <w:color w:val="auto"/>
          <w:sz w:val="12"/>
          <w:szCs w:val="12"/>
        </w:rPr>
      </w:pPr>
    </w:p>
    <w:p w14:paraId="1560A0CA"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Covered Employers</w:t>
      </w:r>
    </w:p>
    <w:p w14:paraId="37053089" w14:textId="77777777" w:rsidR="009040C5" w:rsidRPr="00DD7BD1" w:rsidRDefault="009040C5" w:rsidP="009040C5">
      <w:pPr>
        <w:pStyle w:val="BodyText"/>
        <w:spacing w:after="0" w:line="240" w:lineRule="auto"/>
        <w:rPr>
          <w:rFonts w:cs="Calibri"/>
          <w:color w:val="auto"/>
          <w:szCs w:val="22"/>
        </w:rPr>
      </w:pPr>
      <w:r w:rsidRPr="00DD7BD1">
        <w:rPr>
          <w:rFonts w:cs="Calibri"/>
          <w:color w:val="auto"/>
          <w:szCs w:val="22"/>
        </w:rPr>
        <w:t>Employers in Virginia must participate in RetirePath if they:</w:t>
      </w:r>
    </w:p>
    <w:p w14:paraId="5D23D8BA"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Are a nongovernmental business, industry, trade, profession or other enterprise—whether conducted on a </w:t>
      </w:r>
      <w:r w:rsidRPr="00DD7BD1">
        <w:rPr>
          <w:rFonts w:cs="Calibri"/>
          <w:b/>
          <w:bCs/>
          <w:color w:val="auto"/>
          <w:szCs w:val="22"/>
        </w:rPr>
        <w:t>for-profit or nonprofit basis</w:t>
      </w:r>
      <w:r w:rsidRPr="00DD7BD1">
        <w:rPr>
          <w:rFonts w:cs="Calibri"/>
          <w:color w:val="auto"/>
          <w:szCs w:val="22"/>
        </w:rPr>
        <w:t>;</w:t>
      </w:r>
    </w:p>
    <w:p w14:paraId="433E330F"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w:t>
      </w:r>
      <w:r w:rsidRPr="00DD7BD1">
        <w:rPr>
          <w:rFonts w:cs="Calibri"/>
          <w:b/>
          <w:bCs/>
          <w:color w:val="auto"/>
          <w:szCs w:val="22"/>
        </w:rPr>
        <w:t>25 or more</w:t>
      </w:r>
      <w:r w:rsidRPr="00DD7BD1">
        <w:rPr>
          <w:rFonts w:cs="Calibri"/>
          <w:color w:val="auto"/>
          <w:szCs w:val="22"/>
        </w:rPr>
        <w:t xml:space="preserve"> eligible employees (i.e., those who are employed at least 30 hours per week);</w:t>
      </w:r>
    </w:p>
    <w:p w14:paraId="443997F9"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been in operation for </w:t>
      </w:r>
      <w:r w:rsidRPr="00DD7BD1">
        <w:rPr>
          <w:rFonts w:cs="Calibri"/>
          <w:b/>
          <w:bCs/>
          <w:color w:val="auto"/>
          <w:szCs w:val="22"/>
        </w:rPr>
        <w:t>at least two years</w:t>
      </w:r>
      <w:r w:rsidRPr="00DD7BD1">
        <w:rPr>
          <w:rFonts w:cs="Calibri"/>
          <w:color w:val="auto"/>
          <w:szCs w:val="22"/>
        </w:rPr>
        <w:t xml:space="preserve"> prior to the program’s implementation; and</w:t>
      </w:r>
    </w:p>
    <w:p w14:paraId="7087F6E8" w14:textId="77777777" w:rsidR="009040C5" w:rsidRPr="00DD7BD1" w:rsidRDefault="009040C5" w:rsidP="009040C5">
      <w:pPr>
        <w:pStyle w:val="Bullet"/>
        <w:spacing w:line="240" w:lineRule="auto"/>
        <w:rPr>
          <w:rFonts w:cs="Calibri"/>
          <w:color w:val="auto"/>
          <w:szCs w:val="22"/>
        </w:rPr>
      </w:pPr>
      <w:r w:rsidRPr="00DD7BD1">
        <w:rPr>
          <w:rFonts w:cs="Calibri"/>
          <w:b/>
          <w:bCs/>
          <w:color w:val="auto"/>
          <w:szCs w:val="22"/>
        </w:rPr>
        <w:t>Do not offer</w:t>
      </w:r>
      <w:r w:rsidRPr="00DD7BD1">
        <w:rPr>
          <w:rFonts w:cs="Calibri"/>
          <w:color w:val="auto"/>
          <w:szCs w:val="22"/>
        </w:rPr>
        <w:t xml:space="preserve"> a qualified retirement plan to their employees.</w:t>
      </w:r>
    </w:p>
    <w:p w14:paraId="2B181F1D" w14:textId="77777777" w:rsidR="009040C5" w:rsidRPr="00DD7BD1" w:rsidRDefault="009040C5" w:rsidP="009040C5">
      <w:pPr>
        <w:pStyle w:val="Bullet"/>
        <w:numPr>
          <w:ilvl w:val="0"/>
          <w:numId w:val="0"/>
        </w:numPr>
        <w:spacing w:line="240" w:lineRule="auto"/>
        <w:rPr>
          <w:rFonts w:cs="Calibri"/>
          <w:color w:val="auto"/>
          <w:szCs w:val="22"/>
        </w:rPr>
      </w:pPr>
      <w:r w:rsidRPr="00DD7BD1">
        <w:rPr>
          <w:rFonts w:cs="Calibri"/>
          <w:color w:val="auto"/>
          <w:szCs w:val="22"/>
        </w:rPr>
        <w:t>Eligible employees are automatically enrolled in RetirePath unless they elect not to participate.</w:t>
      </w:r>
    </w:p>
    <w:p w14:paraId="576E66B0" w14:textId="77777777" w:rsidR="009040C5" w:rsidRPr="00DD7BD1" w:rsidRDefault="009040C5" w:rsidP="009040C5">
      <w:pPr>
        <w:pStyle w:val="SubHeader"/>
        <w:spacing w:line="240" w:lineRule="auto"/>
        <w:rPr>
          <w:rFonts w:cs="Calibri"/>
          <w:color w:val="auto"/>
          <w:sz w:val="12"/>
          <w:szCs w:val="12"/>
        </w:rPr>
      </w:pPr>
    </w:p>
    <w:p w14:paraId="41664EE5"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Registration Information</w:t>
      </w:r>
    </w:p>
    <w:p w14:paraId="0CED82AF"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970" w:history="1">
        <w:r w:rsidRPr="00DD7BD1">
          <w:rPr>
            <w:rStyle w:val="Hyperlink"/>
            <w:rFonts w:cs="Calibri"/>
            <w:szCs w:val="22"/>
          </w:rPr>
          <w:t>request one here</w:t>
        </w:r>
      </w:hyperlink>
      <w:r w:rsidRPr="00DD7BD1">
        <w:rPr>
          <w:rFonts w:cs="Calibri"/>
          <w:szCs w:val="22"/>
        </w:rPr>
        <w:t>.</w:t>
      </w:r>
    </w:p>
    <w:p w14:paraId="0EBB1EBC"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At registration, employers self-certify their eligibility for RetirePath. Employers that already offer a qualified plan or are otherwise exempt can certify an exemption. More details are available </w:t>
      </w:r>
      <w:hyperlink r:id="rId971" w:history="1">
        <w:r w:rsidRPr="00DD7BD1">
          <w:rPr>
            <w:rStyle w:val="Hyperlink"/>
            <w:rFonts w:cs="Calibri"/>
            <w:szCs w:val="22"/>
          </w:rPr>
          <w:t>here</w:t>
        </w:r>
      </w:hyperlink>
      <w:r w:rsidRPr="00DD7BD1">
        <w:rPr>
          <w:rFonts w:cs="Calibri"/>
          <w:szCs w:val="22"/>
        </w:rPr>
        <w:t>.</w:t>
      </w:r>
    </w:p>
    <w:p w14:paraId="3B96DDC0" w14:textId="77777777" w:rsidR="009040C5" w:rsidRPr="00DD7BD1" w:rsidRDefault="009040C5" w:rsidP="009040C5">
      <w:pPr>
        <w:pStyle w:val="SubHeader"/>
        <w:spacing w:line="240" w:lineRule="auto"/>
        <w:rPr>
          <w:rFonts w:cs="Calibri"/>
          <w:color w:val="auto"/>
          <w:sz w:val="12"/>
          <w:szCs w:val="12"/>
        </w:rPr>
      </w:pPr>
    </w:p>
    <w:p w14:paraId="25C5E538"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Responsibilities</w:t>
      </w:r>
    </w:p>
    <w:p w14:paraId="33F76059"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Register</w:t>
      </w:r>
      <w:r w:rsidRPr="00DD7BD1">
        <w:rPr>
          <w:rFonts w:cs="Calibri"/>
          <w:color w:val="auto"/>
        </w:rPr>
        <w:t xml:space="preserve"> (or certify an exemption) with their employer identification number and unique RetirePath access code by </w:t>
      </w:r>
      <w:r w:rsidRPr="00DD7BD1">
        <w:rPr>
          <w:rFonts w:cs="Calibri"/>
          <w:b/>
          <w:bCs/>
          <w:color w:val="auto"/>
        </w:rPr>
        <w:t>Feb. 15, 2024</w:t>
      </w:r>
      <w:r w:rsidRPr="00DD7BD1">
        <w:rPr>
          <w:rFonts w:cs="Calibri"/>
          <w:color w:val="auto"/>
        </w:rPr>
        <w:t>;</w:t>
      </w:r>
    </w:p>
    <w:p w14:paraId="3438095B"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 xml:space="preserve">Upload </w:t>
      </w:r>
      <w:r w:rsidRPr="00DD7BD1">
        <w:rPr>
          <w:rFonts w:cs="Calibri"/>
          <w:color w:val="auto"/>
        </w:rPr>
        <w:t>payroll information and submit employees’ contributions; and</w:t>
      </w:r>
    </w:p>
    <w:p w14:paraId="64CBA56C"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Keep employee records up to date.</w:t>
      </w:r>
      <w:r w:rsidRPr="00DD7BD1">
        <w:rPr>
          <w:rFonts w:cs="Calibri"/>
          <w:color w:val="auto"/>
        </w:rPr>
        <w:t xml:space="preserve"> Payroll details must be submitted each pay period.</w:t>
      </w:r>
    </w:p>
    <w:p w14:paraId="7396175E" w14:textId="77777777" w:rsidR="009040C5" w:rsidRPr="00DD7BD1" w:rsidRDefault="009040C5" w:rsidP="009040C5">
      <w:pPr>
        <w:pStyle w:val="SubHeader"/>
        <w:spacing w:line="240" w:lineRule="auto"/>
        <w:rPr>
          <w:rFonts w:cs="Calibri"/>
          <w:color w:val="auto"/>
          <w:sz w:val="12"/>
          <w:szCs w:val="12"/>
        </w:rPr>
      </w:pPr>
    </w:p>
    <w:p w14:paraId="600B6A02"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Resources</w:t>
      </w:r>
    </w:p>
    <w:p w14:paraId="30EEA81E" w14:textId="77777777" w:rsidR="009040C5" w:rsidRPr="00DD7BD1" w:rsidRDefault="009040C5" w:rsidP="009040C5">
      <w:pPr>
        <w:pStyle w:val="BodyText"/>
        <w:spacing w:after="0" w:line="240" w:lineRule="auto"/>
        <w:rPr>
          <w:rFonts w:cs="Calibri"/>
          <w:color w:val="auto"/>
          <w:szCs w:val="22"/>
        </w:rPr>
      </w:pPr>
      <w:r w:rsidRPr="00DD7BD1">
        <w:rPr>
          <w:rFonts w:cs="Calibri"/>
          <w:color w:val="auto"/>
          <w:szCs w:val="22"/>
        </w:rPr>
        <w:t xml:space="preserve">RetirePath provides a webpage dedicated to </w:t>
      </w:r>
      <w:hyperlink r:id="rId972" w:history="1">
        <w:r w:rsidRPr="00DD7BD1">
          <w:rPr>
            <w:rStyle w:val="Hyperlink"/>
            <w:rFonts w:cs="Calibri"/>
            <w:szCs w:val="22"/>
          </w:rPr>
          <w:t>resources for employers</w:t>
        </w:r>
      </w:hyperlink>
      <w:r w:rsidRPr="00DD7BD1">
        <w:rPr>
          <w:rFonts w:cs="Calibri"/>
          <w:szCs w:val="22"/>
        </w:rPr>
        <w:t xml:space="preserve">, </w:t>
      </w:r>
      <w:r w:rsidRPr="00DD7BD1">
        <w:rPr>
          <w:rFonts w:cs="Calibri"/>
          <w:color w:val="auto"/>
          <w:szCs w:val="22"/>
        </w:rPr>
        <w:t xml:space="preserve">which includes an employer help center, videos and a registration checklist. </w:t>
      </w:r>
      <w:hyperlink r:id="rId973" w:history="1">
        <w:r w:rsidRPr="00DD7BD1">
          <w:rPr>
            <w:rStyle w:val="Hyperlink"/>
            <w:rFonts w:cs="Calibri"/>
            <w:szCs w:val="22"/>
          </w:rPr>
          <w:t>FAQs</w:t>
        </w:r>
      </w:hyperlink>
      <w:r w:rsidRPr="00DD7BD1">
        <w:rPr>
          <w:rFonts w:cs="Calibri"/>
          <w:szCs w:val="22"/>
        </w:rPr>
        <w:t xml:space="preserve"> </w:t>
      </w:r>
      <w:r w:rsidRPr="00DD7BD1">
        <w:rPr>
          <w:rFonts w:cs="Calibri"/>
          <w:color w:val="auto"/>
          <w:szCs w:val="22"/>
        </w:rPr>
        <w:t>are also available.</w:t>
      </w:r>
    </w:p>
    <w:p w14:paraId="08766822" w14:textId="77777777" w:rsidR="005C31E9" w:rsidRPr="00DD7BD1" w:rsidRDefault="005C31E9" w:rsidP="00746F77">
      <w:pPr>
        <w:spacing w:after="0" w:line="240" w:lineRule="auto"/>
        <w:jc w:val="both"/>
        <w:rPr>
          <w:rFonts w:ascii="Calibri" w:hAnsi="Calibri" w:cs="Calibri"/>
          <w:b/>
          <w:bCs/>
          <w:color w:val="2E74B5" w:themeColor="accent5" w:themeShade="BF"/>
          <w:shd w:val="clear" w:color="auto" w:fill="FFFFFF"/>
          <w:lang w:val="en"/>
        </w:rPr>
      </w:pPr>
    </w:p>
    <w:p w14:paraId="344956A7" w14:textId="78B49D93" w:rsidR="00962BDB" w:rsidRPr="000C3074" w:rsidRDefault="00746F77" w:rsidP="000C3074">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Washington</w:t>
      </w:r>
    </w:p>
    <w:p w14:paraId="443A9C67" w14:textId="77777777" w:rsidR="00306DC7" w:rsidRDefault="00306DC7" w:rsidP="00306DC7">
      <w:pPr>
        <w:jc w:val="center"/>
        <w:rPr>
          <w:b/>
          <w:bCs/>
          <w:caps/>
          <w:color w:val="0070C0"/>
          <w:sz w:val="26"/>
          <w:szCs w:val="26"/>
        </w:rPr>
      </w:pPr>
      <w:r>
        <w:rPr>
          <w:b/>
          <w:bCs/>
          <w:caps/>
          <w:color w:val="0070C0"/>
          <w:sz w:val="26"/>
          <w:szCs w:val="26"/>
        </w:rPr>
        <w:t xml:space="preserve">New! </w:t>
      </w:r>
      <w:r w:rsidRPr="00CB6D79">
        <w:rPr>
          <w:b/>
          <w:bCs/>
          <w:caps/>
          <w:noProof/>
          <w:color w:val="0E425C"/>
          <w:sz w:val="26"/>
          <w:szCs w:val="26"/>
        </w:rPr>
        <w:t xml:space="preserve">State Requires Employee Notice of Form I-9 Audits Effective </w:t>
      </w:r>
      <w:r>
        <w:rPr>
          <w:b/>
          <w:bCs/>
          <w:caps/>
          <w:color w:val="0070C0"/>
          <w:sz w:val="26"/>
          <w:szCs w:val="26"/>
        </w:rPr>
        <w:t>October 1, 2026</w:t>
      </w:r>
    </w:p>
    <w:p w14:paraId="178EF376" w14:textId="77777777" w:rsidR="00306DC7" w:rsidRDefault="00306DC7" w:rsidP="00306DC7">
      <w:r w:rsidRPr="00653EDB">
        <w:t>On March 30, 2026, Washington enacted the</w:t>
      </w:r>
      <w:r>
        <w:t xml:space="preserve"> </w:t>
      </w:r>
      <w:hyperlink r:id="rId974" w:anchor="page=1" w:history="1">
        <w:r w:rsidRPr="00774222">
          <w:rPr>
            <w:rStyle w:val="Hyperlink"/>
          </w:rPr>
          <w:t>Immigrant Worker Protection Act</w:t>
        </w:r>
      </w:hyperlink>
      <w:r>
        <w:t xml:space="preserve"> </w:t>
      </w:r>
      <w:r w:rsidRPr="00653EDB">
        <w:t xml:space="preserve">(Act), which requires employers to provide written notice to employees when federal agencies notify employers of any inspection of Employment Eligibility Verification forms (Forms I-9) and related worker records. The Act aims to provide workers with advance notice of immigration-related inspections of employment records conducted by federal agencies and information on the results of those inspections. </w:t>
      </w:r>
    </w:p>
    <w:p w14:paraId="621EB9C0" w14:textId="77777777" w:rsidR="00306DC7" w:rsidRPr="00E11952" w:rsidRDefault="00306DC7" w:rsidP="00306DC7">
      <w:pPr>
        <w:rPr>
          <w:b/>
          <w:bCs/>
        </w:rPr>
      </w:pPr>
      <w:r w:rsidRPr="00E11952">
        <w:rPr>
          <w:b/>
          <w:bCs/>
        </w:rPr>
        <w:t>Notice Requirements</w:t>
      </w:r>
    </w:p>
    <w:p w14:paraId="4FC8EA51" w14:textId="77777777" w:rsidR="00306DC7" w:rsidRPr="00653EDB" w:rsidRDefault="00306DC7" w:rsidP="00306DC7">
      <w:r w:rsidRPr="00653EDB">
        <w:t xml:space="preserve">Within </w:t>
      </w:r>
      <w:r w:rsidRPr="00653EDB">
        <w:rPr>
          <w:b/>
          <w:bCs/>
        </w:rPr>
        <w:t>5 business days</w:t>
      </w:r>
      <w:r w:rsidRPr="00653EDB">
        <w:t xml:space="preserve"> of receiving notification from a federal agency of any inspection of Forms I-9 and any related worker records, employers must provide written notice to each worker and the worker’s authorized representative, if any. </w:t>
      </w:r>
    </w:p>
    <w:p w14:paraId="69D21105" w14:textId="77777777" w:rsidR="00306DC7" w:rsidRPr="00653EDB" w:rsidRDefault="00306DC7" w:rsidP="00306DC7">
      <w:r w:rsidRPr="00653EDB">
        <w:t>The notice must also contain the following information in English and the five most commonly used non-English languages in Washington:</w:t>
      </w:r>
    </w:p>
    <w:p w14:paraId="3AE3E6BA" w14:textId="77777777" w:rsidR="00306DC7" w:rsidRPr="00653EDB" w:rsidRDefault="00306DC7" w:rsidP="00306DC7">
      <w:pPr>
        <w:pStyle w:val="Bullet"/>
        <w:spacing w:line="240" w:lineRule="auto"/>
        <w:ind w:left="648"/>
        <w:rPr>
          <w:color w:val="auto"/>
        </w:rPr>
      </w:pPr>
      <w:r w:rsidRPr="00653EDB">
        <w:rPr>
          <w:color w:val="auto"/>
        </w:rPr>
        <w:t>The name of the federal agency that will be conducting the inspection;</w:t>
      </w:r>
    </w:p>
    <w:p w14:paraId="5417355A" w14:textId="77777777" w:rsidR="00306DC7" w:rsidRPr="00653EDB" w:rsidRDefault="00306DC7" w:rsidP="00306DC7">
      <w:pPr>
        <w:pStyle w:val="Bullet"/>
        <w:spacing w:line="240" w:lineRule="auto"/>
        <w:ind w:left="648"/>
        <w:rPr>
          <w:color w:val="auto"/>
        </w:rPr>
      </w:pPr>
      <w:r w:rsidRPr="00653EDB">
        <w:rPr>
          <w:color w:val="auto"/>
        </w:rPr>
        <w:t>The date that the employer received notice of the inspection;</w:t>
      </w:r>
    </w:p>
    <w:p w14:paraId="196697FD" w14:textId="77777777" w:rsidR="00306DC7" w:rsidRPr="00653EDB" w:rsidRDefault="00306DC7" w:rsidP="00306DC7">
      <w:pPr>
        <w:pStyle w:val="Bullet"/>
        <w:spacing w:line="240" w:lineRule="auto"/>
        <w:ind w:left="648"/>
        <w:rPr>
          <w:color w:val="auto"/>
        </w:rPr>
      </w:pPr>
      <w:r w:rsidRPr="00653EDB">
        <w:rPr>
          <w:color w:val="auto"/>
        </w:rPr>
        <w:t>The types of records sought and other identified purposes of the inspection (to the extent known by the employer); and</w:t>
      </w:r>
    </w:p>
    <w:p w14:paraId="0FE173AB" w14:textId="77777777" w:rsidR="00306DC7" w:rsidRPr="00653EDB" w:rsidRDefault="00306DC7" w:rsidP="00306DC7">
      <w:pPr>
        <w:pStyle w:val="Bullet"/>
        <w:spacing w:line="240" w:lineRule="auto"/>
        <w:ind w:left="648"/>
        <w:rPr>
          <w:color w:val="auto"/>
        </w:rPr>
      </w:pPr>
      <w:r w:rsidRPr="00653EDB">
        <w:rPr>
          <w:color w:val="auto"/>
        </w:rPr>
        <w:t>Contact information for a statewide organization that provides information and advocacy related to immigrant and refugee rights, which must be identified and approved by the attorney general.</w:t>
      </w:r>
    </w:p>
    <w:p w14:paraId="571F27C8" w14:textId="77777777" w:rsidR="00306DC7" w:rsidRPr="00653EDB" w:rsidRDefault="00306DC7" w:rsidP="00306DC7">
      <w:r w:rsidRPr="00653EDB">
        <w:t xml:space="preserve">To comply with the Act’s notice requirements, employers may use the model notice which the attorney general is required to prepare and make available by </w:t>
      </w:r>
      <w:r w:rsidRPr="00653EDB">
        <w:rPr>
          <w:b/>
          <w:bCs/>
        </w:rPr>
        <w:t>Sept. 1, 2026</w:t>
      </w:r>
      <w:r w:rsidRPr="00653EDB">
        <w:t xml:space="preserve">. </w:t>
      </w:r>
    </w:p>
    <w:p w14:paraId="61461A7E" w14:textId="77777777" w:rsidR="00306DC7" w:rsidRPr="00653EDB" w:rsidRDefault="00306DC7" w:rsidP="00306DC7">
      <w:pPr>
        <w:spacing w:after="0" w:line="240" w:lineRule="auto"/>
      </w:pPr>
      <w:r w:rsidRPr="00653EDB">
        <w:t>Employers must also provide notice by posting the federal agency’s notice of inspection in conspicuous places on their premises where notices to workers are customarily posted. Employers must also deliver the notice of inspection directly to employees using the primary method of communication they typically use. Delivery must include at least one of the following:</w:t>
      </w:r>
    </w:p>
    <w:p w14:paraId="597330C2" w14:textId="77777777" w:rsidR="00306DC7" w:rsidRPr="00653EDB" w:rsidRDefault="00306DC7" w:rsidP="00306DC7">
      <w:pPr>
        <w:pStyle w:val="Bullet"/>
        <w:spacing w:line="240" w:lineRule="auto"/>
        <w:ind w:left="648"/>
        <w:rPr>
          <w:color w:val="auto"/>
        </w:rPr>
      </w:pPr>
      <w:r w:rsidRPr="00653EDB">
        <w:rPr>
          <w:color w:val="auto"/>
        </w:rPr>
        <w:t>Hand delivery;</w:t>
      </w:r>
    </w:p>
    <w:p w14:paraId="33226C47" w14:textId="77777777" w:rsidR="00306DC7" w:rsidRPr="00653EDB" w:rsidRDefault="00306DC7" w:rsidP="00306DC7">
      <w:pPr>
        <w:pStyle w:val="Bullet"/>
        <w:spacing w:line="240" w:lineRule="auto"/>
        <w:ind w:left="648"/>
        <w:rPr>
          <w:color w:val="auto"/>
        </w:rPr>
      </w:pPr>
      <w:r w:rsidRPr="00653EDB">
        <w:rPr>
          <w:color w:val="auto"/>
        </w:rPr>
        <w:t>Mail with proof of delivery;</w:t>
      </w:r>
    </w:p>
    <w:p w14:paraId="4AA0A58D" w14:textId="77777777" w:rsidR="00306DC7" w:rsidRPr="00653EDB" w:rsidRDefault="00306DC7" w:rsidP="00306DC7">
      <w:pPr>
        <w:pStyle w:val="Bullet"/>
        <w:spacing w:line="240" w:lineRule="auto"/>
        <w:ind w:left="648"/>
        <w:rPr>
          <w:color w:val="auto"/>
        </w:rPr>
      </w:pPr>
      <w:r w:rsidRPr="00653EDB">
        <w:rPr>
          <w:color w:val="auto"/>
        </w:rPr>
        <w:t>Email with proof of transmission;</w:t>
      </w:r>
    </w:p>
    <w:p w14:paraId="0FFBF030" w14:textId="77777777" w:rsidR="00306DC7" w:rsidRPr="00653EDB" w:rsidRDefault="00306DC7" w:rsidP="00306DC7">
      <w:pPr>
        <w:pStyle w:val="Bullet"/>
        <w:spacing w:line="240" w:lineRule="auto"/>
        <w:ind w:left="648"/>
        <w:rPr>
          <w:color w:val="auto"/>
        </w:rPr>
      </w:pPr>
      <w:r w:rsidRPr="00653EDB">
        <w:rPr>
          <w:color w:val="auto"/>
        </w:rPr>
        <w:t>Text message with proof of transmission, which may include a link to a notice maintained on a website.</w:t>
      </w:r>
    </w:p>
    <w:p w14:paraId="4F3A0C5F" w14:textId="77777777" w:rsidR="00306DC7" w:rsidRPr="00653EDB" w:rsidRDefault="00306DC7" w:rsidP="00306DC7">
      <w:pPr>
        <w:spacing w:after="0"/>
        <w:rPr>
          <w:b/>
          <w:bCs/>
          <w:i/>
          <w:iCs/>
        </w:rPr>
      </w:pPr>
      <w:r w:rsidRPr="00653EDB">
        <w:rPr>
          <w:b/>
          <w:bCs/>
          <w:i/>
          <w:iCs/>
        </w:rPr>
        <w:t>Inspection Results Notice Requirements</w:t>
      </w:r>
    </w:p>
    <w:p w14:paraId="00F9756D" w14:textId="77777777" w:rsidR="00306DC7" w:rsidRPr="00653EDB" w:rsidRDefault="00306DC7" w:rsidP="00306DC7">
      <w:r w:rsidRPr="00653EDB">
        <w:t xml:space="preserve">Within </w:t>
      </w:r>
      <w:r w:rsidRPr="00653EDB">
        <w:rPr>
          <w:b/>
          <w:bCs/>
        </w:rPr>
        <w:t>5 business days</w:t>
      </w:r>
      <w:r w:rsidRPr="00653EDB">
        <w:t xml:space="preserve"> of receiving written notice of inspection results for Forms I-9 and related worker records from a federal agency, employers must provide to each affected worker and their authorized representative, if any, a copy of the notice. Employers must also provide written notice of the employer and the affected worker’s obligations arising from the inspection results. This notice must be written in the language most regularly used to communicate between the employer and the affected worker.</w:t>
      </w:r>
    </w:p>
    <w:p w14:paraId="473E8329" w14:textId="39E1A5FC" w:rsidR="00306DC7" w:rsidRPr="00E432A2" w:rsidRDefault="00306DC7" w:rsidP="00E432A2">
      <w:r w:rsidRPr="00F50723">
        <w:rPr>
          <w:b/>
          <w:bCs/>
          <w:highlight w:val="lightGray"/>
        </w:rPr>
        <w:t xml:space="preserve">Employer Takeaway: </w:t>
      </w:r>
      <w:r w:rsidRPr="00653EDB">
        <w:t xml:space="preserve">ETC will continue to monitor the Act to see if it receives funding by the June 30, 2026, deadline. In the interim employers should ensure they comply with the state Act’s notice and posting requirements by October 1, 2026. </w:t>
      </w:r>
    </w:p>
    <w:p w14:paraId="7462BE6A" w14:textId="44352E50" w:rsidR="00962BDB" w:rsidRDefault="00962BDB" w:rsidP="000C3074">
      <w:pPr>
        <w:spacing w:after="0" w:line="240" w:lineRule="auto"/>
        <w:jc w:val="center"/>
        <w:rPr>
          <w:b/>
          <w:bCs/>
          <w:caps/>
          <w:color w:val="0070C0"/>
          <w:sz w:val="26"/>
          <w:szCs w:val="26"/>
        </w:rPr>
      </w:pPr>
      <w:r w:rsidRPr="00476AE6">
        <w:rPr>
          <w:b/>
          <w:bCs/>
          <w:caps/>
          <w:color w:val="0070C0"/>
          <w:sz w:val="26"/>
          <w:szCs w:val="26"/>
        </w:rPr>
        <w:t xml:space="preserve">New! </w:t>
      </w:r>
      <w:r w:rsidRPr="00476AE6">
        <w:rPr>
          <w:b/>
          <w:bCs/>
          <w:caps/>
          <w:noProof/>
          <w:color w:val="0E425C"/>
          <w:sz w:val="26"/>
          <w:szCs w:val="26"/>
        </w:rPr>
        <w:t xml:space="preserve">State Mini-WARN Regulations Amended Effective </w:t>
      </w:r>
      <w:r w:rsidRPr="00476AE6">
        <w:rPr>
          <w:b/>
          <w:bCs/>
          <w:caps/>
          <w:color w:val="0070C0"/>
          <w:sz w:val="26"/>
          <w:szCs w:val="26"/>
        </w:rPr>
        <w:t>March 17, 2026</w:t>
      </w:r>
    </w:p>
    <w:p w14:paraId="0B2FD409" w14:textId="77777777" w:rsidR="00962BDB" w:rsidRDefault="00962BDB" w:rsidP="000C3074">
      <w:pPr>
        <w:spacing w:after="0" w:line="240" w:lineRule="auto"/>
        <w:rPr>
          <w:shd w:val="clear" w:color="auto" w:fill="FFFFFF"/>
        </w:rPr>
      </w:pPr>
      <w:r w:rsidRPr="00A2630C">
        <w:rPr>
          <w:shd w:val="clear" w:color="auto" w:fill="FFFFFF"/>
        </w:rPr>
        <w:t>On March 17, 2026, Washington State Governor Bob Ferguson signed legislation (</w:t>
      </w:r>
      <w:hyperlink r:id="rId975" w:history="1">
        <w:r w:rsidRPr="00C81467">
          <w:rPr>
            <w:rStyle w:val="Hyperlink"/>
            <w:shd w:val="clear" w:color="auto" w:fill="FFFFFF"/>
          </w:rPr>
          <w:t>Engrossed Senate Bill (ESB) 6106</w:t>
        </w:r>
      </w:hyperlink>
      <w:r w:rsidRPr="00A2630C">
        <w:rPr>
          <w:shd w:val="clear" w:color="auto" w:fill="FFFFFF"/>
        </w:rPr>
        <w:t>) that amends the state’s analogue of the federal Worker Adjustment and Retraining Notification (WARN) Act by changing the definition of “employer” and adjusting the notice requirements to better protect the names and addresses of affected employees. The bill also changes the notices that must contain the names and addresses of employees affected by layoffs. Lastly, the amended mini-WARN Act also stops disclosure under the Public Records Act of the names and addresses of affected employees. The amendments take effect immediately, so employers will want to update their notice forms to accommodate those changes when employers with 50 or more full-time employees in the state have a mass layoffs or business closures impacting 50 or more employees.</w:t>
      </w:r>
    </w:p>
    <w:p w14:paraId="44E6038F" w14:textId="77777777" w:rsidR="00962BDB" w:rsidRDefault="00962BDB" w:rsidP="00337917">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State Passes Law Addressing PFML Taxation</w:t>
      </w:r>
    </w:p>
    <w:p w14:paraId="472357D2" w14:textId="77777777" w:rsidR="00962BDB" w:rsidRPr="0003710C" w:rsidRDefault="00962BDB" w:rsidP="00337917">
      <w:pPr>
        <w:spacing w:after="0" w:line="240" w:lineRule="auto"/>
      </w:pPr>
      <w:r w:rsidRPr="00A2630C">
        <w:t>Washington state has enacted</w:t>
      </w:r>
      <w:r w:rsidRPr="0003710C">
        <w:t xml:space="preserve"> </w:t>
      </w:r>
      <w:hyperlink r:id="rId976" w:anchor="page=1" w:history="1">
        <w:r w:rsidRPr="0003710C">
          <w:rPr>
            <w:rStyle w:val="Hyperlink"/>
          </w:rPr>
          <w:t>House Bill (HB) 2345</w:t>
        </w:r>
      </w:hyperlink>
      <w:r w:rsidRPr="00A2630C">
        <w:t xml:space="preserve"> in response to an IRS revenue ruling on the federal tax treatment of contributions and payments under state paid family and medical leave (PFML) programs. The new state law modifies the distribution of employer and employee contributions under Washington PFML between family and medical leave premiums. The law is intended to ameliorate tax obligations under the revenue ruling, but </w:t>
      </w:r>
      <w:r w:rsidRPr="00A2630C">
        <w:rPr>
          <w:b/>
          <w:bCs/>
        </w:rPr>
        <w:t>it does not affect how the total premium is divided between employees and employers</w:t>
      </w:r>
      <w:r w:rsidRPr="00A2630C">
        <w:t>. HB 2345 was signed into law on March 11, 2026.</w:t>
      </w:r>
    </w:p>
    <w:p w14:paraId="31ECE915" w14:textId="77777777" w:rsidR="00962BDB" w:rsidRPr="0003710C" w:rsidRDefault="00962BDB" w:rsidP="00337917">
      <w:pPr>
        <w:pStyle w:val="Heading2"/>
        <w:spacing w:before="0" w:line="240" w:lineRule="auto"/>
        <w:rPr>
          <w:color w:val="auto"/>
        </w:rPr>
      </w:pPr>
      <w:r w:rsidRPr="0003710C">
        <w:rPr>
          <w:color w:val="auto"/>
        </w:rPr>
        <w:t>Revenue Ruling 2025-4</w:t>
      </w:r>
    </w:p>
    <w:p w14:paraId="68B6A3A4" w14:textId="77777777" w:rsidR="00962BDB" w:rsidRPr="00A2630C" w:rsidRDefault="00962BDB" w:rsidP="00337917">
      <w:pPr>
        <w:spacing w:after="0" w:line="240" w:lineRule="auto"/>
      </w:pPr>
      <w:r w:rsidRPr="00A2630C">
        <w:t xml:space="preserve">IRS Revenue Ruling 2025-4 issued in January 2025, treats mandatory state PFML benefit amounts attributable to employer contributions for medical leave as income subject to federal income taxes and wages subject to federal employment taxes, including Social Security, Medicare, and Federal Unemployment Tax Act taxes. </w:t>
      </w:r>
    </w:p>
    <w:p w14:paraId="41B0C2B0" w14:textId="77777777" w:rsidR="00962BDB" w:rsidRPr="00A2630C" w:rsidRDefault="00962BDB" w:rsidP="00337917">
      <w:pPr>
        <w:spacing w:after="0" w:line="240" w:lineRule="auto"/>
      </w:pPr>
      <w:r w:rsidRPr="00A2630C">
        <w:t>The ruling does not treat family leave benefit amounts attributable to employer contributions as wages subject to federal employment taxes, although they are subject to federal income taxes.</w:t>
      </w:r>
    </w:p>
    <w:p w14:paraId="3529BA4C" w14:textId="77777777" w:rsidR="00962BDB" w:rsidRPr="00A2630C" w:rsidRDefault="00962BDB" w:rsidP="00337917">
      <w:pPr>
        <w:spacing w:after="0" w:line="240" w:lineRule="auto"/>
      </w:pPr>
      <w:r w:rsidRPr="00A2630C">
        <w:t>The revenue ruling stated that it would not be enforced for calendar year 2025. In December 2025, the IRS extended the enforcement relief through the end of calendar year 2026 for medical leave benefits attributable to employer contributions.</w:t>
      </w:r>
    </w:p>
    <w:p w14:paraId="1CDCBFB7" w14:textId="77777777" w:rsidR="00962BDB" w:rsidRPr="0003710C" w:rsidRDefault="00962BDB" w:rsidP="00337917">
      <w:pPr>
        <w:pStyle w:val="Heading2"/>
        <w:spacing w:before="0" w:line="240" w:lineRule="auto"/>
        <w:rPr>
          <w:b/>
          <w:bCs/>
          <w:color w:val="auto"/>
        </w:rPr>
      </w:pPr>
      <w:r w:rsidRPr="0003710C">
        <w:rPr>
          <w:color w:val="auto"/>
        </w:rPr>
        <w:t>HB 2345</w:t>
      </w:r>
    </w:p>
    <w:p w14:paraId="5BB39B9B" w14:textId="77777777" w:rsidR="00962BDB" w:rsidRPr="00A2630C" w:rsidRDefault="00962BDB" w:rsidP="00337917">
      <w:pPr>
        <w:spacing w:after="0" w:line="240" w:lineRule="auto"/>
      </w:pPr>
      <w:r w:rsidRPr="00A2630C">
        <w:t>The new Washington law was passed at ESD’s request for the purpose of:</w:t>
      </w:r>
    </w:p>
    <w:p w14:paraId="14657821"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Swapping employer contributions through a technical accounting adjustment from the program’s medical leave premiums to the family leave portions; and</w:t>
      </w:r>
    </w:p>
    <w:p w14:paraId="13BE5645"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 xml:space="preserve">Leaving total contributions unchanged for Washington workers and employers. </w:t>
      </w:r>
    </w:p>
    <w:p w14:paraId="08004519" w14:textId="77777777" w:rsidR="00962BDB" w:rsidRPr="00A2630C" w:rsidRDefault="00962BDB" w:rsidP="00337917">
      <w:pPr>
        <w:spacing w:after="0" w:line="240" w:lineRule="auto"/>
        <w:ind w:left="450"/>
      </w:pPr>
      <w:r w:rsidRPr="00A2630C">
        <w:t xml:space="preserve">HB 2345 allows employers to withhold up to 100% of the </w:t>
      </w:r>
      <w:r w:rsidRPr="00A2630C">
        <w:rPr>
          <w:b/>
          <w:bCs/>
        </w:rPr>
        <w:t>family leave</w:t>
      </w:r>
      <w:r w:rsidRPr="00A2630C">
        <w:t xml:space="preserve"> premium from employees’ wages. For the </w:t>
      </w:r>
      <w:r w:rsidRPr="00A2630C">
        <w:rPr>
          <w:b/>
          <w:bCs/>
        </w:rPr>
        <w:t>medical leave premium</w:t>
      </w:r>
      <w:r w:rsidRPr="00A2630C">
        <w:t>, the law allows employers to withhold an amount equal to the difference between:</w:t>
      </w:r>
    </w:p>
    <w:p w14:paraId="0D67941F"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family leave plus 45% of the full amount of the premium required for medical leave; and</w:t>
      </w:r>
    </w:p>
    <w:p w14:paraId="59AA1A0A"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medical leave.</w:t>
      </w:r>
    </w:p>
    <w:p w14:paraId="6DB5D4FC" w14:textId="77777777" w:rsidR="00962BDB" w:rsidRPr="00A2630C" w:rsidRDefault="00962BDB" w:rsidP="00337917">
      <w:pPr>
        <w:spacing w:after="0" w:line="240" w:lineRule="auto"/>
      </w:pPr>
      <w:r w:rsidRPr="00A2630C">
        <w:t>In an</w:t>
      </w:r>
      <w:r w:rsidRPr="0003710C">
        <w:t xml:space="preserve"> </w:t>
      </w:r>
      <w:hyperlink r:id="rId977" w:history="1">
        <w:r w:rsidRPr="0003710C">
          <w:rPr>
            <w:rStyle w:val="Hyperlink"/>
          </w:rPr>
          <w:t xml:space="preserve">announcement </w:t>
        </w:r>
      </w:hyperlink>
      <w:r w:rsidRPr="0003710C">
        <w:t xml:space="preserve"> </w:t>
      </w:r>
      <w:r w:rsidRPr="00A2630C">
        <w:t>about the law, ESD explained that because employer contributions for paid family leave are not subject to employment taxes, moving employer contributions from medical to family prevents additional federal tax liability. ESD said that had the measure not been passed, up to $30 million annually in tax liabilities would have been drawn from the state’s paid leave trust fund or passed on to Washington employers.</w:t>
      </w:r>
    </w:p>
    <w:p w14:paraId="73B8C234" w14:textId="77777777" w:rsidR="00962BDB" w:rsidRPr="00A2630C" w:rsidRDefault="00962BDB" w:rsidP="00337917">
      <w:pPr>
        <w:spacing w:after="0" w:line="240" w:lineRule="auto"/>
      </w:pPr>
      <w:r w:rsidRPr="00A2630C">
        <w:t>ESD also said that HB 2345 allows employers to avoid significant changes to their business practices that would otherwise be required under the revenue ruling.</w:t>
      </w:r>
    </w:p>
    <w:p w14:paraId="11FF2C12" w14:textId="77777777" w:rsidR="00962BDB" w:rsidRPr="0003710C" w:rsidRDefault="00962BDB" w:rsidP="00337917">
      <w:pPr>
        <w:pStyle w:val="Heading2"/>
        <w:spacing w:before="0" w:line="240" w:lineRule="auto"/>
        <w:rPr>
          <w:b/>
          <w:bCs/>
          <w:color w:val="auto"/>
        </w:rPr>
      </w:pPr>
      <w:r w:rsidRPr="0003710C">
        <w:rPr>
          <w:color w:val="auto"/>
        </w:rPr>
        <w:t>Next Steps for Employers</w:t>
      </w:r>
    </w:p>
    <w:p w14:paraId="054A66AA" w14:textId="77777777" w:rsidR="00962BDB" w:rsidRPr="00A2630C" w:rsidRDefault="00962BDB" w:rsidP="00337917">
      <w:pPr>
        <w:spacing w:after="0" w:line="240" w:lineRule="auto"/>
      </w:pPr>
      <w:r w:rsidRPr="00A2630C">
        <w:t xml:space="preserve">The new law will impact the </w:t>
      </w:r>
      <w:r w:rsidRPr="00A2630C">
        <w:rPr>
          <w:u w:val="single"/>
        </w:rPr>
        <w:t>2027 premium rate split</w:t>
      </w:r>
      <w:r w:rsidRPr="00A2630C">
        <w:t xml:space="preserve"> but does not affect the 2026 premium rate or contribution split. ESD said it will provide information to employers on how to implement the new premium split later this year. </w:t>
      </w:r>
    </w:p>
    <w:p w14:paraId="12513D1C" w14:textId="77777777" w:rsidR="00962BDB" w:rsidRDefault="00962BDB" w:rsidP="00337917">
      <w:pPr>
        <w:spacing w:after="0" w:line="240" w:lineRule="auto"/>
      </w:pPr>
      <w:r w:rsidRPr="00A2630C">
        <w:t>ESD also said it will announce the 2027 premium and detailed premium calculations by mid-November of this year for implementation by employers. </w:t>
      </w:r>
    </w:p>
    <w:p w14:paraId="51A21B3C" w14:textId="77777777" w:rsidR="00962BDB" w:rsidRPr="00A55FB9" w:rsidRDefault="00962BDB" w:rsidP="00962BDB">
      <w:pPr>
        <w:spacing w:after="0" w:line="240" w:lineRule="auto"/>
        <w:rPr>
          <w:sz w:val="16"/>
          <w:szCs w:val="16"/>
        </w:rPr>
      </w:pPr>
    </w:p>
    <w:p w14:paraId="52FBB240" w14:textId="77777777" w:rsidR="00962BDB" w:rsidRDefault="00962BDB" w:rsidP="009B5D14">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 xml:space="preserve">State Passes Law </w:t>
      </w:r>
      <w:r>
        <w:rPr>
          <w:b/>
          <w:bCs/>
          <w:caps/>
          <w:noProof/>
          <w:color w:val="0E425C"/>
          <w:sz w:val="26"/>
          <w:szCs w:val="26"/>
        </w:rPr>
        <w:t xml:space="preserve">BAnning all Noncompete Agreements Effective </w:t>
      </w:r>
      <w:r w:rsidRPr="00A21150">
        <w:rPr>
          <w:b/>
          <w:bCs/>
          <w:caps/>
          <w:color w:val="0070C0"/>
          <w:sz w:val="26"/>
          <w:szCs w:val="26"/>
        </w:rPr>
        <w:t>Jun 30, 2027</w:t>
      </w:r>
    </w:p>
    <w:p w14:paraId="1CF218D8" w14:textId="77777777" w:rsidR="00962BDB" w:rsidRPr="00C41984" w:rsidRDefault="00962BDB" w:rsidP="009B5D14">
      <w:pPr>
        <w:spacing w:after="0" w:line="240" w:lineRule="auto"/>
      </w:pPr>
      <w:r>
        <w:t xml:space="preserve">State </w:t>
      </w:r>
      <w:r w:rsidRPr="00C41984">
        <w:t xml:space="preserve">House Bill 1155 bans noncompetition agreements for all workers in the state, effective June 30, 2027. </w:t>
      </w:r>
    </w:p>
    <w:p w14:paraId="0EAFD6E9" w14:textId="77777777" w:rsidR="00962BDB" w:rsidRPr="00C41984" w:rsidRDefault="00962BDB">
      <w:pPr>
        <w:pStyle w:val="ListParagraph"/>
        <w:numPr>
          <w:ilvl w:val="0"/>
          <w:numId w:val="333"/>
        </w:numPr>
        <w:spacing w:after="0" w:line="240" w:lineRule="auto"/>
      </w:pPr>
      <w:r w:rsidRPr="00C41984">
        <w:t>Under new legislation, all noncompetition covenants in Washington will be void and unenforceable as of June 30, 2027, regardless of when they were executed.</w:t>
      </w:r>
    </w:p>
    <w:p w14:paraId="0AD46437" w14:textId="77777777" w:rsidR="00962BDB" w:rsidRPr="00C41984" w:rsidRDefault="00962BDB">
      <w:pPr>
        <w:numPr>
          <w:ilvl w:val="0"/>
          <w:numId w:val="333"/>
        </w:numPr>
        <w:spacing w:after="0" w:line="240" w:lineRule="auto"/>
      </w:pPr>
      <w:r w:rsidRPr="00C41984">
        <w:t>Noncompetes are defined broadly to include some customer non</w:t>
      </w:r>
      <w:r>
        <w:t>-</w:t>
      </w:r>
      <w:r w:rsidRPr="00C41984">
        <w:t>solicitation agreements, as well as agreements to repay or forfeit pay or benefits if the individual engages in lawful business activity.</w:t>
      </w:r>
    </w:p>
    <w:p w14:paraId="111554F8" w14:textId="77777777" w:rsidR="00962BDB" w:rsidRPr="00C41984" w:rsidRDefault="00962BDB">
      <w:pPr>
        <w:numPr>
          <w:ilvl w:val="0"/>
          <w:numId w:val="333"/>
        </w:numPr>
        <w:spacing w:after="0" w:line="240" w:lineRule="auto"/>
      </w:pPr>
      <w:r w:rsidRPr="00C41984">
        <w:t>The law applies retroactively and requires employers to notify affected employees and independent contractors by October 1, 2027.</w:t>
      </w:r>
    </w:p>
    <w:p w14:paraId="7A697067" w14:textId="77777777" w:rsidR="00962BDB" w:rsidRPr="00C41984" w:rsidRDefault="00962BDB">
      <w:pPr>
        <w:numPr>
          <w:ilvl w:val="0"/>
          <w:numId w:val="333"/>
        </w:numPr>
        <w:spacing w:after="0" w:line="240" w:lineRule="auto"/>
      </w:pPr>
      <w:r w:rsidRPr="00C41984">
        <w:t>Statutory damages and attorney fees are potentially available to aggrieved workers, and the Attorney General may bring enforcement actions.</w:t>
      </w:r>
    </w:p>
    <w:p w14:paraId="3A0A161B" w14:textId="77777777" w:rsidR="00962BDB" w:rsidRPr="008E422E" w:rsidRDefault="00962BDB">
      <w:pPr>
        <w:numPr>
          <w:ilvl w:val="0"/>
          <w:numId w:val="333"/>
        </w:numPr>
        <w:spacing w:after="0" w:line="240" w:lineRule="auto"/>
      </w:pPr>
      <w:r w:rsidRPr="00C41984">
        <w:t>Certain agreements, including narrowly defined non</w:t>
      </w:r>
      <w:r>
        <w:t>-</w:t>
      </w:r>
      <w:r w:rsidRPr="00C41984">
        <w:t>solicitation covenants, confidentiality agreements, and covenants tied to the sale of a business, are not prohibited by the new legislation.</w:t>
      </w:r>
    </w:p>
    <w:p w14:paraId="741568CF" w14:textId="77777777" w:rsidR="00962BDB" w:rsidRPr="009B5D14" w:rsidRDefault="00962BDB" w:rsidP="008167F5">
      <w:pPr>
        <w:spacing w:after="0" w:line="240" w:lineRule="auto"/>
        <w:ind w:left="86"/>
        <w:jc w:val="center"/>
        <w:rPr>
          <w:rFonts w:ascii="Calibri" w:hAnsi="Calibri" w:cs="Calibri"/>
          <w:b/>
          <w:bCs/>
          <w:color w:val="C00000"/>
          <w:sz w:val="16"/>
          <w:szCs w:val="16"/>
          <w:shd w:val="clear" w:color="auto" w:fill="FFFFFF"/>
        </w:rPr>
      </w:pPr>
    </w:p>
    <w:p w14:paraId="3573B2F9" w14:textId="7C8E2459" w:rsidR="004F11ED" w:rsidRPr="00DD7BD1" w:rsidRDefault="004F11ED" w:rsidP="008167F5">
      <w:pPr>
        <w:spacing w:after="0" w:line="240" w:lineRule="auto"/>
        <w:ind w:left="86"/>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New</w:t>
      </w:r>
      <w:r w:rsidR="008167F5" w:rsidRPr="00DD7BD1">
        <w:rPr>
          <w:rFonts w:ascii="Calibri" w:hAnsi="Calibri" w:cs="Calibri"/>
          <w:b/>
          <w:bCs/>
          <w:color w:val="C00000"/>
          <w:sz w:val="28"/>
          <w:szCs w:val="28"/>
          <w:shd w:val="clear" w:color="auto" w:fill="FFFFFF"/>
        </w:rPr>
        <w:t>/</w:t>
      </w:r>
      <w:r w:rsidRPr="00DD7BD1">
        <w:rPr>
          <w:rFonts w:ascii="Calibri" w:hAnsi="Calibri" w:cs="Calibri"/>
          <w:b/>
          <w:bCs/>
          <w:color w:val="C00000"/>
          <w:sz w:val="28"/>
          <w:szCs w:val="28"/>
          <w:shd w:val="clear" w:color="auto" w:fill="FFFFFF"/>
        </w:rPr>
        <w:t>Reminder:</w:t>
      </w:r>
      <w:r w:rsidRPr="00DD7BD1">
        <w:rPr>
          <w:rFonts w:ascii="Calibri" w:hAnsi="Calibri" w:cs="Calibri"/>
          <w:b/>
          <w:bCs/>
          <w:sz w:val="28"/>
          <w:szCs w:val="28"/>
          <w:shd w:val="clear" w:color="auto" w:fill="FFFFFF"/>
        </w:rPr>
        <w:t xml:space="preserve"> State Releases Model Notices &amp; Recap of PFML Changes – </w:t>
      </w:r>
      <w:r w:rsidRPr="00DD7BD1">
        <w:rPr>
          <w:rFonts w:ascii="Calibri" w:hAnsi="Calibri" w:cs="Calibri"/>
          <w:b/>
          <w:bCs/>
          <w:color w:val="C00000"/>
          <w:sz w:val="28"/>
          <w:szCs w:val="28"/>
          <w:shd w:val="clear" w:color="auto" w:fill="FFFFFF"/>
        </w:rPr>
        <w:t>Eff Jan 1, 2026</w:t>
      </w:r>
    </w:p>
    <w:p w14:paraId="32A5BB6C" w14:textId="77777777" w:rsidR="004F11ED" w:rsidRPr="00DD7BD1" w:rsidRDefault="004F11ED" w:rsidP="008167F5">
      <w:pPr>
        <w:pStyle w:val="SubHeader"/>
        <w:spacing w:line="240" w:lineRule="auto"/>
        <w:ind w:left="86"/>
        <w:rPr>
          <w:rFonts w:cs="Calibri"/>
          <w:color w:val="auto"/>
          <w:sz w:val="22"/>
          <w:szCs w:val="22"/>
        </w:rPr>
      </w:pPr>
      <w:r w:rsidRPr="00DD7BD1">
        <w:rPr>
          <w:rFonts w:cs="Calibri"/>
          <w:color w:val="auto"/>
          <w:sz w:val="22"/>
          <w:szCs w:val="22"/>
        </w:rPr>
        <w:t>New PFML Workplace Poster</w:t>
      </w:r>
    </w:p>
    <w:p w14:paraId="1B13E438" w14:textId="77777777" w:rsidR="004F11ED" w:rsidRPr="00DD7BD1" w:rsidRDefault="004F11ED" w:rsidP="008167F5">
      <w:pPr>
        <w:pStyle w:val="BodyText"/>
        <w:ind w:left="90"/>
        <w:rPr>
          <w:rFonts w:cs="Calibri"/>
          <w:color w:val="auto"/>
          <w:szCs w:val="22"/>
        </w:rPr>
      </w:pPr>
      <w:r w:rsidRPr="00DD7BD1">
        <w:rPr>
          <w:rFonts w:cs="Calibri"/>
          <w:color w:val="auto"/>
          <w:szCs w:val="22"/>
        </w:rPr>
        <w:t>The department has updated the workplace PFML</w:t>
      </w:r>
      <w:r w:rsidRPr="00DD7BD1">
        <w:rPr>
          <w:rFonts w:cs="Calibri"/>
          <w:szCs w:val="22"/>
        </w:rPr>
        <w:t xml:space="preserve"> </w:t>
      </w:r>
      <w:hyperlink r:id="rId978"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which must be posted in a place customarily used to post other employment-related notices. ETC released this Notice in January’s HR WIRE.</w:t>
      </w:r>
    </w:p>
    <w:p w14:paraId="652704D8" w14:textId="77777777" w:rsidR="004F11ED" w:rsidRPr="00DD7BD1" w:rsidRDefault="004F11ED" w:rsidP="008167F5">
      <w:pPr>
        <w:pStyle w:val="SubHeader"/>
        <w:ind w:left="90"/>
        <w:rPr>
          <w:rFonts w:cs="Calibri"/>
          <w:color w:val="auto"/>
          <w:sz w:val="22"/>
          <w:szCs w:val="22"/>
        </w:rPr>
      </w:pPr>
      <w:r w:rsidRPr="00DD7BD1">
        <w:rPr>
          <w:rFonts w:cs="Calibri"/>
          <w:color w:val="auto"/>
          <w:sz w:val="22"/>
          <w:szCs w:val="22"/>
        </w:rPr>
        <w:t>Job-Protected Leave Expanded</w:t>
      </w:r>
    </w:p>
    <w:p w14:paraId="24F1BDC5"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2026</w:t>
      </w:r>
      <w:r w:rsidRPr="00DD7BD1">
        <w:rPr>
          <w:rFonts w:cs="Calibri"/>
          <w:b w:val="0"/>
          <w:bCs/>
          <w:color w:val="auto"/>
          <w:sz w:val="22"/>
          <w:szCs w:val="22"/>
        </w:rPr>
        <w:t>, employers with 25 or more employees </w:t>
      </w:r>
      <w:r w:rsidRPr="00DD7BD1">
        <w:rPr>
          <w:rFonts w:cs="Calibri"/>
          <w:b w:val="0"/>
          <w:bCs/>
          <w:i/>
          <w:iCs/>
          <w:color w:val="auto"/>
          <w:sz w:val="22"/>
          <w:szCs w:val="22"/>
        </w:rPr>
        <w:t>in the state </w:t>
      </w:r>
      <w:r w:rsidRPr="00DD7BD1">
        <w:rPr>
          <w:rFonts w:cs="Calibri"/>
          <w:b w:val="0"/>
          <w:bCs/>
          <w:color w:val="auto"/>
          <w:sz w:val="22"/>
          <w:szCs w:val="22"/>
        </w:rPr>
        <w:t>will be required to provide job-protected leave when employees are using PFML (currently the threshold is 50 or more);</w:t>
      </w:r>
    </w:p>
    <w:p w14:paraId="6909E63C"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2027</w:t>
      </w:r>
      <w:r w:rsidRPr="00DD7BD1">
        <w:rPr>
          <w:rFonts w:cs="Calibri"/>
          <w:b w:val="0"/>
          <w:bCs/>
          <w:color w:val="auto"/>
          <w:sz w:val="22"/>
          <w:szCs w:val="22"/>
        </w:rPr>
        <w:t xml:space="preserve">, the threshold drops to 15 or more; and </w:t>
      </w:r>
    </w:p>
    <w:p w14:paraId="3BD28A6D"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2028</w:t>
      </w:r>
      <w:r w:rsidRPr="00DD7BD1">
        <w:rPr>
          <w:rFonts w:cs="Calibri"/>
          <w:b w:val="0"/>
          <w:bCs/>
          <w:color w:val="auto"/>
          <w:sz w:val="22"/>
          <w:szCs w:val="22"/>
        </w:rPr>
        <w:t xml:space="preserve"> employers with just 8 or more employees will need to provide job protection.</w:t>
      </w:r>
    </w:p>
    <w:p w14:paraId="17155064" w14:textId="77777777" w:rsidR="004F11ED" w:rsidRPr="00DD7BD1" w:rsidRDefault="004F11ED" w:rsidP="008167F5">
      <w:pPr>
        <w:pStyle w:val="SubHeader"/>
        <w:ind w:left="90"/>
        <w:rPr>
          <w:rFonts w:cs="Calibri"/>
          <w:b w:val="0"/>
          <w:bCs/>
          <w:color w:val="auto"/>
          <w:sz w:val="16"/>
          <w:szCs w:val="16"/>
        </w:rPr>
      </w:pPr>
    </w:p>
    <w:p w14:paraId="27B9C92C" w14:textId="77777777" w:rsidR="004F11ED" w:rsidRPr="00DD7BD1" w:rsidRDefault="004F11ED" w:rsidP="008167F5">
      <w:pPr>
        <w:pStyle w:val="SubHeader"/>
        <w:ind w:left="90"/>
        <w:rPr>
          <w:rFonts w:cs="Calibri"/>
          <w:b w:val="0"/>
          <w:bCs/>
          <w:color w:val="auto"/>
          <w:sz w:val="22"/>
          <w:szCs w:val="22"/>
        </w:rPr>
      </w:pPr>
      <w:r w:rsidRPr="00DD7BD1">
        <w:rPr>
          <w:rFonts w:cs="Calibri"/>
          <w:b w:val="0"/>
          <w:bCs/>
          <w:color w:val="auto"/>
          <w:sz w:val="22"/>
          <w:szCs w:val="22"/>
        </w:rPr>
        <w:t>Also beginning in 2026, covered employers will be required to provide job-protected leave to all employees who have worked for at least 180 days.</w:t>
      </w:r>
    </w:p>
    <w:p w14:paraId="1D676358" w14:textId="77777777" w:rsidR="004F11ED" w:rsidRPr="00DD7BD1" w:rsidRDefault="004F11ED" w:rsidP="008167F5">
      <w:pPr>
        <w:pStyle w:val="SubHeader"/>
        <w:jc w:val="center"/>
        <w:rPr>
          <w:rFonts w:cs="Calibri"/>
          <w:color w:val="auto"/>
        </w:rPr>
      </w:pPr>
    </w:p>
    <w:p w14:paraId="225AEFF3" w14:textId="77777777" w:rsidR="004F11ED" w:rsidRPr="00DD7BD1" w:rsidRDefault="004F11ED" w:rsidP="008167F5">
      <w:pPr>
        <w:pStyle w:val="SubHeader"/>
        <w:jc w:val="center"/>
        <w:rPr>
          <w:rFonts w:cs="Calibri"/>
          <w:color w:val="auto"/>
        </w:rPr>
      </w:pPr>
      <w:r w:rsidRPr="00DD7BD1">
        <w:rPr>
          <w:rFonts w:cs="Calibri"/>
          <w:color w:val="C00000"/>
        </w:rPr>
        <w:t xml:space="preserve">New! </w:t>
      </w:r>
      <w:r w:rsidRPr="00DD7BD1">
        <w:rPr>
          <w:rFonts w:cs="Calibri"/>
          <w:color w:val="auto"/>
        </w:rPr>
        <w:t>Notice of Job Protection/Notice of Reinstatement</w:t>
      </w:r>
    </w:p>
    <w:p w14:paraId="15B413F9" w14:textId="77777777" w:rsidR="004F11ED" w:rsidRPr="00DD7BD1" w:rsidRDefault="004F11ED" w:rsidP="008167F5">
      <w:pPr>
        <w:pStyle w:val="BodyText"/>
        <w:rPr>
          <w:rFonts w:cs="Calibri"/>
          <w:color w:val="auto"/>
          <w:szCs w:val="22"/>
        </w:rPr>
      </w:pPr>
      <w:r w:rsidRPr="00DD7BD1">
        <w:rPr>
          <w:rFonts w:cs="Calibri"/>
          <w:color w:val="auto"/>
          <w:szCs w:val="22"/>
        </w:rPr>
        <w:t xml:space="preserve">As mentioned, amendments to PFML effective Jan. 1, 2026, expanded job protection during leave to employees who have worked for their employer for at least </w:t>
      </w:r>
      <w:r w:rsidRPr="00DD7BD1">
        <w:rPr>
          <w:rFonts w:cs="Calibri"/>
          <w:b/>
          <w:bCs/>
          <w:color w:val="auto"/>
          <w:szCs w:val="22"/>
        </w:rPr>
        <w:t xml:space="preserve">180 days </w:t>
      </w:r>
      <w:r w:rsidRPr="00DD7BD1">
        <w:rPr>
          <w:rFonts w:cs="Calibri"/>
          <w:color w:val="auto"/>
          <w:szCs w:val="22"/>
        </w:rPr>
        <w:t xml:space="preserve">(among other changes). Until Jan. 1, job restoration was required only for employees who had worked for their employer for 12 months and for 1,250 hours in the 12 months immediately before the leave. Starting in 2026, job protected leave expands to impact a greater number of employers over the next 3 years. </w:t>
      </w:r>
    </w:p>
    <w:p w14:paraId="386EF101"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 xml:space="preserve">Employers will be required to provide most employees with written notice of the estimated expiration of their right to job restoration and the date they are expected to return to work. </w:t>
      </w:r>
    </w:p>
    <w:p w14:paraId="13207A06"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This notice is required when:</w:t>
      </w:r>
    </w:p>
    <w:p w14:paraId="5FF5F6AB" w14:textId="77777777" w:rsidR="004F11ED" w:rsidRPr="00DD7BD1" w:rsidRDefault="004F11ED">
      <w:pPr>
        <w:pStyle w:val="BodyText"/>
        <w:numPr>
          <w:ilvl w:val="0"/>
          <w:numId w:val="325"/>
        </w:numPr>
        <w:spacing w:after="0" w:line="240" w:lineRule="auto"/>
        <w:ind w:left="540"/>
        <w:rPr>
          <w:rFonts w:cs="Calibri"/>
          <w:color w:val="auto"/>
          <w:szCs w:val="22"/>
        </w:rPr>
      </w:pPr>
      <w:r w:rsidRPr="00DD7BD1">
        <w:rPr>
          <w:rFonts w:cs="Calibri"/>
          <w:color w:val="auto"/>
          <w:szCs w:val="22"/>
        </w:rPr>
        <w:t>The employee takes a continuous leave that </w:t>
      </w:r>
      <w:r w:rsidRPr="00DD7BD1">
        <w:rPr>
          <w:rFonts w:cs="Calibri"/>
          <w:i/>
          <w:iCs/>
          <w:color w:val="auto"/>
          <w:szCs w:val="22"/>
        </w:rPr>
        <w:t>exceeds</w:t>
      </w:r>
      <w:r w:rsidRPr="00DD7BD1">
        <w:rPr>
          <w:rFonts w:cs="Calibri"/>
          <w:color w:val="auto"/>
          <w:szCs w:val="22"/>
        </w:rPr>
        <w:t> two typical workweeks (14 workdays), or</w:t>
      </w:r>
    </w:p>
    <w:p w14:paraId="7A04EAB0" w14:textId="77777777" w:rsidR="004F11ED" w:rsidRPr="00DD7BD1" w:rsidRDefault="004F11ED">
      <w:pPr>
        <w:pStyle w:val="BodyText"/>
        <w:numPr>
          <w:ilvl w:val="0"/>
          <w:numId w:val="325"/>
        </w:numPr>
        <w:spacing w:after="0" w:line="240" w:lineRule="auto"/>
        <w:ind w:left="540"/>
        <w:rPr>
          <w:rFonts w:cs="Calibri"/>
          <w:color w:val="auto"/>
          <w:szCs w:val="22"/>
        </w:rPr>
      </w:pPr>
      <w:r w:rsidRPr="00DD7BD1">
        <w:rPr>
          <w:rFonts w:cs="Calibri"/>
          <w:color w:val="auto"/>
          <w:szCs w:val="22"/>
        </w:rPr>
        <w:t>The employee takes combined intermittent periods of leave of 15 or more typical workdays.</w:t>
      </w:r>
    </w:p>
    <w:p w14:paraId="29AC69B6" w14:textId="77777777" w:rsidR="004F11ED" w:rsidRPr="00DD7BD1" w:rsidRDefault="004F11ED" w:rsidP="008167F5">
      <w:pPr>
        <w:pStyle w:val="BodyText"/>
        <w:spacing w:after="0" w:line="240" w:lineRule="auto"/>
        <w:ind w:left="540"/>
        <w:rPr>
          <w:rFonts w:cs="Calibri"/>
          <w:color w:val="auto"/>
          <w:szCs w:val="22"/>
        </w:rPr>
      </w:pPr>
      <w:r w:rsidRPr="00DD7BD1">
        <w:rPr>
          <w:rFonts w:cs="Calibri"/>
          <w:color w:val="auto"/>
          <w:szCs w:val="22"/>
        </w:rPr>
        <w:t xml:space="preserve">The notice must be provided at least </w:t>
      </w:r>
      <w:r w:rsidRPr="00DD7BD1">
        <w:rPr>
          <w:rFonts w:cs="Calibri"/>
          <w:b/>
          <w:bCs/>
          <w:color w:val="auto"/>
          <w:szCs w:val="22"/>
        </w:rPr>
        <w:t>5 business days in advance</w:t>
      </w:r>
      <w:r w:rsidRPr="00DD7BD1">
        <w:rPr>
          <w:rFonts w:cs="Calibri"/>
          <w:color w:val="auto"/>
          <w:szCs w:val="22"/>
        </w:rPr>
        <w:t>, be in a</w:t>
      </w:r>
      <w:r w:rsidRPr="00DD7BD1">
        <w:rPr>
          <w:rFonts w:cs="Calibri"/>
          <w:b/>
          <w:bCs/>
          <w:color w:val="auto"/>
          <w:szCs w:val="22"/>
        </w:rPr>
        <w:t xml:space="preserve"> language the employee understands</w:t>
      </w:r>
      <w:r w:rsidRPr="00DD7BD1">
        <w:rPr>
          <w:rFonts w:cs="Calibri"/>
          <w:color w:val="auto"/>
          <w:szCs w:val="22"/>
        </w:rPr>
        <w:t>, and be sent by a method that will p</w:t>
      </w:r>
      <w:r w:rsidRPr="00DD7BD1">
        <w:rPr>
          <w:rFonts w:cs="Calibri"/>
          <w:b/>
          <w:bCs/>
          <w:color w:val="auto"/>
          <w:szCs w:val="22"/>
        </w:rPr>
        <w:t>romptly reach the employee</w:t>
      </w:r>
      <w:r w:rsidRPr="00DD7BD1">
        <w:rPr>
          <w:rFonts w:cs="Calibri"/>
          <w:color w:val="auto"/>
          <w:szCs w:val="22"/>
        </w:rPr>
        <w:t xml:space="preserve">. </w:t>
      </w:r>
    </w:p>
    <w:p w14:paraId="566023B0" w14:textId="77777777" w:rsidR="004F11ED" w:rsidRPr="00DD7BD1" w:rsidRDefault="004F11ED" w:rsidP="004F11ED">
      <w:pPr>
        <w:pStyle w:val="BodyText"/>
        <w:spacing w:after="0" w:line="240" w:lineRule="auto"/>
        <w:ind w:left="1980"/>
        <w:rPr>
          <w:rFonts w:cs="Calibri"/>
          <w:color w:val="auto"/>
          <w:sz w:val="16"/>
          <w:szCs w:val="16"/>
        </w:rPr>
      </w:pPr>
    </w:p>
    <w:p w14:paraId="4145F619"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NOTE: For intermittent leave, employers can estimate the expiration date based on information they have from both the employee and the state. The department has created a new</w:t>
      </w:r>
      <w:r w:rsidRPr="00DD7BD1">
        <w:rPr>
          <w:rFonts w:cs="Calibri"/>
          <w:szCs w:val="22"/>
        </w:rPr>
        <w:t xml:space="preserve"> </w:t>
      </w:r>
      <w:hyperlink r:id="rId979"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employers to use to meet this requirement.</w:t>
      </w:r>
    </w:p>
    <w:p w14:paraId="33FEEAC9" w14:textId="77777777" w:rsidR="004F11ED" w:rsidRPr="00DD7BD1" w:rsidRDefault="004F11ED" w:rsidP="008167F5">
      <w:pPr>
        <w:pStyle w:val="SubHeader"/>
        <w:rPr>
          <w:rFonts w:cs="Calibri"/>
          <w:color w:val="auto"/>
          <w:sz w:val="16"/>
          <w:szCs w:val="16"/>
        </w:rPr>
      </w:pPr>
    </w:p>
    <w:p w14:paraId="5581E25B" w14:textId="77777777" w:rsidR="004F11ED" w:rsidRPr="00DD7BD1" w:rsidRDefault="004F11ED" w:rsidP="008167F5">
      <w:pPr>
        <w:pStyle w:val="SubHeader"/>
        <w:rPr>
          <w:rFonts w:cs="Calibri"/>
          <w:color w:val="auto"/>
          <w:sz w:val="22"/>
          <w:szCs w:val="22"/>
        </w:rPr>
      </w:pPr>
      <w:r w:rsidRPr="00DD7BD1">
        <w:rPr>
          <w:rFonts w:cs="Calibri"/>
          <w:color w:val="auto"/>
          <w:sz w:val="22"/>
          <w:szCs w:val="22"/>
        </w:rPr>
        <w:t>Additional Notices</w:t>
      </w:r>
    </w:p>
    <w:p w14:paraId="4939475E" w14:textId="2469541B" w:rsidR="004F11ED" w:rsidRPr="00DD7BD1" w:rsidRDefault="004F11ED" w:rsidP="008167F5">
      <w:pPr>
        <w:pStyle w:val="BodyText"/>
        <w:rPr>
          <w:rFonts w:cs="Calibri"/>
          <w:color w:val="auto"/>
          <w:szCs w:val="22"/>
        </w:rPr>
      </w:pPr>
      <w:r w:rsidRPr="00DD7BD1">
        <w:rPr>
          <w:rFonts w:cs="Calibri"/>
          <w:color w:val="auto"/>
          <w:szCs w:val="22"/>
        </w:rPr>
        <w:t>Additional notices are expected, such as a notice about counting Family and Medical Leave Act leave against an employee’s PFML job protection, and an updated individual employee notice of PFML.  As released, ETC will alert employer clients of new notices.</w:t>
      </w:r>
      <w:r w:rsidR="008167F5" w:rsidRPr="00DD7BD1">
        <w:rPr>
          <w:rFonts w:cs="Calibri"/>
          <w:color w:val="auto"/>
          <w:szCs w:val="22"/>
        </w:rPr>
        <w:t xml:space="preserve"> </w:t>
      </w:r>
      <w:hyperlink r:id="rId980" w:tgtFrame="_blank" w:history="1">
        <w:r w:rsidRPr="00DD7BD1">
          <w:rPr>
            <w:rStyle w:val="Hyperlink"/>
            <w:rFonts w:cs="Calibri"/>
            <w:szCs w:val="22"/>
          </w:rPr>
          <w:t>HB 1213</w:t>
        </w:r>
      </w:hyperlink>
      <w:r w:rsidRPr="00DD7BD1">
        <w:rPr>
          <w:rFonts w:cs="Calibri"/>
          <w:color w:val="auto"/>
          <w:szCs w:val="22"/>
        </w:rPr>
        <w:t> was signed by the governor on May 17, 2025.</w:t>
      </w:r>
    </w:p>
    <w:p w14:paraId="542BC1C5" w14:textId="7C8E18BF" w:rsidR="00832362" w:rsidRPr="00DD7BD1" w:rsidRDefault="00832362" w:rsidP="00832362">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Workplace Violence Law for </w:t>
      </w:r>
      <w:r w:rsidRPr="00DD7BD1">
        <w:rPr>
          <w:rFonts w:ascii="Calibri" w:hAnsi="Calibri" w:cs="Calibri"/>
          <w:b/>
          <w:bCs/>
          <w:sz w:val="28"/>
          <w:szCs w:val="28"/>
          <w:u w:val="single"/>
          <w:shd w:val="clear" w:color="auto" w:fill="FFFFFF"/>
          <w:lang w:val="en"/>
        </w:rPr>
        <w:t>Healthcare Settings</w:t>
      </w:r>
      <w:r w:rsidRPr="00DD7BD1">
        <w:rPr>
          <w:rFonts w:ascii="Calibri" w:hAnsi="Calibri" w:cs="Calibri"/>
          <w:b/>
          <w:bCs/>
          <w:sz w:val="28"/>
          <w:szCs w:val="28"/>
          <w:shd w:val="clear" w:color="auto" w:fill="FFFFFF"/>
          <w:lang w:val="en"/>
        </w:rPr>
        <w:t xml:space="preserve"> - Eff </w:t>
      </w:r>
      <w:r w:rsidRPr="00DD7BD1">
        <w:rPr>
          <w:rFonts w:ascii="Calibri" w:hAnsi="Calibri" w:cs="Calibri"/>
          <w:b/>
          <w:bCs/>
          <w:color w:val="C00000"/>
          <w:sz w:val="28"/>
          <w:szCs w:val="28"/>
          <w:shd w:val="clear" w:color="auto" w:fill="FFFFFF"/>
          <w:lang w:val="en"/>
        </w:rPr>
        <w:t>Jan 1, 2026</w:t>
      </w:r>
    </w:p>
    <w:p w14:paraId="27C8A225" w14:textId="4802456F" w:rsidR="00832362" w:rsidRPr="00DD7BD1" w:rsidRDefault="00832362" w:rsidP="00B532F8">
      <w:pPr>
        <w:spacing w:after="0" w:line="240" w:lineRule="auto"/>
        <w:rPr>
          <w:rFonts w:ascii="Calibri" w:hAnsi="Calibri" w:cs="Calibri"/>
        </w:rPr>
      </w:pPr>
      <w:hyperlink r:id="rId981" w:history="1">
        <w:r w:rsidRPr="00DD7BD1">
          <w:rPr>
            <w:rStyle w:val="Hyperlink"/>
            <w:rFonts w:ascii="Calibri" w:hAnsi="Calibri" w:cs="Calibri"/>
          </w:rPr>
          <w:t>HB 1162</w:t>
        </w:r>
      </w:hyperlink>
      <w:r w:rsidRPr="00DD7BD1">
        <w:rPr>
          <w:rFonts w:ascii="Calibri" w:hAnsi="Calibri" w:cs="Calibri"/>
        </w:rPr>
        <w:t xml:space="preserve"> builds on the 2019 workplace violence prevention law by </w:t>
      </w:r>
      <w:r w:rsidRPr="00DD7BD1">
        <w:rPr>
          <w:rFonts w:ascii="Calibri" w:hAnsi="Calibri" w:cs="Calibri"/>
          <w:b/>
          <w:bCs/>
        </w:rPr>
        <w:t>requiring more frequent and detailed reviews of workplace violence incidents in healthcare settings</w:t>
      </w:r>
      <w:r w:rsidRPr="00DD7BD1">
        <w:rPr>
          <w:rFonts w:ascii="Calibri" w:hAnsi="Calibri" w:cs="Calibri"/>
        </w:rPr>
        <w:t>. (Healthcare settings include certain hospitals, hospice and home care agencies, and evaluation and treatment facilities.) It requires healthcare settings to promptly investigate every workplace violence incident, including identifying the factors that contributed to or caused the incident. Healthcare settings must also submit quarterly summaries of each incident—and the related investigations and analyses—to their safety committee or workplace violence committee, unless an exception applies. Under the amended law, healthcare settings must also conduct an annual comprehensive review and update of their workplace violence prevention plans. By contrast, the current law requires developing and implementing these plans only every three years.</w:t>
      </w:r>
    </w:p>
    <w:p w14:paraId="720370FC" w14:textId="4A6E5685" w:rsidR="00832362" w:rsidRPr="00DD7BD1" w:rsidRDefault="00832362" w:rsidP="008167F5">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Employers in healthcare settings should review the enactment and update their workplace policies and procedures accordingly. Employers should also be prepared to train staff on how to properly report, document, and investigate incidents of workplace violence to ensure compliance.</w:t>
      </w:r>
    </w:p>
    <w:p w14:paraId="5C87FDAB" w14:textId="77777777" w:rsidR="008167F5" w:rsidRPr="00DD7BD1" w:rsidRDefault="008167F5" w:rsidP="008167F5">
      <w:pPr>
        <w:spacing w:after="0" w:line="240" w:lineRule="auto"/>
        <w:rPr>
          <w:rFonts w:ascii="Calibri" w:hAnsi="Calibri" w:cs="Calibri"/>
        </w:rPr>
      </w:pPr>
    </w:p>
    <w:p w14:paraId="09126358" w14:textId="41FCD62C" w:rsidR="00832362" w:rsidRPr="00DD7BD1" w:rsidRDefault="00832362" w:rsidP="008167F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Enhanced Workplace Safety Standards for Applicable Isolated Employees - Eff </w:t>
      </w:r>
      <w:r w:rsidRPr="00DD7BD1">
        <w:rPr>
          <w:rFonts w:ascii="Calibri" w:hAnsi="Calibri" w:cs="Calibri"/>
          <w:b/>
          <w:bCs/>
          <w:color w:val="C00000"/>
          <w:sz w:val="28"/>
          <w:szCs w:val="28"/>
          <w:shd w:val="clear" w:color="auto" w:fill="FFFFFF"/>
          <w:lang w:val="en"/>
        </w:rPr>
        <w:t>Jan 1, 2026</w:t>
      </w:r>
    </w:p>
    <w:p w14:paraId="5AC99891" w14:textId="3AD2BF2C" w:rsidR="00832362" w:rsidRPr="00DD7BD1" w:rsidRDefault="00832362" w:rsidP="008167F5">
      <w:pPr>
        <w:spacing w:after="0" w:line="240" w:lineRule="auto"/>
        <w:rPr>
          <w:rFonts w:ascii="Calibri" w:hAnsi="Calibri" w:cs="Calibri"/>
        </w:rPr>
      </w:pPr>
      <w:hyperlink r:id="rId982" w:history="1">
        <w:r w:rsidRPr="00DD7BD1">
          <w:rPr>
            <w:rStyle w:val="Hyperlink"/>
            <w:rFonts w:ascii="Calibri" w:hAnsi="Calibri" w:cs="Calibri"/>
          </w:rPr>
          <w:t>HB 1524</w:t>
        </w:r>
      </w:hyperlink>
      <w:r w:rsidRPr="00DD7BD1">
        <w:rPr>
          <w:rFonts w:ascii="Calibri" w:hAnsi="Calibri" w:cs="Calibri"/>
        </w:rPr>
        <w:t> applies to</w:t>
      </w:r>
      <w:r w:rsidRPr="00DD7BD1">
        <w:rPr>
          <w:rFonts w:ascii="Calibri" w:hAnsi="Calibri" w:cs="Calibri"/>
          <w:u w:val="single"/>
        </w:rPr>
        <w:t xml:space="preserve"> hotels, motels, retail businesses, security guard companies, and property services</w:t>
      </w:r>
      <w:r w:rsidRPr="00DD7BD1">
        <w:rPr>
          <w:rFonts w:ascii="Calibri" w:hAnsi="Calibri" w:cs="Calibri"/>
        </w:rPr>
        <w:t xml:space="preserve"> contractors that employ at least one isolated worker. </w:t>
      </w:r>
    </w:p>
    <w:p w14:paraId="215ED0A4" w14:textId="62E6E251" w:rsidR="00832362" w:rsidRPr="00DD7BD1" w:rsidRDefault="00832362" w:rsidP="00832362">
      <w:pPr>
        <w:rPr>
          <w:rFonts w:ascii="Calibri" w:hAnsi="Calibri" w:cs="Calibri"/>
        </w:rPr>
      </w:pPr>
      <w:r w:rsidRPr="00DD7BD1">
        <w:rPr>
          <w:rFonts w:ascii="Calibri" w:hAnsi="Calibri" w:cs="Calibri"/>
        </w:rPr>
        <w:t>HB 1524 updates the definition of “isolated employee” and imposes new requirements for panic buttons, which isolated employees must carry. (“Isolated employee” is defined as a janitor, security guard, hotel or motel housekeeper, or room service attendant who either “[p]erforms work in an area where two or more coworkers, supervisors, or a combination thereof are unable to immediately respond to an emergency without being summoned by the employee” or “spends at least 50 percent of her or his working hours without a supervisor or coworker present.”) Employers must train isolated employees on the proper use of panic buttons and instruct managers and supervisors on their responsibilities to respond to panic button alerts. The amendment also sets minimum standards for panic buttons, including ease of use. Employers are required to maintain records of panic button purchases, usage, and training. Willful violations may result in civil penalties of $1,000 per violation and up to $10,000 for repeat violations.</w:t>
      </w:r>
    </w:p>
    <w:p w14:paraId="538FF160" w14:textId="06F69A19" w:rsidR="00832362" w:rsidRPr="00DD7BD1" w:rsidRDefault="00832362" w:rsidP="00832362">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Employers of isolated employees should review the regulatory requirements and update both their policies and procedures regarding the use of panic buttons to ensure compliance with the new requirements.</w:t>
      </w:r>
    </w:p>
    <w:p w14:paraId="39DE4527" w14:textId="44AD9DEA" w:rsidR="00E732BB" w:rsidRPr="00DD7BD1" w:rsidRDefault="00E732BB" w:rsidP="00E732BB">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Announces PFML Premium Rate for 2026 – Eff </w:t>
      </w:r>
      <w:r w:rsidRPr="00DD7BD1">
        <w:rPr>
          <w:rFonts w:ascii="Calibri" w:hAnsi="Calibri" w:cs="Calibri"/>
          <w:b/>
          <w:bCs/>
          <w:color w:val="C00000"/>
          <w:sz w:val="28"/>
          <w:szCs w:val="28"/>
          <w:shd w:val="clear" w:color="auto" w:fill="FFFFFF"/>
        </w:rPr>
        <w:t>Jan 1, 2026</w:t>
      </w:r>
    </w:p>
    <w:p w14:paraId="1F0FB838" w14:textId="77777777" w:rsidR="00E732BB" w:rsidRPr="00DD7BD1" w:rsidRDefault="00E732BB" w:rsidP="00E732BB">
      <w:pPr>
        <w:pStyle w:val="BodyText"/>
        <w:spacing w:after="0" w:line="240" w:lineRule="auto"/>
        <w:rPr>
          <w:rFonts w:cs="Calibri"/>
          <w:color w:val="auto"/>
          <w:szCs w:val="22"/>
        </w:rPr>
      </w:pPr>
      <w:r w:rsidRPr="00DD7BD1">
        <w:rPr>
          <w:rFonts w:cs="Calibri"/>
          <w:color w:val="auto"/>
          <w:szCs w:val="22"/>
        </w:rPr>
        <w:t xml:space="preserve">Washington state has announced an increase to its paid family and medical leave (PFML)  </w:t>
      </w:r>
      <w:hyperlink r:id="rId983" w:history="1">
        <w:r w:rsidRPr="00DD7BD1">
          <w:rPr>
            <w:rStyle w:val="Hyperlink"/>
            <w:rFonts w:cs="Calibri"/>
            <w:szCs w:val="22"/>
          </w:rPr>
          <w:t>premium rate</w:t>
        </w:r>
      </w:hyperlink>
      <w:r w:rsidRPr="00DD7BD1">
        <w:rPr>
          <w:rFonts w:cs="Calibri"/>
          <w:szCs w:val="22"/>
        </w:rPr>
        <w:t xml:space="preserve"> </w:t>
      </w:r>
      <w:r w:rsidRPr="00DD7BD1">
        <w:rPr>
          <w:rFonts w:cs="Calibri"/>
          <w:color w:val="auto"/>
          <w:szCs w:val="22"/>
        </w:rPr>
        <w:t xml:space="preserve">for 2026. The rate is adjusted annually based on premiums contributed and benefits paid during the previous year. </w:t>
      </w:r>
    </w:p>
    <w:p w14:paraId="391B0806"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2026 Premium Rate</w:t>
      </w:r>
    </w:p>
    <w:p w14:paraId="5D0F9330" w14:textId="77777777" w:rsidR="00E732BB" w:rsidRPr="00DD7BD1" w:rsidRDefault="00E732BB" w:rsidP="00E732BB">
      <w:pPr>
        <w:pStyle w:val="BodyText"/>
        <w:rPr>
          <w:rFonts w:cs="Calibri"/>
          <w:color w:val="auto"/>
          <w:szCs w:val="22"/>
        </w:rPr>
      </w:pPr>
      <w:r w:rsidRPr="00DD7BD1">
        <w:rPr>
          <w:rFonts w:cs="Calibri"/>
          <w:color w:val="auto"/>
          <w:szCs w:val="22"/>
        </w:rPr>
        <w:t>Starting Jan. 1, 2026, the PFML premium rate will be</w:t>
      </w:r>
      <w:r w:rsidRPr="00DD7BD1">
        <w:rPr>
          <w:rStyle w:val="Strong"/>
          <w:rFonts w:cs="Calibri"/>
          <w:color w:val="auto"/>
          <w:szCs w:val="22"/>
        </w:rPr>
        <w:t xml:space="preserve"> </w:t>
      </w:r>
      <w:r w:rsidRPr="00DD7BD1">
        <w:rPr>
          <w:rFonts w:cs="Calibri"/>
          <w:b/>
          <w:bCs/>
          <w:color w:val="auto"/>
          <w:szCs w:val="22"/>
        </w:rPr>
        <w:t xml:space="preserve">1.13% </w:t>
      </w:r>
      <w:r w:rsidRPr="00DD7BD1">
        <w:rPr>
          <w:rFonts w:cs="Calibri"/>
          <w:color w:val="auto"/>
          <w:szCs w:val="22"/>
        </w:rPr>
        <w:t>of each employee’s gross wages, not including tips, up to the 2026 Social Security cap of $184,500. This is an increase from the 2025 premium rate of 0.92% of wages.</w:t>
      </w:r>
    </w:p>
    <w:p w14:paraId="398E7D71" w14:textId="77777777" w:rsidR="00E732BB" w:rsidRPr="00DD7BD1" w:rsidRDefault="00E732BB" w:rsidP="00E732BB">
      <w:pPr>
        <w:pStyle w:val="BodyText"/>
        <w:rPr>
          <w:rFonts w:cs="Calibri"/>
          <w:color w:val="auto"/>
          <w:szCs w:val="22"/>
        </w:rPr>
      </w:pPr>
      <w:r w:rsidRPr="00DD7BD1">
        <w:rPr>
          <w:rFonts w:cs="Calibri"/>
          <w:color w:val="auto"/>
          <w:szCs w:val="22"/>
        </w:rPr>
        <w:t xml:space="preserve">Of the total 1.13% contribution in 2026, employers with 50 or more employees will pay </w:t>
      </w:r>
      <w:r w:rsidRPr="00DD7BD1">
        <w:rPr>
          <w:rFonts w:cs="Calibri"/>
          <w:b/>
          <w:bCs/>
          <w:color w:val="auto"/>
          <w:szCs w:val="22"/>
        </w:rPr>
        <w:t>28.57%</w:t>
      </w:r>
      <w:r w:rsidRPr="00DD7BD1">
        <w:rPr>
          <w:rFonts w:cs="Calibri"/>
          <w:color w:val="auto"/>
          <w:szCs w:val="22"/>
        </w:rPr>
        <w:t xml:space="preserve">, and employee withholding will cover the remaining 71.43%, a similar ratio as in 2025. Employers may pay some or all of the employees’ share on their behalf if they choose. Employers with </w:t>
      </w:r>
      <w:r w:rsidRPr="00DD7BD1">
        <w:rPr>
          <w:rFonts w:cs="Calibri"/>
          <w:b/>
          <w:color w:val="auto"/>
          <w:szCs w:val="22"/>
        </w:rPr>
        <w:t>fewer than 50 employees</w:t>
      </w:r>
      <w:r w:rsidRPr="00DD7BD1">
        <w:rPr>
          <w:rFonts w:cs="Calibri"/>
          <w:color w:val="auto"/>
          <w:szCs w:val="22"/>
        </w:rPr>
        <w:t xml:space="preserve"> employed in the state are not required to pay the employer portion of premiums, but they are eligible for grant assistance if they do.</w:t>
      </w:r>
    </w:p>
    <w:p w14:paraId="2A6F2C32" w14:textId="77777777" w:rsidR="00E732BB" w:rsidRPr="00DD7BD1" w:rsidRDefault="00E732BB" w:rsidP="00E732BB">
      <w:pPr>
        <w:pStyle w:val="SubHeader"/>
        <w:rPr>
          <w:rFonts w:cs="Calibri"/>
          <w:color w:val="auto"/>
          <w:sz w:val="22"/>
          <w:szCs w:val="22"/>
        </w:rPr>
      </w:pPr>
      <w:r w:rsidRPr="00DD7BD1">
        <w:rPr>
          <w:rFonts w:cs="Calibri"/>
          <w:noProof/>
          <w:color w:val="auto"/>
          <w:sz w:val="22"/>
          <w:szCs w:val="22"/>
        </w:rPr>
        <w:t>Employer Withholding</w:t>
      </w:r>
      <w:r w:rsidRPr="00DD7BD1">
        <w:rPr>
          <w:rFonts w:cs="Calibri"/>
          <w:color w:val="auto"/>
          <w:sz w:val="22"/>
          <w:szCs w:val="22"/>
        </w:rPr>
        <w:t xml:space="preserve"> </w:t>
      </w:r>
    </w:p>
    <w:p w14:paraId="05FF5355" w14:textId="77777777" w:rsidR="00E732BB" w:rsidRPr="00DD7BD1" w:rsidRDefault="00E732BB" w:rsidP="00E732BB">
      <w:pPr>
        <w:pStyle w:val="BodyText"/>
        <w:rPr>
          <w:rFonts w:cs="Calibri"/>
          <w:color w:val="auto"/>
          <w:szCs w:val="22"/>
        </w:rPr>
      </w:pPr>
      <w:r w:rsidRPr="00DD7BD1">
        <w:rPr>
          <w:rFonts w:cs="Calibri"/>
          <w:color w:val="auto"/>
          <w:szCs w:val="22"/>
        </w:rPr>
        <w:t xml:space="preserve">All employers must withhold employees’ premiums from their paychecks </w:t>
      </w:r>
      <w:r w:rsidRPr="00DD7BD1">
        <w:rPr>
          <w:rFonts w:cs="Calibri"/>
          <w:bCs/>
          <w:color w:val="auto"/>
          <w:szCs w:val="22"/>
        </w:rPr>
        <w:t xml:space="preserve">and </w:t>
      </w:r>
      <w:r w:rsidRPr="00DD7BD1">
        <w:rPr>
          <w:rFonts w:cs="Calibri"/>
          <w:color w:val="auto"/>
          <w:szCs w:val="22"/>
        </w:rPr>
        <w:t xml:space="preserve">pay the employer’s share, if any. The payments are made quarterly, with the filing of employer reports through </w:t>
      </w:r>
      <w:hyperlink r:id="rId984" w:history="1">
        <w:r w:rsidRPr="00DD7BD1">
          <w:rPr>
            <w:rStyle w:val="Hyperlink"/>
            <w:rFonts w:cs="Calibri"/>
            <w:szCs w:val="22"/>
          </w:rPr>
          <w:t>SecureAccess Washington</w:t>
        </w:r>
      </w:hyperlink>
      <w:r w:rsidRPr="00DD7BD1">
        <w:rPr>
          <w:rFonts w:cs="Calibri"/>
          <w:szCs w:val="22"/>
        </w:rPr>
        <w:t xml:space="preserve">. </w:t>
      </w:r>
      <w:r w:rsidRPr="00DD7BD1">
        <w:rPr>
          <w:rFonts w:cs="Calibri"/>
          <w:color w:val="auto"/>
          <w:szCs w:val="22"/>
        </w:rPr>
        <w:t>First-quarter premiums using the new rate are due by the end of April 2026. Employers may not retroactively withhold premiums from employees.</w:t>
      </w:r>
    </w:p>
    <w:p w14:paraId="2F2C9D33"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Upcoming Changes to PFML</w:t>
      </w:r>
    </w:p>
    <w:p w14:paraId="3AA3D2E4" w14:textId="51A31349" w:rsidR="00E732BB" w:rsidRPr="00DD7BD1" w:rsidRDefault="00E732BB" w:rsidP="001B7DD5">
      <w:pPr>
        <w:pStyle w:val="BodyText"/>
        <w:spacing w:after="0" w:line="240" w:lineRule="auto"/>
        <w:rPr>
          <w:rFonts w:cs="Calibri"/>
          <w:color w:val="auto"/>
          <w:szCs w:val="22"/>
        </w:rPr>
      </w:pPr>
      <w:r w:rsidRPr="00DD7BD1">
        <w:rPr>
          <w:rFonts w:cs="Calibri"/>
          <w:color w:val="auto"/>
          <w:szCs w:val="22"/>
        </w:rPr>
        <w:t xml:space="preserve">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 </w:t>
      </w:r>
    </w:p>
    <w:p w14:paraId="569A033B" w14:textId="77777777" w:rsidR="001B7DD5" w:rsidRPr="00DD7BD1" w:rsidRDefault="001B7DD5" w:rsidP="001B7DD5">
      <w:pPr>
        <w:spacing w:after="0" w:line="240" w:lineRule="auto"/>
        <w:jc w:val="center"/>
        <w:rPr>
          <w:rFonts w:ascii="Calibri" w:hAnsi="Calibri" w:cs="Calibri"/>
          <w:b/>
          <w:bCs/>
          <w:shd w:val="clear" w:color="auto" w:fill="FFFFFF"/>
        </w:rPr>
      </w:pPr>
    </w:p>
    <w:p w14:paraId="72C8986A" w14:textId="7BB129B5" w:rsidR="00C4571D" w:rsidRPr="00DD7BD1" w:rsidRDefault="00C4571D" w:rsidP="001B7DD5">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State’s Minimum Wage &amp; Salary Threshold Increasing – </w:t>
      </w:r>
      <w:r w:rsidRPr="00DD7BD1">
        <w:rPr>
          <w:rFonts w:ascii="Calibri" w:hAnsi="Calibri" w:cs="Calibri"/>
          <w:b/>
          <w:bCs/>
          <w:color w:val="C00000"/>
          <w:sz w:val="28"/>
          <w:szCs w:val="28"/>
          <w:shd w:val="clear" w:color="auto" w:fill="FFFFFF"/>
        </w:rPr>
        <w:t>Jan 1, 2026</w:t>
      </w:r>
    </w:p>
    <w:p w14:paraId="5BAAA3BA" w14:textId="03C001BB"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On September 30, 2025, the Washington State Department of Labor and Industries (L&amp;I) announced upcoming increases to the state minimum wage and salary thresholds for exempt employees, effective on January 1, 2026.</w:t>
      </w:r>
    </w:p>
    <w:p w14:paraId="291697BC" w14:textId="77777777"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Washington currently holds the nation’s highest state minimum wage at $16.66/hour. Effective January 1, 2026, the state minimum wage will increase </w:t>
      </w:r>
      <w:r w:rsidRPr="00DD7BD1">
        <w:rPr>
          <w:rFonts w:ascii="Calibri" w:hAnsi="Calibri" w:cs="Calibri"/>
          <w:b/>
          <w:bCs/>
          <w:shd w:val="clear" w:color="auto" w:fill="FFFFFF"/>
        </w:rPr>
        <w:t>to $17.13/hour</w:t>
      </w:r>
      <w:r w:rsidRPr="00DD7BD1">
        <w:rPr>
          <w:rFonts w:ascii="Calibri" w:hAnsi="Calibri" w:cs="Calibri"/>
          <w:shd w:val="clear" w:color="auto" w:fill="FFFFFF"/>
        </w:rPr>
        <w:t xml:space="preserve">, reflecting a 2.8 percent increase. </w:t>
      </w:r>
    </w:p>
    <w:p w14:paraId="4988C691" w14:textId="77777777" w:rsidR="00C4571D" w:rsidRPr="00DD7BD1" w:rsidRDefault="00C4571D" w:rsidP="001B7DD5">
      <w:pPr>
        <w:spacing w:after="0" w:line="240" w:lineRule="auto"/>
        <w:rPr>
          <w:rFonts w:ascii="Calibri" w:hAnsi="Calibri" w:cs="Calibri"/>
          <w:sz w:val="16"/>
          <w:szCs w:val="16"/>
          <w:shd w:val="clear" w:color="auto" w:fill="FFFFFF"/>
        </w:rPr>
      </w:pPr>
    </w:p>
    <w:p w14:paraId="0728E42E" w14:textId="56056C3F" w:rsidR="00C4571D" w:rsidRPr="00DD7BD1" w:rsidRDefault="00C4571D" w:rsidP="001B7DD5">
      <w:pPr>
        <w:spacing w:after="0" w:line="240" w:lineRule="auto"/>
        <w:rPr>
          <w:rFonts w:ascii="Calibri" w:hAnsi="Calibri" w:cs="Calibri"/>
          <w:b/>
          <w:bCs/>
          <w:shd w:val="clear" w:color="auto" w:fill="FFFFFF"/>
        </w:rPr>
      </w:pPr>
      <w:r w:rsidRPr="00DD7BD1">
        <w:rPr>
          <w:rFonts w:ascii="Calibri" w:hAnsi="Calibri" w:cs="Calibri"/>
          <w:shd w:val="clear" w:color="auto" w:fill="FFFFFF"/>
        </w:rPr>
        <w:t xml:space="preserve">To qualify </w:t>
      </w:r>
      <w:r w:rsidRPr="00DD7BD1">
        <w:rPr>
          <w:rFonts w:ascii="Calibri" w:hAnsi="Calibri" w:cs="Calibri"/>
          <w:b/>
          <w:bCs/>
          <w:shd w:val="clear" w:color="auto" w:fill="FFFFFF"/>
        </w:rPr>
        <w:t>as exempt from overtime</w:t>
      </w:r>
      <w:r w:rsidRPr="00DD7BD1">
        <w:rPr>
          <w:rFonts w:ascii="Calibri" w:hAnsi="Calibri" w:cs="Calibri"/>
          <w:shd w:val="clear" w:color="auto" w:fill="FFFFFF"/>
        </w:rPr>
        <w:t xml:space="preserve">, employees must meet a </w:t>
      </w:r>
      <w:r w:rsidRPr="00DD7BD1">
        <w:rPr>
          <w:rFonts w:ascii="Calibri" w:hAnsi="Calibri" w:cs="Calibri"/>
          <w:b/>
          <w:bCs/>
          <w:shd w:val="clear" w:color="auto" w:fill="FFFFFF"/>
        </w:rPr>
        <w:t>minimum salary threshold</w:t>
      </w:r>
      <w:r w:rsidRPr="00DD7BD1">
        <w:rPr>
          <w:rFonts w:ascii="Calibri" w:hAnsi="Calibri" w:cs="Calibri"/>
          <w:shd w:val="clear" w:color="auto" w:fill="FFFFFF"/>
        </w:rPr>
        <w:t>, as well as a job duties test.</w:t>
      </w:r>
      <w:r w:rsidRPr="00DD7BD1">
        <w:rPr>
          <w:rFonts w:ascii="Calibri" w:hAnsi="Calibri" w:cs="Calibri"/>
          <w:color w:val="292929"/>
          <w:spacing w:val="3"/>
        </w:rPr>
        <w:t xml:space="preserve"> </w:t>
      </w:r>
      <w:r w:rsidRPr="00DD7BD1">
        <w:rPr>
          <w:rFonts w:ascii="Calibri" w:hAnsi="Calibri" w:cs="Calibri"/>
          <w:shd w:val="clear" w:color="auto" w:fill="FFFFFF"/>
        </w:rPr>
        <w:t xml:space="preserve">Starting January 1, 2026, all Washington employers must pay exempt employees at least 2.25 times the state minimum wage, </w:t>
      </w:r>
      <w:r w:rsidRPr="00DD7BD1">
        <w:rPr>
          <w:rFonts w:ascii="Calibri" w:hAnsi="Calibri" w:cs="Calibri"/>
          <w:b/>
          <w:bCs/>
          <w:shd w:val="clear" w:color="auto" w:fill="FFFFFF"/>
        </w:rPr>
        <w:t>equivalent to $80,168.40/year.</w:t>
      </w:r>
    </w:p>
    <w:p w14:paraId="6A9E2DCF" w14:textId="77777777" w:rsidR="00171B2A" w:rsidRPr="00DD7BD1" w:rsidRDefault="00171B2A" w:rsidP="001B7DD5">
      <w:pPr>
        <w:spacing w:after="0" w:line="240" w:lineRule="auto"/>
        <w:rPr>
          <w:rFonts w:ascii="Calibri" w:hAnsi="Calibri" w:cs="Calibri"/>
          <w:b/>
          <w:bCs/>
          <w:sz w:val="16"/>
          <w:szCs w:val="16"/>
          <w:shd w:val="clear" w:color="auto" w:fill="FFFFFF"/>
        </w:rPr>
      </w:pPr>
    </w:p>
    <w:p w14:paraId="69B3070A"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shd w:val="clear" w:color="auto" w:fill="FFFFFF"/>
        </w:rPr>
        <w:t>Updated Local Minimum Wages:</w:t>
      </w:r>
      <w:r w:rsidRPr="00DD7BD1">
        <w:rPr>
          <w:rFonts w:ascii="Calibri" w:hAnsi="Calibri" w:cs="Calibri"/>
          <w:shd w:val="clear" w:color="auto" w:fill="FFFFFF"/>
        </w:rPr>
        <w:br/>
      </w:r>
      <w:r w:rsidRPr="00DD7BD1">
        <w:rPr>
          <w:rFonts w:ascii="Calibri" w:hAnsi="Calibri" w:cs="Calibri"/>
          <w:b/>
          <w:bCs/>
          <w:i/>
          <w:iCs/>
          <w:shd w:val="clear" w:color="auto" w:fill="FFFFFF"/>
        </w:rPr>
        <w:t>Bellingham</w:t>
      </w:r>
      <w:r w:rsidRPr="00DD7BD1">
        <w:rPr>
          <w:rFonts w:ascii="Calibri" w:hAnsi="Calibri" w:cs="Calibri"/>
          <w:shd w:val="clear" w:color="auto" w:fill="FFFFFF"/>
        </w:rPr>
        <w:br/>
        <w:t>Bellingham’s minimum wage will increase to $19.13 to remain $2 more than the state’s minimum wage.</w:t>
      </w:r>
    </w:p>
    <w:p w14:paraId="1421F75B"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Conflicted Burien</w:t>
      </w:r>
      <w:r w:rsidRPr="00DD7BD1">
        <w:rPr>
          <w:rFonts w:ascii="Calibri" w:hAnsi="Calibri" w:cs="Calibri"/>
          <w:shd w:val="clear" w:color="auto" w:fill="FFFFFF"/>
        </w:rPr>
        <w:br/>
        <w:t>Burien’s minimum wage is still in litigation, but if the ordinance ultimately succeeds, the minimum wage rate will </w:t>
      </w:r>
      <w:r w:rsidRPr="00DD7BD1">
        <w:rPr>
          <w:rFonts w:ascii="Calibri" w:hAnsi="Calibri" w:cs="Calibri"/>
          <w:i/>
          <w:iCs/>
          <w:shd w:val="clear" w:color="auto" w:fill="FFFFFF"/>
        </w:rPr>
        <w:t>officially </w:t>
      </w:r>
      <w:r w:rsidRPr="00DD7BD1">
        <w:rPr>
          <w:rFonts w:ascii="Calibri" w:hAnsi="Calibri" w:cs="Calibri"/>
          <w:shd w:val="clear" w:color="auto" w:fill="FFFFFF"/>
        </w:rPr>
        <w:t>be $20.63 ($3.50 over the state rate) for employers with 21–499 employees in King County, and $21.63 ($4.50 over the state rate) for employers with 500+ full-time equivalent employees in King County. Smaller employers remain subject to the state rate.</w:t>
      </w:r>
    </w:p>
    <w:p w14:paraId="761B2709"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Everett</w:t>
      </w:r>
      <w:r w:rsidRPr="00DD7BD1">
        <w:rPr>
          <w:rFonts w:ascii="Calibri" w:hAnsi="Calibri" w:cs="Calibri"/>
          <w:shd w:val="clear" w:color="auto" w:fill="FFFFFF"/>
        </w:rPr>
        <w:br/>
        <w:t>The hourly minimum wage in Everett will increase as follows:</w:t>
      </w:r>
    </w:p>
    <w:p w14:paraId="0AB58154"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$20.77 for large employers with more than 500 employees</w:t>
      </w:r>
    </w:p>
    <w:p w14:paraId="702F2D22"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$18.77 for employers with 15–500 employees or annual revenue of over $2M</w:t>
      </w:r>
    </w:p>
    <w:p w14:paraId="5CE365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14 or fewer employees and annual revenue of $2M or less, the state rate applies.</w:t>
      </w:r>
    </w:p>
    <w:p w14:paraId="1AB39B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Unincorporated King County</w:t>
      </w:r>
      <w:r w:rsidRPr="00DD7BD1">
        <w:rPr>
          <w:rFonts w:ascii="Calibri" w:hAnsi="Calibri" w:cs="Calibri"/>
          <w:shd w:val="clear" w:color="auto" w:fill="FFFFFF"/>
        </w:rPr>
        <w:br/>
        <w:t>The hourly minimum wage in unincorporated King County will increase as follows:</w:t>
      </w:r>
    </w:p>
    <w:p w14:paraId="775B1F2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$18.32 for employers with 15 or fewer employees and less than $2M in annual revenue</w:t>
      </w:r>
    </w:p>
    <w:p w14:paraId="7DC85252"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15 or fewer employees and $2M+ in annual revenue</w:t>
      </w:r>
    </w:p>
    <w:p w14:paraId="090B048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16–499 employees</w:t>
      </w:r>
    </w:p>
    <w:p w14:paraId="06BAA3AA"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$20.82 for employers with 500+ employees</w:t>
      </w:r>
    </w:p>
    <w:p w14:paraId="41256FB3"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Renton</w:t>
      </w:r>
      <w:r w:rsidRPr="00DD7BD1">
        <w:rPr>
          <w:rFonts w:ascii="Calibri" w:hAnsi="Calibri" w:cs="Calibri"/>
          <w:shd w:val="clear" w:color="auto" w:fill="FFFFFF"/>
        </w:rPr>
        <w:br/>
        <w:t>The hourly minimum wage in Renton will increase as follows:</w:t>
      </w:r>
    </w:p>
    <w:p w14:paraId="543AEFAE"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$20.57 for employers with 15–500 employees </w:t>
      </w:r>
      <w:r w:rsidRPr="00DD7BD1">
        <w:rPr>
          <w:rFonts w:ascii="Calibri" w:hAnsi="Calibri" w:cs="Calibri"/>
          <w:i/>
          <w:iCs/>
          <w:shd w:val="clear" w:color="auto" w:fill="FFFFFF"/>
        </w:rPr>
        <w:t>or</w:t>
      </w:r>
      <w:r w:rsidRPr="00DD7BD1">
        <w:rPr>
          <w:rFonts w:ascii="Calibri" w:hAnsi="Calibri" w:cs="Calibri"/>
          <w:shd w:val="clear" w:color="auto" w:fill="FFFFFF"/>
        </w:rPr>
        <w:t> $2M+ annual revenue within Renton</w:t>
      </w:r>
    </w:p>
    <w:p w14:paraId="7409D540"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$21.57 for employers with 501+ employees worldwide</w:t>
      </w:r>
    </w:p>
    <w:p w14:paraId="3846FFC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meet any of the above criteria aren’t subject to the city’s minimum wage, so the state rate applies.</w:t>
      </w:r>
    </w:p>
    <w:p w14:paraId="16CFFF3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SeaTac Hospitality and Transportation Industry</w:t>
      </w:r>
      <w:r w:rsidRPr="00DD7BD1">
        <w:rPr>
          <w:rFonts w:ascii="Calibri" w:hAnsi="Calibri" w:cs="Calibri"/>
          <w:shd w:val="clear" w:color="auto" w:fill="FFFFFF"/>
        </w:rPr>
        <w:br/>
        <w:t>The minimum wage for hospitality and transportation industry workers in SeaTac will increase to $20.74 per hour. The state rate applies to those in other industries.</w:t>
      </w:r>
    </w:p>
    <w:p w14:paraId="447EAD1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Seattle</w:t>
      </w:r>
      <w:r w:rsidRPr="00DD7BD1">
        <w:rPr>
          <w:rFonts w:ascii="Calibri" w:hAnsi="Calibri" w:cs="Calibri"/>
          <w:shd w:val="clear" w:color="auto" w:fill="FFFFFF"/>
        </w:rPr>
        <w:br/>
        <w:t>Seattle’s minimum wage will increase to $21.30 per hour for all employers.</w:t>
      </w:r>
    </w:p>
    <w:p w14:paraId="130609CF" w14:textId="066D5B8A"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Tukwila</w:t>
      </w:r>
      <w:r w:rsidRPr="00DD7BD1">
        <w:rPr>
          <w:rFonts w:ascii="Calibri" w:hAnsi="Calibri" w:cs="Calibri"/>
          <w:shd w:val="clear" w:color="auto" w:fill="FFFFFF"/>
        </w:rPr>
        <w:br/>
        <w:t>The minimum wage in Tukwila will increase to $21.65 per hour for all employers.</w:t>
      </w:r>
    </w:p>
    <w:p w14:paraId="13872D43" w14:textId="77777777" w:rsidR="00D22205" w:rsidRPr="00DD7BD1" w:rsidRDefault="00D22205" w:rsidP="001B7DD5">
      <w:pPr>
        <w:spacing w:after="0" w:line="240" w:lineRule="auto"/>
        <w:rPr>
          <w:rFonts w:ascii="Calibri" w:hAnsi="Calibri" w:cs="Calibri"/>
          <w:shd w:val="clear" w:color="auto" w:fill="FFFFFF"/>
        </w:rPr>
      </w:pPr>
    </w:p>
    <w:p w14:paraId="324AD67A" w14:textId="549C31A2" w:rsidR="003F46D6" w:rsidRPr="00DD7BD1" w:rsidRDefault="003F46D6" w:rsidP="001B7DD5">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Regulations</w:t>
      </w:r>
      <w:r w:rsidRPr="00DD7BD1">
        <w:rPr>
          <w:rFonts w:ascii="Calibri" w:hAnsi="Calibri" w:cs="Calibri"/>
          <w:b/>
          <w:spacing w:val="-14"/>
          <w:sz w:val="28"/>
        </w:rPr>
        <w:t xml:space="preserve"> </w:t>
      </w:r>
      <w:r w:rsidRPr="00DD7BD1">
        <w:rPr>
          <w:rFonts w:ascii="Calibri" w:hAnsi="Calibri" w:cs="Calibri"/>
          <w:b/>
          <w:spacing w:val="-6"/>
          <w:sz w:val="28"/>
        </w:rPr>
        <w:t>Related</w:t>
      </w:r>
      <w:r w:rsidRPr="00DD7BD1">
        <w:rPr>
          <w:rFonts w:ascii="Calibri" w:hAnsi="Calibri" w:cs="Calibri"/>
          <w:b/>
          <w:spacing w:val="-13"/>
          <w:sz w:val="28"/>
        </w:rPr>
        <w:t xml:space="preserve"> </w:t>
      </w:r>
      <w:r w:rsidRPr="00DD7BD1">
        <w:rPr>
          <w:rFonts w:ascii="Calibri" w:hAnsi="Calibri" w:cs="Calibri"/>
          <w:b/>
          <w:spacing w:val="-6"/>
          <w:sz w:val="28"/>
        </w:rPr>
        <w:t>to</w:t>
      </w:r>
      <w:r w:rsidRPr="00DD7BD1">
        <w:rPr>
          <w:rFonts w:ascii="Calibri" w:hAnsi="Calibri" w:cs="Calibri"/>
          <w:b/>
          <w:spacing w:val="-14"/>
          <w:sz w:val="28"/>
        </w:rPr>
        <w:t xml:space="preserve"> </w:t>
      </w:r>
      <w:r w:rsidRPr="00DD7BD1">
        <w:rPr>
          <w:rFonts w:ascii="Calibri" w:hAnsi="Calibri" w:cs="Calibri"/>
          <w:b/>
          <w:spacing w:val="-6"/>
          <w:sz w:val="28"/>
        </w:rPr>
        <w:t>Transportation</w:t>
      </w:r>
      <w:r w:rsidRPr="00DD7BD1">
        <w:rPr>
          <w:rFonts w:ascii="Calibri" w:hAnsi="Calibri" w:cs="Calibri"/>
          <w:b/>
          <w:spacing w:val="-13"/>
          <w:sz w:val="28"/>
        </w:rPr>
        <w:t xml:space="preserve"> </w:t>
      </w:r>
      <w:r w:rsidRPr="00DD7BD1">
        <w:rPr>
          <w:rFonts w:ascii="Calibri" w:hAnsi="Calibri" w:cs="Calibri"/>
          <w:b/>
          <w:spacing w:val="-6"/>
          <w:sz w:val="28"/>
        </w:rPr>
        <w:t>Network</w:t>
      </w:r>
      <w:r w:rsidRPr="00DD7BD1">
        <w:rPr>
          <w:rFonts w:ascii="Calibri" w:hAnsi="Calibri" w:cs="Calibri"/>
          <w:b/>
          <w:spacing w:val="-14"/>
          <w:sz w:val="28"/>
        </w:rPr>
        <w:t xml:space="preserve"> </w:t>
      </w:r>
      <w:r w:rsidRPr="00DD7BD1">
        <w:rPr>
          <w:rFonts w:ascii="Calibri" w:hAnsi="Calibri" w:cs="Calibri"/>
          <w:b/>
          <w:spacing w:val="-6"/>
          <w:sz w:val="28"/>
        </w:rPr>
        <w:t>Companies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spacing w:val="-14"/>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 xml:space="preserve">1, </w:t>
      </w:r>
      <w:r w:rsidRPr="00DD7BD1">
        <w:rPr>
          <w:rFonts w:ascii="Calibri" w:hAnsi="Calibri" w:cs="Calibri"/>
          <w:b/>
          <w:color w:val="C00000"/>
          <w:sz w:val="28"/>
        </w:rPr>
        <w:t>2025 &amp; July 1, 2026</w:t>
      </w:r>
    </w:p>
    <w:p w14:paraId="7C12E0FB" w14:textId="77777777" w:rsidR="003F46D6" w:rsidRPr="00DD7BD1" w:rsidRDefault="003F46D6" w:rsidP="003F46D6">
      <w:pPr>
        <w:pStyle w:val="BodyText"/>
        <w:spacing w:after="0" w:line="240" w:lineRule="auto"/>
        <w:ind w:right="-187"/>
        <w:jc w:val="left"/>
        <w:rPr>
          <w:rFonts w:cs="Calibri"/>
          <w:szCs w:val="22"/>
        </w:rPr>
      </w:pPr>
      <w:r w:rsidRPr="00DD7BD1">
        <w:rPr>
          <w:rFonts w:cs="Calibri"/>
          <w:color w:val="auto"/>
          <w:w w:val="110"/>
          <w:szCs w:val="22"/>
        </w:rPr>
        <w:t>Washington employers should prepare for two significant legislative updates that will impact Transportation Network</w:t>
      </w:r>
      <w:r w:rsidRPr="00DD7BD1">
        <w:rPr>
          <w:rFonts w:cs="Calibri"/>
          <w:color w:val="auto"/>
          <w:spacing w:val="-6"/>
          <w:w w:val="110"/>
          <w:szCs w:val="22"/>
        </w:rPr>
        <w:t xml:space="preserve"> </w:t>
      </w:r>
      <w:r w:rsidRPr="00DD7BD1">
        <w:rPr>
          <w:rFonts w:cs="Calibri"/>
          <w:color w:val="auto"/>
          <w:w w:val="110"/>
          <w:szCs w:val="22"/>
        </w:rPr>
        <w:t>Companies</w:t>
      </w:r>
      <w:r w:rsidRPr="00DD7BD1">
        <w:rPr>
          <w:rFonts w:cs="Calibri"/>
          <w:color w:val="auto"/>
          <w:spacing w:val="-5"/>
          <w:w w:val="110"/>
          <w:szCs w:val="22"/>
        </w:rPr>
        <w:t xml:space="preserve"> </w:t>
      </w:r>
      <w:r w:rsidRPr="00DD7BD1">
        <w:rPr>
          <w:rFonts w:cs="Calibri"/>
          <w:color w:val="auto"/>
          <w:w w:val="110"/>
          <w:szCs w:val="22"/>
        </w:rPr>
        <w:t>(TNCs).</w:t>
      </w:r>
      <w:r w:rsidRPr="00DD7BD1">
        <w:rPr>
          <w:rFonts w:cs="Calibri"/>
          <w:color w:val="auto"/>
          <w:spacing w:val="40"/>
          <w:w w:val="110"/>
          <w:szCs w:val="22"/>
        </w:rPr>
        <w:t xml:space="preserve"> </w:t>
      </w:r>
      <w:r w:rsidRPr="00DD7BD1">
        <w:rPr>
          <w:rFonts w:cs="Calibri"/>
          <w:color w:val="auto"/>
          <w:w w:val="110"/>
          <w:szCs w:val="22"/>
        </w:rPr>
        <w:t>Effective</w:t>
      </w:r>
      <w:r w:rsidRPr="00DD7BD1">
        <w:rPr>
          <w:rFonts w:cs="Calibri"/>
          <w:color w:val="auto"/>
          <w:spacing w:val="-6"/>
          <w:w w:val="110"/>
          <w:szCs w:val="22"/>
        </w:rPr>
        <w:t xml:space="preserve"> </w:t>
      </w:r>
      <w:r w:rsidRPr="00DD7BD1">
        <w:rPr>
          <w:rFonts w:cs="Calibri"/>
          <w:color w:val="auto"/>
          <w:w w:val="110"/>
          <w:szCs w:val="22"/>
        </w:rPr>
        <w:t>September</w:t>
      </w:r>
      <w:r w:rsidRPr="00DD7BD1">
        <w:rPr>
          <w:rFonts w:cs="Calibri"/>
          <w:color w:val="auto"/>
          <w:spacing w:val="-6"/>
          <w:w w:val="110"/>
          <w:szCs w:val="22"/>
        </w:rPr>
        <w:t xml:space="preserve"> </w:t>
      </w:r>
      <w:r w:rsidRPr="00DD7BD1">
        <w:rPr>
          <w:rFonts w:cs="Calibri"/>
          <w:color w:val="auto"/>
          <w:w w:val="110"/>
          <w:szCs w:val="22"/>
        </w:rPr>
        <w:t>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TNCs</w:t>
      </w:r>
      <w:r w:rsidRPr="00DD7BD1">
        <w:rPr>
          <w:rFonts w:cs="Calibri"/>
          <w:color w:val="auto"/>
          <w:spacing w:val="-5"/>
          <w:w w:val="110"/>
          <w:szCs w:val="22"/>
        </w:rPr>
        <w:t xml:space="preserve"> </w:t>
      </w:r>
      <w:r w:rsidRPr="00DD7BD1">
        <w:rPr>
          <w:rFonts w:cs="Calibri"/>
          <w:color w:val="auto"/>
          <w:w w:val="110"/>
          <w:szCs w:val="22"/>
        </w:rPr>
        <w:t>must</w:t>
      </w:r>
      <w:r w:rsidRPr="00DD7BD1">
        <w:rPr>
          <w:rFonts w:cs="Calibri"/>
          <w:color w:val="auto"/>
          <w:spacing w:val="-6"/>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drivers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6"/>
          <w:w w:val="110"/>
          <w:szCs w:val="22"/>
        </w:rPr>
        <w:t xml:space="preserve"> </w:t>
      </w:r>
      <w:r w:rsidRPr="00DD7BD1">
        <w:rPr>
          <w:rFonts w:cs="Calibri"/>
          <w:color w:val="auto"/>
          <w:w w:val="110"/>
          <w:szCs w:val="22"/>
        </w:rPr>
        <w:t>detailed</w:t>
      </w:r>
      <w:r w:rsidRPr="00DD7BD1">
        <w:rPr>
          <w:rFonts w:cs="Calibri"/>
          <w:color w:val="auto"/>
          <w:spacing w:val="-5"/>
          <w:w w:val="110"/>
          <w:szCs w:val="22"/>
        </w:rPr>
        <w:t xml:space="preserve"> </w:t>
      </w:r>
      <w:r w:rsidRPr="00DD7BD1">
        <w:rPr>
          <w:rFonts w:cs="Calibri"/>
          <w:color w:val="auto"/>
          <w:w w:val="110"/>
          <w:szCs w:val="22"/>
        </w:rPr>
        <w:t>information about</w:t>
      </w:r>
      <w:r w:rsidRPr="00DD7BD1">
        <w:rPr>
          <w:rFonts w:cs="Calibri"/>
          <w:color w:val="auto"/>
          <w:spacing w:val="-5"/>
          <w:w w:val="110"/>
          <w:szCs w:val="22"/>
        </w:rPr>
        <w:t xml:space="preserve"> </w:t>
      </w:r>
      <w:r w:rsidRPr="00DD7BD1">
        <w:rPr>
          <w:rFonts w:cs="Calibri"/>
          <w:color w:val="auto"/>
          <w:w w:val="110"/>
          <w:szCs w:val="22"/>
        </w:rPr>
        <w:t>vehicle</w:t>
      </w:r>
      <w:r w:rsidRPr="00DD7BD1">
        <w:rPr>
          <w:rFonts w:cs="Calibri"/>
          <w:color w:val="auto"/>
          <w:spacing w:val="-4"/>
          <w:w w:val="110"/>
          <w:szCs w:val="22"/>
        </w:rPr>
        <w:t xml:space="preserve"> </w:t>
      </w:r>
      <w:r w:rsidRPr="00DD7BD1">
        <w:rPr>
          <w:rFonts w:cs="Calibri"/>
          <w:color w:val="auto"/>
          <w:w w:val="110"/>
          <w:szCs w:val="22"/>
        </w:rPr>
        <w:t>eligibility</w:t>
      </w:r>
      <w:r w:rsidRPr="00DD7BD1">
        <w:rPr>
          <w:rFonts w:cs="Calibri"/>
          <w:color w:val="auto"/>
          <w:spacing w:val="-4"/>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each</w:t>
      </w:r>
      <w:r w:rsidRPr="00DD7BD1">
        <w:rPr>
          <w:rFonts w:cs="Calibri"/>
          <w:color w:val="auto"/>
          <w:spacing w:val="-6"/>
          <w:w w:val="110"/>
          <w:szCs w:val="22"/>
        </w:rPr>
        <w:t xml:space="preserve"> </w:t>
      </w:r>
      <w:r w:rsidRPr="00DD7BD1">
        <w:rPr>
          <w:rFonts w:cs="Calibri"/>
          <w:color w:val="auto"/>
          <w:w w:val="110"/>
          <w:szCs w:val="22"/>
        </w:rPr>
        <w:t>product</w:t>
      </w:r>
      <w:r w:rsidRPr="00DD7BD1">
        <w:rPr>
          <w:rFonts w:cs="Calibri"/>
          <w:color w:val="auto"/>
          <w:spacing w:val="-5"/>
          <w:w w:val="110"/>
          <w:szCs w:val="22"/>
        </w:rPr>
        <w:t xml:space="preserve"> </w:t>
      </w:r>
      <w:r w:rsidRPr="00DD7BD1">
        <w:rPr>
          <w:rFonts w:cs="Calibri"/>
          <w:color w:val="auto"/>
          <w:w w:val="110"/>
          <w:szCs w:val="22"/>
        </w:rPr>
        <w:t>class</w:t>
      </w:r>
      <w:r w:rsidRPr="00DD7BD1">
        <w:rPr>
          <w:rFonts w:cs="Calibri"/>
          <w:color w:val="auto"/>
          <w:spacing w:val="-6"/>
          <w:w w:val="110"/>
          <w:szCs w:val="22"/>
        </w:rPr>
        <w:t xml:space="preserve"> </w:t>
      </w:r>
      <w:r w:rsidRPr="00DD7BD1">
        <w:rPr>
          <w:rFonts w:cs="Calibri"/>
          <w:color w:val="auto"/>
          <w:w w:val="110"/>
          <w:szCs w:val="22"/>
        </w:rPr>
        <w:t>offered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their</w:t>
      </w:r>
      <w:r w:rsidRPr="00DD7BD1">
        <w:rPr>
          <w:rFonts w:cs="Calibri"/>
          <w:color w:val="auto"/>
          <w:spacing w:val="-5"/>
          <w:w w:val="110"/>
          <w:szCs w:val="22"/>
        </w:rPr>
        <w:t xml:space="preserve"> </w:t>
      </w:r>
      <w:r w:rsidRPr="00DD7BD1">
        <w:rPr>
          <w:rFonts w:cs="Calibri"/>
          <w:color w:val="auto"/>
          <w:w w:val="110"/>
          <w:szCs w:val="22"/>
        </w:rPr>
        <w:t>platform,</w:t>
      </w:r>
      <w:r w:rsidRPr="00DD7BD1">
        <w:rPr>
          <w:rFonts w:cs="Calibri"/>
          <w:color w:val="auto"/>
          <w:spacing w:val="-5"/>
          <w:w w:val="110"/>
          <w:szCs w:val="22"/>
        </w:rPr>
        <w:t xml:space="preserve"> </w:t>
      </w:r>
      <w:r w:rsidRPr="00DD7BD1">
        <w:rPr>
          <w:rFonts w:cs="Calibri"/>
          <w:color w:val="auto"/>
          <w:w w:val="110"/>
          <w:szCs w:val="22"/>
        </w:rPr>
        <w:t>including</w:t>
      </w:r>
      <w:r w:rsidRPr="00DD7BD1">
        <w:rPr>
          <w:rFonts w:cs="Calibri"/>
          <w:color w:val="auto"/>
          <w:spacing w:val="-6"/>
          <w:w w:val="110"/>
          <w:szCs w:val="22"/>
        </w:rPr>
        <w:t xml:space="preserve"> </w:t>
      </w:r>
      <w:r w:rsidRPr="00DD7BD1">
        <w:rPr>
          <w:rFonts w:cs="Calibri"/>
          <w:color w:val="auto"/>
          <w:w w:val="110"/>
          <w:szCs w:val="22"/>
        </w:rPr>
        <w:t>make,</w:t>
      </w:r>
      <w:r w:rsidRPr="00DD7BD1">
        <w:rPr>
          <w:rFonts w:cs="Calibri"/>
          <w:color w:val="auto"/>
          <w:spacing w:val="-5"/>
          <w:w w:val="110"/>
          <w:szCs w:val="22"/>
        </w:rPr>
        <w:t xml:space="preserve"> </w:t>
      </w:r>
      <w:r w:rsidRPr="00DD7BD1">
        <w:rPr>
          <w:rFonts w:cs="Calibri"/>
          <w:color w:val="auto"/>
          <w:w w:val="110"/>
          <w:szCs w:val="22"/>
        </w:rPr>
        <w:t>model,</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year.</w:t>
      </w:r>
      <w:r w:rsidRPr="00DD7BD1">
        <w:rPr>
          <w:rFonts w:cs="Calibri"/>
          <w:color w:val="auto"/>
          <w:spacing w:val="-4"/>
          <w:w w:val="110"/>
          <w:szCs w:val="22"/>
        </w:rPr>
        <w:t xml:space="preserve"> </w:t>
      </w:r>
      <w:r w:rsidRPr="00DD7BD1">
        <w:rPr>
          <w:rFonts w:cs="Calibri"/>
          <w:color w:val="auto"/>
          <w:w w:val="110"/>
          <w:szCs w:val="22"/>
        </w:rPr>
        <w:t>Then,</w:t>
      </w:r>
      <w:r w:rsidRPr="00DD7BD1">
        <w:rPr>
          <w:rFonts w:cs="Calibri"/>
          <w:color w:val="auto"/>
          <w:spacing w:val="-5"/>
          <w:w w:val="110"/>
          <w:szCs w:val="22"/>
        </w:rPr>
        <w:t xml:space="preserve"> </w:t>
      </w:r>
      <w:r w:rsidRPr="00DD7BD1">
        <w:rPr>
          <w:rFonts w:cs="Calibri"/>
          <w:color w:val="auto"/>
          <w:w w:val="110"/>
          <w:szCs w:val="22"/>
        </w:rPr>
        <w:t>by July</w:t>
      </w:r>
      <w:r w:rsidRPr="00DD7BD1">
        <w:rPr>
          <w:rFonts w:cs="Calibri"/>
          <w:color w:val="auto"/>
          <w:spacing w:val="-3"/>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2026,</w:t>
      </w:r>
      <w:r w:rsidRPr="00DD7BD1">
        <w:rPr>
          <w:rFonts w:cs="Calibri"/>
          <w:color w:val="auto"/>
          <w:spacing w:val="-2"/>
          <w:w w:val="110"/>
          <w:szCs w:val="22"/>
        </w:rPr>
        <w:t xml:space="preserve"> </w:t>
      </w:r>
      <w:r w:rsidRPr="00DD7BD1">
        <w:rPr>
          <w:rFonts w:cs="Calibri"/>
          <w:color w:val="auto"/>
          <w:w w:val="110"/>
          <w:szCs w:val="22"/>
        </w:rPr>
        <w:t>drivers</w:t>
      </w:r>
      <w:r w:rsidRPr="00DD7BD1">
        <w:rPr>
          <w:rFonts w:cs="Calibri"/>
          <w:color w:val="auto"/>
          <w:spacing w:val="-2"/>
          <w:w w:val="110"/>
          <w:szCs w:val="22"/>
        </w:rPr>
        <w:t xml:space="preserve"> </w:t>
      </w:r>
      <w:r w:rsidRPr="00DD7BD1">
        <w:rPr>
          <w:rFonts w:cs="Calibri"/>
          <w:color w:val="auto"/>
          <w:w w:val="110"/>
          <w:szCs w:val="22"/>
        </w:rPr>
        <w:t>will</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3"/>
          <w:w w:val="110"/>
          <w:szCs w:val="22"/>
        </w:rPr>
        <w:t xml:space="preserve"> </w:t>
      </w:r>
      <w:r w:rsidRPr="00DD7BD1">
        <w:rPr>
          <w:rFonts w:cs="Calibri"/>
          <w:color w:val="auto"/>
          <w:w w:val="110"/>
          <w:szCs w:val="22"/>
        </w:rPr>
        <w:t>be entitled to</w:t>
      </w:r>
      <w:r w:rsidRPr="00DD7BD1">
        <w:rPr>
          <w:rFonts w:cs="Calibri"/>
          <w:color w:val="auto"/>
          <w:spacing w:val="-3"/>
          <w:w w:val="110"/>
          <w:szCs w:val="22"/>
        </w:rPr>
        <w:t xml:space="preserve"> </w:t>
      </w:r>
      <w:r w:rsidRPr="00DD7BD1">
        <w:rPr>
          <w:rFonts w:cs="Calibri"/>
          <w:color w:val="auto"/>
          <w:w w:val="110"/>
          <w:szCs w:val="22"/>
        </w:rPr>
        <w:t>request</w:t>
      </w:r>
      <w:r w:rsidRPr="00DD7BD1">
        <w:rPr>
          <w:rFonts w:cs="Calibri"/>
          <w:color w:val="auto"/>
          <w:spacing w:val="-2"/>
          <w:w w:val="110"/>
          <w:szCs w:val="22"/>
        </w:rPr>
        <w:t xml:space="preserve"> </w:t>
      </w:r>
      <w:r w:rsidRPr="00DD7BD1">
        <w:rPr>
          <w:rFonts w:cs="Calibri"/>
          <w:color w:val="auto"/>
          <w:w w:val="110"/>
          <w:szCs w:val="22"/>
        </w:rPr>
        <w:t>aggregated,</w:t>
      </w:r>
      <w:r w:rsidRPr="00DD7BD1">
        <w:rPr>
          <w:rFonts w:cs="Calibri"/>
          <w:color w:val="auto"/>
          <w:spacing w:val="-4"/>
          <w:w w:val="110"/>
          <w:szCs w:val="22"/>
        </w:rPr>
        <w:t xml:space="preserve"> </w:t>
      </w:r>
      <w:r w:rsidRPr="00DD7BD1">
        <w:rPr>
          <w:rFonts w:cs="Calibri"/>
          <w:color w:val="auto"/>
          <w:w w:val="110"/>
          <w:szCs w:val="22"/>
        </w:rPr>
        <w:t>downloadable</w:t>
      </w:r>
      <w:r w:rsidRPr="00DD7BD1">
        <w:rPr>
          <w:rFonts w:cs="Calibri"/>
          <w:color w:val="auto"/>
          <w:spacing w:val="-4"/>
          <w:w w:val="110"/>
          <w:szCs w:val="22"/>
        </w:rPr>
        <w:t xml:space="preserve"> </w:t>
      </w:r>
      <w:r w:rsidRPr="00DD7BD1">
        <w:rPr>
          <w:rFonts w:cs="Calibri"/>
          <w:color w:val="auto"/>
          <w:w w:val="110"/>
          <w:szCs w:val="22"/>
        </w:rPr>
        <w:t>per-trip receipt</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in a</w:t>
      </w:r>
      <w:r w:rsidRPr="00DD7BD1">
        <w:rPr>
          <w:rFonts w:cs="Calibri"/>
          <w:color w:val="auto"/>
          <w:spacing w:val="-4"/>
          <w:w w:val="110"/>
          <w:szCs w:val="22"/>
        </w:rPr>
        <w:t xml:space="preserve"> </w:t>
      </w:r>
      <w:r w:rsidRPr="00DD7BD1">
        <w:rPr>
          <w:rFonts w:cs="Calibri"/>
          <w:color w:val="auto"/>
          <w:w w:val="110"/>
          <w:szCs w:val="22"/>
        </w:rPr>
        <w:t>searchable format, enhancing transparency around earnings.</w:t>
      </w:r>
      <w:r w:rsidRPr="00DD7BD1">
        <w:rPr>
          <w:rFonts w:cs="Calibri"/>
          <w:color w:val="auto"/>
          <w:spacing w:val="-9"/>
          <w:w w:val="110"/>
          <w:szCs w:val="22"/>
        </w:rPr>
        <w:t xml:space="preserve"> </w:t>
      </w:r>
      <w:r w:rsidRPr="00DD7BD1">
        <w:rPr>
          <w:rFonts w:cs="Calibri"/>
          <w:color w:val="auto"/>
          <w:w w:val="110"/>
          <w:szCs w:val="22"/>
        </w:rPr>
        <w:t>As this topic is more industry released and beyond what ETC typically reports, access a recent article on the topic published by Seyfarth</w:t>
      </w:r>
      <w:r w:rsidRPr="00DD7BD1">
        <w:rPr>
          <w:rFonts w:cs="Calibri"/>
          <w:color w:val="auto"/>
          <w:spacing w:val="-1"/>
          <w:w w:val="110"/>
          <w:szCs w:val="22"/>
        </w:rPr>
        <w:t xml:space="preserve"> </w:t>
      </w:r>
      <w:r w:rsidRPr="00DD7BD1">
        <w:rPr>
          <w:rFonts w:cs="Calibri"/>
          <w:color w:val="auto"/>
          <w:w w:val="110"/>
          <w:szCs w:val="22"/>
        </w:rPr>
        <w:t xml:space="preserve">Shaw, LLP </w:t>
      </w:r>
      <w:hyperlink r:id="rId985">
        <w:r w:rsidRPr="00DD7BD1">
          <w:rPr>
            <w:rFonts w:cs="Calibri"/>
            <w:color w:val="0000FF"/>
            <w:w w:val="110"/>
            <w:szCs w:val="22"/>
            <w:u w:val="single" w:color="0000FF"/>
          </w:rPr>
          <w:t>HERE</w:t>
        </w:r>
      </w:hyperlink>
    </w:p>
    <w:p w14:paraId="7B4DF524" w14:textId="77777777" w:rsidR="003F46D6" w:rsidRPr="00DD7BD1" w:rsidRDefault="003F46D6" w:rsidP="003F46D6">
      <w:pPr>
        <w:pStyle w:val="Heading1"/>
        <w:spacing w:before="0" w:beforeAutospacing="0" w:after="0" w:afterAutospacing="0"/>
        <w:ind w:right="-187"/>
        <w:jc w:val="center"/>
        <w:rPr>
          <w:rFonts w:ascii="Calibri" w:hAnsi="Calibri" w:cs="Calibri"/>
          <w:color w:val="C00000"/>
          <w:spacing w:val="-2"/>
          <w:sz w:val="22"/>
          <w:szCs w:val="22"/>
        </w:rPr>
      </w:pPr>
    </w:p>
    <w:p w14:paraId="78C25EEF" w14:textId="1B645816"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2"/>
          <w:sz w:val="28"/>
          <w:szCs w:val="28"/>
        </w:rPr>
        <w:t>State</w:t>
      </w:r>
      <w:r w:rsidRPr="00DD7BD1">
        <w:rPr>
          <w:rFonts w:ascii="Calibri" w:hAnsi="Calibri" w:cs="Calibri"/>
          <w:spacing w:val="-17"/>
          <w:sz w:val="28"/>
          <w:szCs w:val="28"/>
        </w:rPr>
        <w:t xml:space="preserve"> </w:t>
      </w:r>
      <w:r w:rsidRPr="00DD7BD1">
        <w:rPr>
          <w:rFonts w:ascii="Calibri" w:hAnsi="Calibri" w:cs="Calibri"/>
          <w:spacing w:val="-2"/>
          <w:sz w:val="28"/>
          <w:szCs w:val="28"/>
        </w:rPr>
        <w:t>Expands</w:t>
      </w:r>
      <w:r w:rsidRPr="00DD7BD1">
        <w:rPr>
          <w:rFonts w:ascii="Calibri" w:hAnsi="Calibri" w:cs="Calibri"/>
          <w:spacing w:val="-18"/>
          <w:sz w:val="28"/>
          <w:szCs w:val="28"/>
        </w:rPr>
        <w:t xml:space="preserve"> </w:t>
      </w:r>
      <w:r w:rsidRPr="00DD7BD1">
        <w:rPr>
          <w:rFonts w:ascii="Calibri" w:hAnsi="Calibri" w:cs="Calibri"/>
          <w:spacing w:val="-2"/>
          <w:sz w:val="28"/>
          <w:szCs w:val="28"/>
        </w:rPr>
        <w:t>of</w:t>
      </w:r>
      <w:r w:rsidRPr="00DD7BD1">
        <w:rPr>
          <w:rFonts w:ascii="Calibri" w:hAnsi="Calibri" w:cs="Calibri"/>
          <w:spacing w:val="-17"/>
          <w:sz w:val="28"/>
          <w:szCs w:val="28"/>
        </w:rPr>
        <w:t xml:space="preserve"> </w:t>
      </w:r>
      <w:r w:rsidRPr="00DD7BD1">
        <w:rPr>
          <w:rFonts w:ascii="Calibri" w:hAnsi="Calibri" w:cs="Calibri"/>
          <w:spacing w:val="-2"/>
          <w:sz w:val="28"/>
          <w:szCs w:val="28"/>
        </w:rPr>
        <w:t>Domestic</w:t>
      </w:r>
      <w:r w:rsidRPr="00DD7BD1">
        <w:rPr>
          <w:rFonts w:ascii="Calibri" w:hAnsi="Calibri" w:cs="Calibri"/>
          <w:spacing w:val="-18"/>
          <w:sz w:val="28"/>
          <w:szCs w:val="28"/>
        </w:rPr>
        <w:t xml:space="preserve"> </w:t>
      </w:r>
      <w:r w:rsidRPr="00DD7BD1">
        <w:rPr>
          <w:rFonts w:ascii="Calibri" w:hAnsi="Calibri" w:cs="Calibri"/>
          <w:spacing w:val="-2"/>
          <w:sz w:val="28"/>
          <w:szCs w:val="28"/>
        </w:rPr>
        <w:t>Violence</w:t>
      </w:r>
      <w:r w:rsidRPr="00DD7BD1">
        <w:rPr>
          <w:rFonts w:ascii="Calibri" w:hAnsi="Calibri" w:cs="Calibri"/>
          <w:spacing w:val="-17"/>
          <w:sz w:val="28"/>
          <w:szCs w:val="28"/>
        </w:rPr>
        <w:t xml:space="preserve"> </w:t>
      </w:r>
      <w:r w:rsidRPr="00DD7BD1">
        <w:rPr>
          <w:rFonts w:ascii="Calibri" w:hAnsi="Calibri" w:cs="Calibri"/>
          <w:spacing w:val="-2"/>
          <w:sz w:val="28"/>
          <w:szCs w:val="28"/>
        </w:rPr>
        <w:t>Leave</w:t>
      </w:r>
      <w:r w:rsidRPr="00DD7BD1">
        <w:rPr>
          <w:rFonts w:ascii="Calibri" w:hAnsi="Calibri" w:cs="Calibri"/>
          <w:spacing w:val="-17"/>
          <w:sz w:val="28"/>
          <w:szCs w:val="28"/>
        </w:rPr>
        <w:t xml:space="preserve"> </w:t>
      </w:r>
      <w:r w:rsidRPr="00DD7BD1">
        <w:rPr>
          <w:rFonts w:ascii="Calibri" w:hAnsi="Calibri" w:cs="Calibri"/>
          <w:spacing w:val="-2"/>
          <w:sz w:val="28"/>
          <w:szCs w:val="28"/>
        </w:rPr>
        <w:t>–</w:t>
      </w:r>
      <w:r w:rsidRPr="00DD7BD1">
        <w:rPr>
          <w:rFonts w:ascii="Calibri" w:hAnsi="Calibri" w:cs="Calibri"/>
          <w:spacing w:val="-16"/>
          <w:sz w:val="28"/>
          <w:szCs w:val="28"/>
        </w:rPr>
        <w:t xml:space="preserve"> </w:t>
      </w:r>
      <w:r w:rsidRPr="00DD7BD1">
        <w:rPr>
          <w:rFonts w:ascii="Calibri" w:hAnsi="Calibri" w:cs="Calibri"/>
          <w:color w:val="C00000"/>
          <w:spacing w:val="-2"/>
          <w:sz w:val="28"/>
          <w:szCs w:val="28"/>
        </w:rPr>
        <w:t>Eff</w:t>
      </w:r>
      <w:r w:rsidRPr="00DD7BD1">
        <w:rPr>
          <w:rFonts w:ascii="Calibri" w:hAnsi="Calibri" w:cs="Calibri"/>
          <w:color w:val="C00000"/>
          <w:spacing w:val="-17"/>
          <w:sz w:val="28"/>
          <w:szCs w:val="28"/>
        </w:rPr>
        <w:t xml:space="preserve"> </w:t>
      </w:r>
      <w:r w:rsidRPr="00DD7BD1">
        <w:rPr>
          <w:rFonts w:ascii="Calibri" w:hAnsi="Calibri" w:cs="Calibri"/>
          <w:color w:val="C00000"/>
          <w:spacing w:val="-2"/>
          <w:sz w:val="28"/>
          <w:szCs w:val="28"/>
        </w:rPr>
        <w:t>Jan</w:t>
      </w:r>
      <w:r w:rsidRPr="00DD7BD1">
        <w:rPr>
          <w:rFonts w:ascii="Calibri" w:hAnsi="Calibri" w:cs="Calibri"/>
          <w:color w:val="C00000"/>
          <w:spacing w:val="-16"/>
          <w:sz w:val="28"/>
          <w:szCs w:val="28"/>
        </w:rPr>
        <w:t xml:space="preserve"> </w:t>
      </w:r>
      <w:r w:rsidRPr="00DD7BD1">
        <w:rPr>
          <w:rFonts w:ascii="Calibri" w:hAnsi="Calibri" w:cs="Calibri"/>
          <w:color w:val="C00000"/>
          <w:spacing w:val="-2"/>
          <w:sz w:val="28"/>
          <w:szCs w:val="28"/>
        </w:rPr>
        <w:t>1,</w:t>
      </w:r>
      <w:r w:rsidRPr="00DD7BD1">
        <w:rPr>
          <w:rFonts w:ascii="Calibri" w:hAnsi="Calibri" w:cs="Calibri"/>
          <w:color w:val="C00000"/>
          <w:spacing w:val="-16"/>
          <w:sz w:val="28"/>
          <w:szCs w:val="28"/>
        </w:rPr>
        <w:t xml:space="preserve"> </w:t>
      </w:r>
      <w:r w:rsidRPr="00DD7BD1">
        <w:rPr>
          <w:rFonts w:ascii="Calibri" w:hAnsi="Calibri" w:cs="Calibri"/>
          <w:color w:val="C00000"/>
          <w:spacing w:val="-4"/>
          <w:sz w:val="28"/>
          <w:szCs w:val="28"/>
        </w:rPr>
        <w:t>2026</w:t>
      </w:r>
    </w:p>
    <w:p w14:paraId="53C0F693" w14:textId="425EC106" w:rsidR="003F46D6" w:rsidRPr="00DD7BD1" w:rsidRDefault="003F46D6" w:rsidP="003F46D6">
      <w:pPr>
        <w:pStyle w:val="BodyText"/>
        <w:spacing w:after="0" w:line="240" w:lineRule="auto"/>
        <w:ind w:right="-187"/>
        <w:jc w:val="left"/>
        <w:rPr>
          <w:rFonts w:cs="Calibri"/>
          <w:color w:val="auto"/>
          <w:spacing w:val="-6"/>
          <w:w w:val="110"/>
          <w:szCs w:val="22"/>
        </w:rPr>
      </w:pP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January</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5"/>
          <w:w w:val="110"/>
          <w:szCs w:val="22"/>
        </w:rPr>
        <w:t xml:space="preserve"> </w:t>
      </w:r>
      <w:r w:rsidRPr="00DD7BD1">
        <w:rPr>
          <w:rFonts w:cs="Calibri"/>
          <w:color w:val="auto"/>
          <w:w w:val="110"/>
          <w:szCs w:val="22"/>
        </w:rPr>
        <w:t>Washington’s</w:t>
      </w:r>
      <w:r w:rsidRPr="00DD7BD1">
        <w:rPr>
          <w:rFonts w:cs="Calibri"/>
          <w:color w:val="auto"/>
          <w:spacing w:val="-4"/>
          <w:w w:val="110"/>
          <w:szCs w:val="22"/>
        </w:rPr>
        <w:t xml:space="preserve"> </w:t>
      </w:r>
      <w:r w:rsidRPr="00DD7BD1">
        <w:rPr>
          <w:rFonts w:cs="Calibri"/>
          <w:color w:val="auto"/>
          <w:w w:val="110"/>
          <w:szCs w:val="22"/>
        </w:rPr>
        <w:t>Domestic</w:t>
      </w:r>
      <w:r w:rsidRPr="00DD7BD1">
        <w:rPr>
          <w:rFonts w:cs="Calibri"/>
          <w:color w:val="auto"/>
          <w:spacing w:val="-5"/>
          <w:w w:val="110"/>
          <w:szCs w:val="22"/>
        </w:rPr>
        <w:t xml:space="preserve"> </w:t>
      </w:r>
      <w:r w:rsidRPr="00DD7BD1">
        <w:rPr>
          <w:rFonts w:cs="Calibri"/>
          <w:color w:val="auto"/>
          <w:w w:val="110"/>
          <w:szCs w:val="22"/>
        </w:rPr>
        <w:t>Violence</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4"/>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(DVLA)</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include</w:t>
      </w:r>
      <w:r w:rsidRPr="00DD7BD1">
        <w:rPr>
          <w:rFonts w:cs="Calibri"/>
          <w:color w:val="auto"/>
          <w:spacing w:val="-4"/>
          <w:w w:val="110"/>
          <w:szCs w:val="22"/>
        </w:rPr>
        <w:t xml:space="preserve"> </w:t>
      </w:r>
      <w:r w:rsidRPr="00DD7BD1">
        <w:rPr>
          <w:rFonts w:cs="Calibri"/>
          <w:color w:val="auto"/>
          <w:w w:val="110"/>
          <w:szCs w:val="22"/>
        </w:rPr>
        <w:t xml:space="preserve">protections </w:t>
      </w:r>
      <w:r w:rsidRPr="00DD7BD1">
        <w:rPr>
          <w:rFonts w:cs="Calibri"/>
          <w:color w:val="auto"/>
          <w:spacing w:val="-2"/>
          <w:w w:val="115"/>
          <w:szCs w:val="22"/>
        </w:rPr>
        <w:t>for</w:t>
      </w:r>
      <w:r w:rsidRPr="00DD7BD1">
        <w:rPr>
          <w:rFonts w:cs="Calibri"/>
          <w:color w:val="auto"/>
          <w:spacing w:val="-13"/>
          <w:w w:val="115"/>
          <w:szCs w:val="22"/>
        </w:rPr>
        <w:t xml:space="preserve"> </w:t>
      </w:r>
      <w:r w:rsidRPr="00DD7BD1">
        <w:rPr>
          <w:rFonts w:cs="Calibri"/>
          <w:color w:val="auto"/>
          <w:spacing w:val="-2"/>
          <w:w w:val="115"/>
          <w:szCs w:val="22"/>
        </w:rPr>
        <w:t>victims</w:t>
      </w:r>
      <w:r w:rsidRPr="00DD7BD1">
        <w:rPr>
          <w:rFonts w:cs="Calibri"/>
          <w:color w:val="auto"/>
          <w:spacing w:val="-12"/>
          <w:w w:val="115"/>
          <w:szCs w:val="22"/>
        </w:rPr>
        <w:t xml:space="preserve"> </w:t>
      </w:r>
      <w:r w:rsidRPr="00DD7BD1">
        <w:rPr>
          <w:rFonts w:cs="Calibri"/>
          <w:color w:val="auto"/>
          <w:spacing w:val="-2"/>
          <w:w w:val="115"/>
          <w:szCs w:val="22"/>
        </w:rPr>
        <w:t>of</w:t>
      </w:r>
      <w:r w:rsidRPr="00DD7BD1">
        <w:rPr>
          <w:rFonts w:cs="Calibri"/>
          <w:color w:val="auto"/>
          <w:spacing w:val="-13"/>
          <w:w w:val="115"/>
          <w:szCs w:val="22"/>
        </w:rPr>
        <w:t xml:space="preserve"> </w:t>
      </w:r>
      <w:r w:rsidRPr="00DD7BD1">
        <w:rPr>
          <w:rFonts w:cs="Calibri"/>
          <w:color w:val="auto"/>
          <w:spacing w:val="-2"/>
          <w:w w:val="115"/>
          <w:szCs w:val="22"/>
        </w:rPr>
        <w:t>hate</w:t>
      </w:r>
      <w:r w:rsidRPr="00DD7BD1">
        <w:rPr>
          <w:rFonts w:cs="Calibri"/>
          <w:color w:val="auto"/>
          <w:spacing w:val="-9"/>
          <w:w w:val="115"/>
          <w:szCs w:val="22"/>
        </w:rPr>
        <w:t xml:space="preserve"> </w:t>
      </w:r>
      <w:r w:rsidRPr="00DD7BD1">
        <w:rPr>
          <w:rFonts w:cs="Calibri"/>
          <w:color w:val="auto"/>
          <w:spacing w:val="-2"/>
          <w:w w:val="115"/>
          <w:szCs w:val="22"/>
        </w:rPr>
        <w:t>crimes,</w:t>
      </w:r>
      <w:r w:rsidRPr="00DD7BD1">
        <w:rPr>
          <w:rFonts w:cs="Calibri"/>
          <w:color w:val="auto"/>
          <w:spacing w:val="-10"/>
          <w:w w:val="115"/>
          <w:szCs w:val="22"/>
        </w:rPr>
        <w:t xml:space="preserve"> </w:t>
      </w:r>
      <w:r w:rsidRPr="00DD7BD1">
        <w:rPr>
          <w:rFonts w:cs="Calibri"/>
          <w:color w:val="auto"/>
          <w:spacing w:val="-2"/>
          <w:w w:val="115"/>
          <w:szCs w:val="22"/>
        </w:rPr>
        <w:t>allowing</w:t>
      </w:r>
      <w:r w:rsidRPr="00DD7BD1">
        <w:rPr>
          <w:rFonts w:cs="Calibri"/>
          <w:color w:val="auto"/>
          <w:spacing w:val="-12"/>
          <w:w w:val="115"/>
          <w:szCs w:val="22"/>
        </w:rPr>
        <w:t xml:space="preserve"> </w:t>
      </w:r>
      <w:r w:rsidRPr="00DD7BD1">
        <w:rPr>
          <w:rFonts w:cs="Calibri"/>
          <w:color w:val="auto"/>
          <w:spacing w:val="-2"/>
          <w:w w:val="115"/>
          <w:szCs w:val="22"/>
        </w:rPr>
        <w:t>newly-affected</w:t>
      </w:r>
      <w:r w:rsidRPr="00DD7BD1">
        <w:rPr>
          <w:rFonts w:cs="Calibri"/>
          <w:color w:val="auto"/>
          <w:spacing w:val="-9"/>
          <w:w w:val="115"/>
          <w:szCs w:val="22"/>
        </w:rPr>
        <w:t xml:space="preserve"> </w:t>
      </w:r>
      <w:r w:rsidRPr="00DD7BD1">
        <w:rPr>
          <w:rFonts w:cs="Calibri"/>
          <w:color w:val="auto"/>
          <w:spacing w:val="-2"/>
          <w:w w:val="115"/>
          <w:szCs w:val="22"/>
        </w:rPr>
        <w:t>employees</w:t>
      </w:r>
      <w:r w:rsidRPr="00DD7BD1">
        <w:rPr>
          <w:rFonts w:cs="Calibri"/>
          <w:color w:val="auto"/>
          <w:spacing w:val="-9"/>
          <w:w w:val="115"/>
          <w:szCs w:val="22"/>
        </w:rPr>
        <w:t xml:space="preserve"> </w:t>
      </w:r>
      <w:r w:rsidRPr="00DD7BD1">
        <w:rPr>
          <w:rFonts w:cs="Calibri"/>
          <w:color w:val="auto"/>
          <w:spacing w:val="-2"/>
          <w:w w:val="115"/>
          <w:szCs w:val="22"/>
        </w:rPr>
        <w:t>to</w:t>
      </w:r>
      <w:r w:rsidRPr="00DD7BD1">
        <w:rPr>
          <w:rFonts w:cs="Calibri"/>
          <w:color w:val="auto"/>
          <w:spacing w:val="-9"/>
          <w:w w:val="115"/>
          <w:szCs w:val="22"/>
        </w:rPr>
        <w:t xml:space="preserve"> </w:t>
      </w:r>
      <w:r w:rsidRPr="00DD7BD1">
        <w:rPr>
          <w:rFonts w:cs="Calibri"/>
          <w:color w:val="auto"/>
          <w:spacing w:val="-2"/>
          <w:w w:val="115"/>
          <w:szCs w:val="22"/>
        </w:rPr>
        <w:t>access</w:t>
      </w:r>
      <w:r w:rsidRPr="00DD7BD1">
        <w:rPr>
          <w:rFonts w:cs="Calibri"/>
          <w:color w:val="auto"/>
          <w:spacing w:val="-6"/>
          <w:w w:val="115"/>
          <w:szCs w:val="22"/>
        </w:rPr>
        <w:t xml:space="preserve"> </w:t>
      </w:r>
      <w:r w:rsidRPr="00DD7BD1">
        <w:rPr>
          <w:rFonts w:cs="Calibri"/>
          <w:color w:val="auto"/>
          <w:spacing w:val="-2"/>
          <w:w w:val="115"/>
          <w:szCs w:val="22"/>
        </w:rPr>
        <w:t>unpaid</w:t>
      </w:r>
      <w:r w:rsidRPr="00DD7BD1">
        <w:rPr>
          <w:rFonts w:cs="Calibri"/>
          <w:color w:val="auto"/>
          <w:spacing w:val="-9"/>
          <w:w w:val="115"/>
          <w:szCs w:val="22"/>
        </w:rPr>
        <w:t xml:space="preserve"> </w:t>
      </w:r>
      <w:r w:rsidRPr="00DD7BD1">
        <w:rPr>
          <w:rFonts w:cs="Calibri"/>
          <w:color w:val="auto"/>
          <w:spacing w:val="-2"/>
          <w:w w:val="115"/>
          <w:szCs w:val="22"/>
        </w:rPr>
        <w:t>DVLA</w:t>
      </w:r>
      <w:r w:rsidRPr="00DD7BD1">
        <w:rPr>
          <w:rFonts w:cs="Calibri"/>
          <w:color w:val="auto"/>
          <w:spacing w:val="-10"/>
          <w:w w:val="115"/>
          <w:szCs w:val="22"/>
        </w:rPr>
        <w:t xml:space="preserve"> </w:t>
      </w:r>
      <w:r w:rsidRPr="00DD7BD1">
        <w:rPr>
          <w:rFonts w:cs="Calibri"/>
          <w:color w:val="auto"/>
          <w:spacing w:val="-2"/>
          <w:w w:val="115"/>
          <w:szCs w:val="22"/>
        </w:rPr>
        <w:t>leave</w:t>
      </w:r>
      <w:r w:rsidRPr="00DD7BD1">
        <w:rPr>
          <w:rFonts w:cs="Calibri"/>
          <w:color w:val="auto"/>
          <w:spacing w:val="-9"/>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 xml:space="preserve">safety </w:t>
      </w:r>
      <w:r w:rsidRPr="00DD7BD1">
        <w:rPr>
          <w:rFonts w:cs="Calibri"/>
          <w:color w:val="auto"/>
          <w:w w:val="110"/>
          <w:szCs w:val="22"/>
        </w:rPr>
        <w:t>accommodations</w:t>
      </w:r>
      <w:r w:rsidRPr="00DD7BD1">
        <w:rPr>
          <w:rFonts w:cs="Calibri"/>
          <w:color w:val="auto"/>
          <w:spacing w:val="-5"/>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Ahead</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date</w:t>
      </w:r>
      <w:r w:rsidRPr="00DD7BD1">
        <w:rPr>
          <w:rFonts w:cs="Calibri"/>
          <w:color w:val="auto"/>
          <w:spacing w:val="-5"/>
          <w:w w:val="110"/>
          <w:szCs w:val="22"/>
        </w:rPr>
        <w:t xml:space="preserve"> </w:t>
      </w:r>
      <w:r w:rsidRPr="00DD7BD1">
        <w:rPr>
          <w:rFonts w:cs="Calibri"/>
          <w:color w:val="auto"/>
          <w:w w:val="110"/>
          <w:szCs w:val="22"/>
        </w:rPr>
        <w:t>ETC</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3"/>
          <w:w w:val="110"/>
          <w:szCs w:val="22"/>
        </w:rPr>
        <w:t xml:space="preserve"> </w:t>
      </w:r>
      <w:r w:rsidRPr="00DD7BD1">
        <w:rPr>
          <w:rFonts w:cs="Calibri"/>
          <w:color w:val="auto"/>
          <w:w w:val="110"/>
          <w:szCs w:val="22"/>
        </w:rPr>
        <w:t>release</w:t>
      </w:r>
      <w:r w:rsidRPr="00DD7BD1">
        <w:rPr>
          <w:rFonts w:cs="Calibri"/>
          <w:color w:val="auto"/>
          <w:spacing w:val="-11"/>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updated</w:t>
      </w:r>
      <w:r w:rsidRPr="00DD7BD1">
        <w:rPr>
          <w:rFonts w:cs="Calibri"/>
          <w:color w:val="auto"/>
          <w:spacing w:val="-8"/>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Handbook</w:t>
      </w:r>
      <w:r w:rsidRPr="00DD7BD1">
        <w:rPr>
          <w:rFonts w:cs="Calibri"/>
          <w:color w:val="auto"/>
          <w:spacing w:val="-5"/>
          <w:w w:val="110"/>
          <w:szCs w:val="22"/>
        </w:rPr>
        <w:t xml:space="preserve"> </w:t>
      </w:r>
      <w:r w:rsidRPr="00DD7BD1">
        <w:rPr>
          <w:rFonts w:cs="Calibri"/>
          <w:color w:val="auto"/>
          <w:w w:val="110"/>
          <w:szCs w:val="22"/>
        </w:rPr>
        <w:t>Addendum.</w:t>
      </w:r>
      <w:r w:rsidR="00DC2707" w:rsidRPr="00DD7BD1">
        <w:rPr>
          <w:rFonts w:cs="Calibri"/>
          <w:color w:val="auto"/>
          <w:w w:val="110"/>
          <w:szCs w:val="22"/>
        </w:rPr>
        <w:t xml:space="preserve"> </w:t>
      </w:r>
      <w:r w:rsidR="00DC2707" w:rsidRPr="00DD7BD1">
        <w:rPr>
          <w:rFonts w:cs="Calibri"/>
          <w:color w:val="auto"/>
          <w:spacing w:val="-6"/>
          <w:w w:val="110"/>
          <w:szCs w:val="22"/>
        </w:rPr>
        <w:t>The WA State Handbook Addendum released December 2025 includes language addressing the above enactment.</w:t>
      </w:r>
    </w:p>
    <w:p w14:paraId="2CC05A11" w14:textId="77777777" w:rsidR="003F46D6" w:rsidRPr="00DD7BD1" w:rsidRDefault="003F46D6" w:rsidP="003F46D6">
      <w:pPr>
        <w:pStyle w:val="BodyText"/>
        <w:spacing w:after="0" w:line="240" w:lineRule="auto"/>
        <w:ind w:right="-187"/>
        <w:jc w:val="left"/>
        <w:rPr>
          <w:rFonts w:cs="Calibri"/>
          <w:color w:val="auto"/>
          <w:szCs w:val="22"/>
        </w:rPr>
      </w:pPr>
    </w:p>
    <w:p w14:paraId="6A4C10E5" w14:textId="7AFB03EB"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4"/>
          <w:sz w:val="28"/>
          <w:szCs w:val="28"/>
        </w:rPr>
        <w:t>State</w:t>
      </w:r>
      <w:r w:rsidRPr="00DD7BD1">
        <w:rPr>
          <w:rFonts w:ascii="Calibri" w:hAnsi="Calibri" w:cs="Calibri"/>
          <w:spacing w:val="-15"/>
          <w:sz w:val="28"/>
          <w:szCs w:val="28"/>
        </w:rPr>
        <w:t xml:space="preserve"> </w:t>
      </w:r>
      <w:r w:rsidRPr="00DD7BD1">
        <w:rPr>
          <w:rFonts w:ascii="Calibri" w:hAnsi="Calibri" w:cs="Calibri"/>
          <w:spacing w:val="-4"/>
          <w:sz w:val="28"/>
          <w:szCs w:val="28"/>
        </w:rPr>
        <w:t>Amends</w:t>
      </w:r>
      <w:r w:rsidRPr="00DD7BD1">
        <w:rPr>
          <w:rFonts w:ascii="Calibri" w:hAnsi="Calibri" w:cs="Calibri"/>
          <w:spacing w:val="-14"/>
          <w:sz w:val="28"/>
          <w:szCs w:val="28"/>
        </w:rPr>
        <w:t xml:space="preserve"> </w:t>
      </w:r>
      <w:r w:rsidRPr="00DD7BD1">
        <w:rPr>
          <w:rFonts w:ascii="Calibri" w:hAnsi="Calibri" w:cs="Calibri"/>
          <w:spacing w:val="-4"/>
          <w:sz w:val="28"/>
          <w:szCs w:val="28"/>
        </w:rPr>
        <w:t>Paid</w:t>
      </w:r>
      <w:r w:rsidRPr="00DD7BD1">
        <w:rPr>
          <w:rFonts w:ascii="Calibri" w:hAnsi="Calibri" w:cs="Calibri"/>
          <w:spacing w:val="-13"/>
          <w:sz w:val="28"/>
          <w:szCs w:val="28"/>
        </w:rPr>
        <w:t xml:space="preserve"> </w:t>
      </w:r>
      <w:r w:rsidRPr="00DD7BD1">
        <w:rPr>
          <w:rFonts w:ascii="Calibri" w:hAnsi="Calibri" w:cs="Calibri"/>
          <w:spacing w:val="-4"/>
          <w:sz w:val="28"/>
          <w:szCs w:val="28"/>
        </w:rPr>
        <w:t>Family</w:t>
      </w:r>
      <w:r w:rsidRPr="00DD7BD1">
        <w:rPr>
          <w:rFonts w:ascii="Calibri" w:hAnsi="Calibri" w:cs="Calibri"/>
          <w:spacing w:val="-13"/>
          <w:sz w:val="28"/>
          <w:szCs w:val="28"/>
        </w:rPr>
        <w:t xml:space="preserve"> </w:t>
      </w:r>
      <w:r w:rsidRPr="00DD7BD1">
        <w:rPr>
          <w:rFonts w:ascii="Calibri" w:hAnsi="Calibri" w:cs="Calibri"/>
          <w:spacing w:val="-4"/>
          <w:sz w:val="28"/>
          <w:szCs w:val="28"/>
        </w:rPr>
        <w:t>&amp;</w:t>
      </w:r>
      <w:r w:rsidRPr="00DD7BD1">
        <w:rPr>
          <w:rFonts w:ascii="Calibri" w:hAnsi="Calibri" w:cs="Calibri"/>
          <w:spacing w:val="-13"/>
          <w:sz w:val="28"/>
          <w:szCs w:val="28"/>
        </w:rPr>
        <w:t xml:space="preserve"> </w:t>
      </w:r>
      <w:r w:rsidRPr="00DD7BD1">
        <w:rPr>
          <w:rFonts w:ascii="Calibri" w:hAnsi="Calibri" w:cs="Calibri"/>
          <w:spacing w:val="-4"/>
          <w:sz w:val="28"/>
          <w:szCs w:val="28"/>
        </w:rPr>
        <w:t>Medical</w:t>
      </w:r>
      <w:r w:rsidRPr="00DD7BD1">
        <w:rPr>
          <w:rFonts w:ascii="Calibri" w:hAnsi="Calibri" w:cs="Calibri"/>
          <w:spacing w:val="-13"/>
          <w:sz w:val="28"/>
          <w:szCs w:val="28"/>
        </w:rPr>
        <w:t xml:space="preserve"> </w:t>
      </w:r>
      <w:r w:rsidRPr="00DD7BD1">
        <w:rPr>
          <w:rFonts w:ascii="Calibri" w:hAnsi="Calibri" w:cs="Calibri"/>
          <w:spacing w:val="-4"/>
          <w:sz w:val="28"/>
          <w:szCs w:val="28"/>
        </w:rPr>
        <w:t>Leave</w:t>
      </w:r>
      <w:r w:rsidRPr="00DD7BD1">
        <w:rPr>
          <w:rFonts w:ascii="Calibri" w:hAnsi="Calibri" w:cs="Calibri"/>
          <w:spacing w:val="-14"/>
          <w:sz w:val="28"/>
          <w:szCs w:val="28"/>
        </w:rPr>
        <w:t xml:space="preserve"> </w:t>
      </w:r>
      <w:r w:rsidRPr="00DD7BD1">
        <w:rPr>
          <w:rFonts w:ascii="Calibri" w:hAnsi="Calibri" w:cs="Calibri"/>
          <w:spacing w:val="-4"/>
          <w:sz w:val="28"/>
          <w:szCs w:val="28"/>
        </w:rPr>
        <w:t>Requirements</w:t>
      </w:r>
      <w:r w:rsidRPr="00DD7BD1">
        <w:rPr>
          <w:rFonts w:ascii="Calibri" w:hAnsi="Calibri" w:cs="Calibri"/>
          <w:spacing w:val="-13"/>
          <w:sz w:val="28"/>
          <w:szCs w:val="28"/>
        </w:rPr>
        <w:t xml:space="preserve"> </w:t>
      </w:r>
      <w:r w:rsidRPr="00DD7BD1">
        <w:rPr>
          <w:rFonts w:ascii="Calibri" w:hAnsi="Calibri" w:cs="Calibri"/>
          <w:spacing w:val="-4"/>
          <w:sz w:val="28"/>
          <w:szCs w:val="28"/>
        </w:rPr>
        <w:t>–</w:t>
      </w:r>
      <w:r w:rsidRPr="00DD7BD1">
        <w:rPr>
          <w:rFonts w:ascii="Calibri" w:hAnsi="Calibri" w:cs="Calibri"/>
          <w:spacing w:val="-13"/>
          <w:sz w:val="28"/>
          <w:szCs w:val="28"/>
        </w:rPr>
        <w:t xml:space="preserve"> </w:t>
      </w:r>
      <w:r w:rsidRPr="00DD7BD1">
        <w:rPr>
          <w:rFonts w:ascii="Calibri" w:hAnsi="Calibri" w:cs="Calibri"/>
          <w:color w:val="C00000"/>
          <w:spacing w:val="-4"/>
          <w:sz w:val="28"/>
          <w:szCs w:val="28"/>
        </w:rPr>
        <w:t>Eff</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Jan</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1,</w:t>
      </w:r>
      <w:r w:rsidRPr="00DD7BD1">
        <w:rPr>
          <w:rFonts w:ascii="Calibri" w:hAnsi="Calibri" w:cs="Calibri"/>
          <w:color w:val="C00000"/>
          <w:spacing w:val="-15"/>
          <w:sz w:val="28"/>
          <w:szCs w:val="28"/>
        </w:rPr>
        <w:t xml:space="preserve"> </w:t>
      </w:r>
      <w:r w:rsidRPr="00DD7BD1">
        <w:rPr>
          <w:rFonts w:ascii="Calibri" w:hAnsi="Calibri" w:cs="Calibri"/>
          <w:color w:val="C00000"/>
          <w:spacing w:val="-4"/>
          <w:sz w:val="28"/>
          <w:szCs w:val="28"/>
        </w:rPr>
        <w:t>2026</w:t>
      </w:r>
    </w:p>
    <w:p w14:paraId="03310F6A"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5"/>
          <w:szCs w:val="22"/>
        </w:rPr>
        <w:t>Beginning</w:t>
      </w:r>
      <w:r w:rsidRPr="00DD7BD1">
        <w:rPr>
          <w:rFonts w:cs="Calibri"/>
          <w:color w:val="auto"/>
          <w:spacing w:val="-17"/>
          <w:w w:val="115"/>
          <w:szCs w:val="22"/>
        </w:rPr>
        <w:t xml:space="preserve"> </w:t>
      </w:r>
      <w:r w:rsidRPr="00DD7BD1">
        <w:rPr>
          <w:rFonts w:cs="Calibri"/>
          <w:color w:val="auto"/>
          <w:w w:val="115"/>
          <w:szCs w:val="22"/>
        </w:rPr>
        <w:t>January</w:t>
      </w:r>
      <w:r w:rsidRPr="00DD7BD1">
        <w:rPr>
          <w:rFonts w:cs="Calibri"/>
          <w:color w:val="auto"/>
          <w:spacing w:val="-17"/>
          <w:w w:val="115"/>
          <w:szCs w:val="22"/>
        </w:rPr>
        <w:t xml:space="preserve"> </w:t>
      </w:r>
      <w:r w:rsidRPr="00DD7BD1">
        <w:rPr>
          <w:rFonts w:cs="Calibri"/>
          <w:color w:val="auto"/>
          <w:w w:val="115"/>
          <w:szCs w:val="22"/>
        </w:rPr>
        <w:t>1,</w:t>
      </w:r>
      <w:r w:rsidRPr="00DD7BD1">
        <w:rPr>
          <w:rFonts w:cs="Calibri"/>
          <w:color w:val="auto"/>
          <w:spacing w:val="-18"/>
          <w:w w:val="115"/>
          <w:szCs w:val="22"/>
        </w:rPr>
        <w:t xml:space="preserve"> </w:t>
      </w:r>
      <w:r w:rsidRPr="00DD7BD1">
        <w:rPr>
          <w:rFonts w:cs="Calibri"/>
          <w:color w:val="auto"/>
          <w:w w:val="115"/>
          <w:szCs w:val="22"/>
        </w:rPr>
        <w:t>2026,</w:t>
      </w:r>
      <w:r w:rsidRPr="00DD7BD1">
        <w:rPr>
          <w:rFonts w:cs="Calibri"/>
          <w:color w:val="auto"/>
          <w:spacing w:val="-16"/>
          <w:w w:val="115"/>
          <w:szCs w:val="22"/>
        </w:rPr>
        <w:t xml:space="preserve"> </w:t>
      </w:r>
      <w:r w:rsidRPr="00DD7BD1">
        <w:rPr>
          <w:rFonts w:cs="Calibri"/>
          <w:color w:val="auto"/>
          <w:w w:val="115"/>
          <w:szCs w:val="22"/>
        </w:rPr>
        <w:t>Washington</w:t>
      </w:r>
      <w:r w:rsidRPr="00DD7BD1">
        <w:rPr>
          <w:rFonts w:cs="Calibri"/>
          <w:color w:val="auto"/>
          <w:spacing w:val="-18"/>
          <w:w w:val="115"/>
          <w:szCs w:val="22"/>
        </w:rPr>
        <w:t xml:space="preserve"> </w:t>
      </w:r>
      <w:r w:rsidRPr="00DD7BD1">
        <w:rPr>
          <w:rFonts w:cs="Calibri"/>
          <w:color w:val="auto"/>
          <w:w w:val="115"/>
          <w:szCs w:val="22"/>
        </w:rPr>
        <w:t>State</w:t>
      </w:r>
      <w:r w:rsidRPr="00DD7BD1">
        <w:rPr>
          <w:rFonts w:cs="Calibri"/>
          <w:color w:val="auto"/>
          <w:spacing w:val="-15"/>
          <w:w w:val="115"/>
          <w:szCs w:val="22"/>
        </w:rPr>
        <w:t xml:space="preserve"> </w:t>
      </w:r>
      <w:r w:rsidRPr="00DD7BD1">
        <w:rPr>
          <w:rFonts w:cs="Calibri"/>
          <w:color w:val="auto"/>
          <w:w w:val="115"/>
          <w:szCs w:val="22"/>
        </w:rPr>
        <w:t>will</w:t>
      </w:r>
      <w:r w:rsidRPr="00DD7BD1">
        <w:rPr>
          <w:rFonts w:cs="Calibri"/>
          <w:color w:val="auto"/>
          <w:spacing w:val="-17"/>
          <w:w w:val="115"/>
          <w:szCs w:val="22"/>
        </w:rPr>
        <w:t xml:space="preserve"> </w:t>
      </w:r>
      <w:r w:rsidRPr="00DD7BD1">
        <w:rPr>
          <w:rFonts w:cs="Calibri"/>
          <w:color w:val="auto"/>
          <w:w w:val="115"/>
          <w:szCs w:val="22"/>
        </w:rPr>
        <w:t>implement</w:t>
      </w:r>
      <w:r w:rsidRPr="00DD7BD1">
        <w:rPr>
          <w:rFonts w:cs="Calibri"/>
          <w:color w:val="auto"/>
          <w:spacing w:val="-17"/>
          <w:w w:val="115"/>
          <w:szCs w:val="22"/>
        </w:rPr>
        <w:t xml:space="preserve"> </w:t>
      </w:r>
      <w:r w:rsidRPr="00DD7BD1">
        <w:rPr>
          <w:rFonts w:cs="Calibri"/>
          <w:color w:val="auto"/>
          <w:w w:val="115"/>
          <w:szCs w:val="22"/>
        </w:rPr>
        <w:t>significant</w:t>
      </w:r>
      <w:r w:rsidRPr="00DD7BD1">
        <w:rPr>
          <w:rFonts w:cs="Calibri"/>
          <w:color w:val="auto"/>
          <w:spacing w:val="-18"/>
          <w:w w:val="115"/>
          <w:szCs w:val="22"/>
        </w:rPr>
        <w:t xml:space="preserve"> </w:t>
      </w:r>
      <w:r w:rsidRPr="00DD7BD1">
        <w:rPr>
          <w:rFonts w:cs="Calibri"/>
          <w:color w:val="auto"/>
          <w:w w:val="115"/>
          <w:szCs w:val="22"/>
        </w:rPr>
        <w:t>amendments</w:t>
      </w:r>
      <w:r w:rsidRPr="00DD7BD1">
        <w:rPr>
          <w:rFonts w:cs="Calibri"/>
          <w:color w:val="auto"/>
          <w:spacing w:val="-15"/>
          <w:w w:val="115"/>
          <w:szCs w:val="22"/>
        </w:rPr>
        <w:t xml:space="preserve"> </w:t>
      </w:r>
      <w:r w:rsidRPr="00DD7BD1">
        <w:rPr>
          <w:rFonts w:cs="Calibri"/>
          <w:color w:val="auto"/>
          <w:w w:val="115"/>
          <w:szCs w:val="22"/>
        </w:rPr>
        <w:t>to</w:t>
      </w:r>
      <w:r w:rsidRPr="00DD7BD1">
        <w:rPr>
          <w:rFonts w:cs="Calibri"/>
          <w:color w:val="auto"/>
          <w:spacing w:val="-15"/>
          <w:w w:val="115"/>
          <w:szCs w:val="22"/>
        </w:rPr>
        <w:t xml:space="preserve"> </w:t>
      </w:r>
      <w:r w:rsidRPr="00DD7BD1">
        <w:rPr>
          <w:rFonts w:cs="Calibri"/>
          <w:color w:val="auto"/>
          <w:w w:val="115"/>
          <w:szCs w:val="22"/>
        </w:rPr>
        <w:t>its</w:t>
      </w:r>
      <w:r w:rsidRPr="00DD7BD1">
        <w:rPr>
          <w:rFonts w:cs="Calibri"/>
          <w:color w:val="auto"/>
          <w:spacing w:val="-15"/>
          <w:w w:val="115"/>
          <w:szCs w:val="22"/>
        </w:rPr>
        <w:t xml:space="preserve"> </w:t>
      </w:r>
      <w:r w:rsidRPr="00DD7BD1">
        <w:rPr>
          <w:rFonts w:cs="Calibri"/>
          <w:color w:val="auto"/>
          <w:w w:val="115"/>
          <w:szCs w:val="22"/>
        </w:rPr>
        <w:t>Paid</w:t>
      </w:r>
      <w:r w:rsidRPr="00DD7BD1">
        <w:rPr>
          <w:rFonts w:cs="Calibri"/>
          <w:color w:val="auto"/>
          <w:spacing w:val="-19"/>
          <w:w w:val="115"/>
          <w:szCs w:val="22"/>
        </w:rPr>
        <w:t xml:space="preserve"> </w:t>
      </w:r>
      <w:r w:rsidRPr="00DD7BD1">
        <w:rPr>
          <w:rFonts w:cs="Calibri"/>
          <w:color w:val="auto"/>
          <w:w w:val="115"/>
          <w:szCs w:val="22"/>
        </w:rPr>
        <w:t>Family</w:t>
      </w:r>
      <w:r w:rsidRPr="00DD7BD1">
        <w:rPr>
          <w:rFonts w:cs="Calibri"/>
          <w:color w:val="auto"/>
          <w:spacing w:val="-15"/>
          <w:w w:val="115"/>
          <w:szCs w:val="22"/>
        </w:rPr>
        <w:t xml:space="preserve"> </w:t>
      </w:r>
      <w:r w:rsidRPr="00DD7BD1">
        <w:rPr>
          <w:rFonts w:cs="Calibri"/>
          <w:color w:val="auto"/>
          <w:w w:val="115"/>
          <w:szCs w:val="22"/>
        </w:rPr>
        <w:t xml:space="preserve">and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(PFML)</w:t>
      </w:r>
      <w:r w:rsidRPr="00DD7BD1">
        <w:rPr>
          <w:rFonts w:cs="Calibri"/>
          <w:color w:val="auto"/>
          <w:spacing w:val="-6"/>
          <w:w w:val="110"/>
          <w:szCs w:val="22"/>
        </w:rPr>
        <w:t xml:space="preserve"> </w:t>
      </w:r>
      <w:r w:rsidRPr="00DD7BD1">
        <w:rPr>
          <w:rFonts w:cs="Calibri"/>
          <w:color w:val="auto"/>
          <w:w w:val="110"/>
          <w:szCs w:val="22"/>
        </w:rPr>
        <w:t>program</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7"/>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These</w:t>
      </w:r>
      <w:r w:rsidRPr="00DD7BD1">
        <w:rPr>
          <w:rFonts w:cs="Calibri"/>
          <w:color w:val="auto"/>
          <w:spacing w:val="-5"/>
          <w:w w:val="110"/>
          <w:szCs w:val="22"/>
        </w:rPr>
        <w:t xml:space="preserve"> </w:t>
      </w:r>
      <w:r w:rsidRPr="00DD7BD1">
        <w:rPr>
          <w:rFonts w:cs="Calibri"/>
          <w:color w:val="auto"/>
          <w:w w:val="110"/>
          <w:szCs w:val="22"/>
        </w:rPr>
        <w:t>changes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5"/>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protections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introduce new compliance obligations for employers, particularly those with smaller workforces.</w:t>
      </w:r>
    </w:p>
    <w:p w14:paraId="0C291068" w14:textId="77777777" w:rsidR="003F46D6" w:rsidRPr="00DD7BD1" w:rsidRDefault="003F46D6" w:rsidP="003F46D6">
      <w:pPr>
        <w:pStyle w:val="BodyText"/>
        <w:spacing w:after="0" w:line="240" w:lineRule="auto"/>
        <w:ind w:right="-187"/>
        <w:jc w:val="left"/>
        <w:rPr>
          <w:rFonts w:cs="Calibri"/>
          <w:color w:val="auto"/>
          <w:sz w:val="16"/>
          <w:szCs w:val="16"/>
        </w:rPr>
      </w:pPr>
    </w:p>
    <w:p w14:paraId="1E67106C"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Starting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have</w:t>
      </w:r>
      <w:r w:rsidRPr="00DD7BD1">
        <w:rPr>
          <w:rFonts w:cs="Calibri"/>
          <w:color w:val="auto"/>
          <w:spacing w:val="-7"/>
          <w:w w:val="110"/>
          <w:szCs w:val="22"/>
        </w:rPr>
        <w:t xml:space="preserve"> </w:t>
      </w:r>
      <w:r w:rsidRPr="00DD7BD1">
        <w:rPr>
          <w:rFonts w:cs="Calibri"/>
          <w:color w:val="auto"/>
          <w:w w:val="110"/>
          <w:szCs w:val="22"/>
        </w:rPr>
        <w:t>worked</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8"/>
          <w:w w:val="110"/>
          <w:szCs w:val="22"/>
        </w:rPr>
        <w:t xml:space="preserve"> </w:t>
      </w:r>
      <w:r w:rsidRPr="00DD7BD1">
        <w:rPr>
          <w:rFonts w:cs="Calibri"/>
          <w:color w:val="auto"/>
          <w:w w:val="110"/>
          <w:szCs w:val="22"/>
        </w:rPr>
        <w:t>180</w:t>
      </w:r>
      <w:r w:rsidRPr="00DD7BD1">
        <w:rPr>
          <w:rFonts w:cs="Calibri"/>
          <w:color w:val="auto"/>
          <w:spacing w:val="-10"/>
          <w:w w:val="110"/>
          <w:szCs w:val="22"/>
        </w:rPr>
        <w:t xml:space="preserve"> </w:t>
      </w:r>
      <w:r w:rsidRPr="00DD7BD1">
        <w:rPr>
          <w:rFonts w:cs="Calibri"/>
          <w:color w:val="auto"/>
          <w:w w:val="110"/>
          <w:szCs w:val="22"/>
        </w:rPr>
        <w:t>days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job</w:t>
      </w:r>
      <w:r w:rsidRPr="00DD7BD1">
        <w:rPr>
          <w:rFonts w:cs="Calibri"/>
          <w:color w:val="auto"/>
          <w:spacing w:val="-10"/>
          <w:w w:val="110"/>
          <w:szCs w:val="22"/>
        </w:rPr>
        <w:t xml:space="preserve"> </w:t>
      </w:r>
      <w:r w:rsidRPr="00DD7BD1">
        <w:rPr>
          <w:rFonts w:cs="Calibri"/>
          <w:color w:val="auto"/>
          <w:w w:val="110"/>
          <w:szCs w:val="22"/>
        </w:rPr>
        <w:t>restoration</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8"/>
          <w:w w:val="110"/>
          <w:szCs w:val="22"/>
        </w:rPr>
        <w:t xml:space="preserve"> </w:t>
      </w:r>
      <w:r w:rsidRPr="00DD7BD1">
        <w:rPr>
          <w:rFonts w:cs="Calibri"/>
          <w:color w:val="auto"/>
          <w:w w:val="110"/>
          <w:szCs w:val="22"/>
        </w:rPr>
        <w:t>their employer</w:t>
      </w:r>
      <w:r w:rsidRPr="00DD7BD1">
        <w:rPr>
          <w:rFonts w:cs="Calibri"/>
          <w:color w:val="auto"/>
          <w:spacing w:val="-14"/>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25</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decrease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15</w:t>
      </w:r>
      <w:r w:rsidRPr="00DD7BD1">
        <w:rPr>
          <w:rFonts w:cs="Calibri"/>
          <w:color w:val="auto"/>
          <w:spacing w:val="-13"/>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2027</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8</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 2028.</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previously</w:t>
      </w:r>
      <w:r w:rsidRPr="00DD7BD1">
        <w:rPr>
          <w:rFonts w:cs="Calibri"/>
          <w:color w:val="auto"/>
          <w:spacing w:val="-9"/>
          <w:w w:val="110"/>
          <w:szCs w:val="22"/>
        </w:rPr>
        <w:t xml:space="preserve"> </w:t>
      </w:r>
      <w:r w:rsidRPr="00DD7BD1">
        <w:rPr>
          <w:rFonts w:cs="Calibri"/>
          <w:color w:val="auto"/>
          <w:w w:val="110"/>
          <w:szCs w:val="22"/>
        </w:rPr>
        <w:t>fell</w:t>
      </w:r>
      <w:r w:rsidRPr="00DD7BD1">
        <w:rPr>
          <w:rFonts w:cs="Calibri"/>
          <w:color w:val="auto"/>
          <w:spacing w:val="-7"/>
          <w:w w:val="110"/>
          <w:szCs w:val="22"/>
        </w:rPr>
        <w:t xml:space="preserve"> </w:t>
      </w:r>
      <w:r w:rsidRPr="00DD7BD1">
        <w:rPr>
          <w:rFonts w:cs="Calibri"/>
          <w:color w:val="auto"/>
          <w:w w:val="110"/>
          <w:szCs w:val="22"/>
        </w:rPr>
        <w:t>outside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scope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PFML</w:t>
      </w:r>
      <w:r w:rsidRPr="00DD7BD1">
        <w:rPr>
          <w:rFonts w:cs="Calibri"/>
          <w:color w:val="auto"/>
          <w:spacing w:val="-9"/>
          <w:w w:val="110"/>
          <w:szCs w:val="22"/>
        </w:rPr>
        <w:t xml:space="preserve"> </w:t>
      </w:r>
      <w:r w:rsidRPr="00DD7BD1">
        <w:rPr>
          <w:rFonts w:cs="Calibri"/>
          <w:color w:val="auto"/>
          <w:w w:val="110"/>
          <w:szCs w:val="22"/>
        </w:rPr>
        <w:t>job</w:t>
      </w:r>
      <w:r w:rsidRPr="00DD7BD1">
        <w:rPr>
          <w:rFonts w:cs="Calibri"/>
          <w:color w:val="auto"/>
          <w:spacing w:val="-12"/>
          <w:w w:val="110"/>
          <w:szCs w:val="22"/>
        </w:rPr>
        <w:t xml:space="preserve"> </w:t>
      </w:r>
      <w:r w:rsidRPr="00DD7BD1">
        <w:rPr>
          <w:rFonts w:cs="Calibri"/>
          <w:color w:val="auto"/>
          <w:w w:val="110"/>
          <w:szCs w:val="22"/>
        </w:rPr>
        <w:t>protection</w:t>
      </w:r>
      <w:r w:rsidRPr="00DD7BD1">
        <w:rPr>
          <w:rFonts w:cs="Calibri"/>
          <w:color w:val="auto"/>
          <w:spacing w:val="-9"/>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need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prepare for these new obligations.</w:t>
      </w:r>
    </w:p>
    <w:p w14:paraId="72EDB0E6"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0"/>
          <w:szCs w:val="22"/>
        </w:rPr>
        <w:t>Another</w:t>
      </w:r>
      <w:r w:rsidRPr="00DD7BD1">
        <w:rPr>
          <w:rFonts w:cs="Calibri"/>
          <w:color w:val="auto"/>
          <w:spacing w:val="-15"/>
          <w:w w:val="110"/>
          <w:szCs w:val="22"/>
        </w:rPr>
        <w:t xml:space="preserve"> </w:t>
      </w:r>
      <w:r w:rsidRPr="00DD7BD1">
        <w:rPr>
          <w:rFonts w:cs="Calibri"/>
          <w:color w:val="auto"/>
          <w:w w:val="110"/>
          <w:szCs w:val="22"/>
        </w:rPr>
        <w:t>key</w:t>
      </w:r>
      <w:r w:rsidRPr="00DD7BD1">
        <w:rPr>
          <w:rFonts w:cs="Calibri"/>
          <w:color w:val="auto"/>
          <w:spacing w:val="-12"/>
          <w:w w:val="110"/>
          <w:szCs w:val="22"/>
        </w:rPr>
        <w:t xml:space="preserve"> </w:t>
      </w:r>
      <w:r w:rsidRPr="00DD7BD1">
        <w:rPr>
          <w:rFonts w:cs="Calibri"/>
          <w:color w:val="auto"/>
          <w:w w:val="110"/>
          <w:szCs w:val="22"/>
        </w:rPr>
        <w:t>change</w:t>
      </w:r>
      <w:r w:rsidRPr="00DD7BD1">
        <w:rPr>
          <w:rFonts w:cs="Calibri"/>
          <w:color w:val="auto"/>
          <w:spacing w:val="-12"/>
          <w:w w:val="110"/>
          <w:szCs w:val="22"/>
        </w:rPr>
        <w:t xml:space="preserve"> </w:t>
      </w:r>
      <w:r w:rsidRPr="00DD7BD1">
        <w:rPr>
          <w:rFonts w:cs="Calibri"/>
          <w:color w:val="auto"/>
          <w:w w:val="110"/>
          <w:szCs w:val="22"/>
        </w:rPr>
        <w:t>involves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continuation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health</w:t>
      </w:r>
      <w:r w:rsidRPr="00DD7BD1">
        <w:rPr>
          <w:rFonts w:cs="Calibri"/>
          <w:color w:val="auto"/>
          <w:spacing w:val="-13"/>
          <w:w w:val="110"/>
          <w:szCs w:val="22"/>
        </w:rPr>
        <w:t xml:space="preserve"> </w:t>
      </w:r>
      <w:r w:rsidRPr="00DD7BD1">
        <w:rPr>
          <w:rFonts w:cs="Calibri"/>
          <w:color w:val="auto"/>
          <w:w w:val="110"/>
          <w:szCs w:val="22"/>
        </w:rPr>
        <w:t>insurance</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2"/>
          <w:w w:val="110"/>
          <w:szCs w:val="22"/>
        </w:rPr>
        <w:t xml:space="preserve"> </w:t>
      </w:r>
      <w:r w:rsidRPr="00DD7BD1">
        <w:rPr>
          <w:rFonts w:cs="Calibri"/>
          <w:color w:val="auto"/>
          <w:w w:val="110"/>
          <w:szCs w:val="22"/>
        </w:rPr>
        <w:t>required</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maintain existing</w:t>
      </w:r>
      <w:r w:rsidRPr="00DD7BD1">
        <w:rPr>
          <w:rFonts w:cs="Calibri"/>
          <w:color w:val="auto"/>
          <w:spacing w:val="-2"/>
          <w:w w:val="110"/>
          <w:szCs w:val="22"/>
        </w:rPr>
        <w:t xml:space="preserve"> </w:t>
      </w:r>
      <w:r w:rsidRPr="00DD7BD1">
        <w:rPr>
          <w:rFonts w:cs="Calibri"/>
          <w:color w:val="auto"/>
          <w:w w:val="110"/>
          <w:szCs w:val="22"/>
        </w:rPr>
        <w:t>health</w:t>
      </w:r>
      <w:r w:rsidRPr="00DD7BD1">
        <w:rPr>
          <w:rFonts w:cs="Calibri"/>
          <w:color w:val="auto"/>
          <w:spacing w:val="-3"/>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on</w:t>
      </w:r>
      <w:r w:rsidRPr="00DD7BD1">
        <w:rPr>
          <w:rFonts w:cs="Calibri"/>
          <w:color w:val="auto"/>
          <w:spacing w:val="-3"/>
          <w:w w:val="110"/>
          <w:szCs w:val="22"/>
        </w:rPr>
        <w:t xml:space="preserve"> </w:t>
      </w:r>
      <w:r w:rsidRPr="00DD7BD1">
        <w:rPr>
          <w:rFonts w:cs="Calibri"/>
          <w:color w:val="auto"/>
          <w:w w:val="110"/>
          <w:szCs w:val="22"/>
        </w:rPr>
        <w:t>PFML leave, provided the</w:t>
      </w:r>
      <w:r w:rsidRPr="00DD7BD1">
        <w:rPr>
          <w:rFonts w:cs="Calibri"/>
          <w:color w:val="auto"/>
          <w:spacing w:val="-3"/>
          <w:w w:val="110"/>
          <w:szCs w:val="22"/>
        </w:rPr>
        <w:t xml:space="preserve"> </w:t>
      </w:r>
      <w:r w:rsidRPr="00DD7BD1">
        <w:rPr>
          <w:rFonts w:cs="Calibri"/>
          <w:color w:val="auto"/>
          <w:w w:val="110"/>
          <w:szCs w:val="22"/>
        </w:rPr>
        <w:t>employee</w:t>
      </w:r>
      <w:r w:rsidRPr="00DD7BD1">
        <w:rPr>
          <w:rFonts w:cs="Calibri"/>
          <w:color w:val="auto"/>
          <w:spacing w:val="-2"/>
          <w:w w:val="110"/>
          <w:szCs w:val="22"/>
        </w:rPr>
        <w:t xml:space="preserve"> </w:t>
      </w:r>
      <w:r w:rsidRPr="00DD7BD1">
        <w:rPr>
          <w:rFonts w:cs="Calibri"/>
          <w:color w:val="auto"/>
          <w:w w:val="110"/>
          <w:szCs w:val="22"/>
        </w:rPr>
        <w:t>qualifies</w:t>
      </w:r>
      <w:r w:rsidRPr="00DD7BD1">
        <w:rPr>
          <w:rFonts w:cs="Calibri"/>
          <w:color w:val="auto"/>
          <w:spacing w:val="-1"/>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job</w:t>
      </w:r>
      <w:r w:rsidRPr="00DD7BD1">
        <w:rPr>
          <w:rFonts w:cs="Calibri"/>
          <w:color w:val="auto"/>
          <w:spacing w:val="-2"/>
          <w:w w:val="110"/>
          <w:szCs w:val="22"/>
        </w:rPr>
        <w:t xml:space="preserve"> </w:t>
      </w:r>
      <w:r w:rsidRPr="00DD7BD1">
        <w:rPr>
          <w:rFonts w:cs="Calibri"/>
          <w:color w:val="auto"/>
          <w:w w:val="110"/>
          <w:szCs w:val="22"/>
        </w:rPr>
        <w:t>protection.</w:t>
      </w:r>
      <w:r w:rsidRPr="00DD7BD1">
        <w:rPr>
          <w:rFonts w:cs="Calibri"/>
          <w:color w:val="auto"/>
          <w:spacing w:val="-3"/>
          <w:w w:val="110"/>
          <w:szCs w:val="22"/>
        </w:rPr>
        <w:t xml:space="preserve"> </w:t>
      </w:r>
      <w:r w:rsidRPr="00DD7BD1">
        <w:rPr>
          <w:rFonts w:cs="Calibri"/>
          <w:color w:val="auto"/>
          <w:w w:val="110"/>
          <w:szCs w:val="22"/>
        </w:rPr>
        <w:t>This aligns PFML more closely with federal FMLA standards and ensures continuity of benefits during leave.</w:t>
      </w:r>
    </w:p>
    <w:p w14:paraId="23A868EC" w14:textId="77777777" w:rsidR="003F46D6" w:rsidRPr="00DD7BD1" w:rsidRDefault="003F46D6" w:rsidP="003F46D6">
      <w:pPr>
        <w:pStyle w:val="BodyText"/>
        <w:spacing w:after="0" w:line="240" w:lineRule="auto"/>
        <w:ind w:right="-187"/>
        <w:jc w:val="left"/>
        <w:rPr>
          <w:rFonts w:cs="Calibri"/>
          <w:color w:val="auto"/>
          <w:sz w:val="16"/>
          <w:szCs w:val="16"/>
        </w:rPr>
      </w:pPr>
    </w:p>
    <w:p w14:paraId="0ECDDD42"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minimum duration</w:t>
      </w:r>
      <w:r w:rsidRPr="00DD7BD1">
        <w:rPr>
          <w:rFonts w:cs="Calibri"/>
          <w:color w:val="auto"/>
          <w:spacing w:val="-3"/>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PFML claims will</w:t>
      </w:r>
      <w:r w:rsidRPr="00DD7BD1">
        <w:rPr>
          <w:rFonts w:cs="Calibri"/>
          <w:color w:val="auto"/>
          <w:spacing w:val="-2"/>
          <w:w w:val="110"/>
          <w:szCs w:val="22"/>
        </w:rPr>
        <w:t xml:space="preserve"> </w:t>
      </w:r>
      <w:r w:rsidRPr="00DD7BD1">
        <w:rPr>
          <w:rFonts w:cs="Calibri"/>
          <w:color w:val="auto"/>
          <w:w w:val="110"/>
          <w:szCs w:val="22"/>
        </w:rPr>
        <w:t>also</w:t>
      </w:r>
      <w:r w:rsidRPr="00DD7BD1">
        <w:rPr>
          <w:rFonts w:cs="Calibri"/>
          <w:color w:val="auto"/>
          <w:spacing w:val="-2"/>
          <w:w w:val="110"/>
          <w:szCs w:val="22"/>
        </w:rPr>
        <w:t xml:space="preserve"> </w:t>
      </w:r>
      <w:r w:rsidRPr="00DD7BD1">
        <w:rPr>
          <w:rFonts w:cs="Calibri"/>
          <w:color w:val="auto"/>
          <w:w w:val="110"/>
          <w:szCs w:val="22"/>
        </w:rPr>
        <w:t>be reduced.</w:t>
      </w:r>
      <w:r w:rsidRPr="00DD7BD1">
        <w:rPr>
          <w:rFonts w:cs="Calibri"/>
          <w:color w:val="auto"/>
          <w:spacing w:val="-1"/>
          <w:w w:val="110"/>
          <w:szCs w:val="22"/>
        </w:rPr>
        <w:t xml:space="preserve"> </w:t>
      </w:r>
      <w:r w:rsidRPr="00DD7BD1">
        <w:rPr>
          <w:rFonts w:cs="Calibri"/>
          <w:color w:val="auto"/>
          <w:w w:val="110"/>
          <w:szCs w:val="22"/>
        </w:rPr>
        <w:t>Currently,</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must</w:t>
      </w:r>
      <w:r w:rsidRPr="00DD7BD1">
        <w:rPr>
          <w:rFonts w:cs="Calibri"/>
          <w:color w:val="auto"/>
          <w:spacing w:val="-1"/>
          <w:w w:val="110"/>
          <w:szCs w:val="22"/>
        </w:rPr>
        <w:t xml:space="preserve"> </w:t>
      </w:r>
      <w:r w:rsidRPr="00DD7BD1">
        <w:rPr>
          <w:rFonts w:cs="Calibri"/>
          <w:color w:val="auto"/>
          <w:w w:val="110"/>
          <w:szCs w:val="22"/>
        </w:rPr>
        <w:t>take at</w:t>
      </w:r>
      <w:r w:rsidRPr="00DD7BD1">
        <w:rPr>
          <w:rFonts w:cs="Calibri"/>
          <w:color w:val="auto"/>
          <w:spacing w:val="-5"/>
          <w:w w:val="110"/>
          <w:szCs w:val="22"/>
        </w:rPr>
        <w:t xml:space="preserve"> </w:t>
      </w:r>
      <w:r w:rsidRPr="00DD7BD1">
        <w:rPr>
          <w:rFonts w:cs="Calibri"/>
          <w:color w:val="auto"/>
          <w:w w:val="110"/>
          <w:szCs w:val="22"/>
        </w:rPr>
        <w:t>least</w:t>
      </w:r>
      <w:r w:rsidRPr="00DD7BD1">
        <w:rPr>
          <w:rFonts w:cs="Calibri"/>
          <w:color w:val="auto"/>
          <w:spacing w:val="-1"/>
          <w:w w:val="110"/>
          <w:szCs w:val="22"/>
        </w:rPr>
        <w:t xml:space="preserve"> </w:t>
      </w:r>
      <w:r w:rsidRPr="00DD7BD1">
        <w:rPr>
          <w:rFonts w:cs="Calibri"/>
          <w:color w:val="auto"/>
          <w:w w:val="110"/>
          <w:szCs w:val="22"/>
        </w:rPr>
        <w:t>eight consecutive</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claim.</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minimum</w:t>
      </w:r>
      <w:r w:rsidRPr="00DD7BD1">
        <w:rPr>
          <w:rFonts w:cs="Calibri"/>
          <w:color w:val="auto"/>
          <w:spacing w:val="-11"/>
          <w:w w:val="110"/>
          <w:szCs w:val="22"/>
        </w:rPr>
        <w:t xml:space="preserve"> </w:t>
      </w:r>
      <w:r w:rsidRPr="00DD7BD1">
        <w:rPr>
          <w:rFonts w:cs="Calibri"/>
          <w:color w:val="auto"/>
          <w:w w:val="110"/>
          <w:szCs w:val="22"/>
        </w:rPr>
        <w:t>claim</w:t>
      </w:r>
      <w:r w:rsidRPr="00DD7BD1">
        <w:rPr>
          <w:rFonts w:cs="Calibri"/>
          <w:color w:val="auto"/>
          <w:spacing w:val="-9"/>
          <w:w w:val="110"/>
          <w:szCs w:val="22"/>
        </w:rPr>
        <w:t xml:space="preserve"> </w:t>
      </w:r>
      <w:r w:rsidRPr="00DD7BD1">
        <w:rPr>
          <w:rFonts w:cs="Calibri"/>
          <w:color w:val="auto"/>
          <w:w w:val="110"/>
          <w:szCs w:val="22"/>
        </w:rPr>
        <w:t>duration</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drop</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four</w:t>
      </w:r>
      <w:r w:rsidRPr="00DD7BD1">
        <w:rPr>
          <w:rFonts w:cs="Calibri"/>
          <w:color w:val="auto"/>
          <w:spacing w:val="-12"/>
          <w:w w:val="110"/>
          <w:szCs w:val="22"/>
        </w:rPr>
        <w:t xml:space="preserve"> </w:t>
      </w:r>
      <w:r w:rsidRPr="00DD7BD1">
        <w:rPr>
          <w:rFonts w:cs="Calibri"/>
          <w:color w:val="auto"/>
          <w:w w:val="110"/>
          <w:szCs w:val="22"/>
        </w:rPr>
        <w:t>hours, allowing for more flexible use of leave.</w:t>
      </w:r>
    </w:p>
    <w:p w14:paraId="0AADF74F" w14:textId="77777777" w:rsidR="003F46D6" w:rsidRPr="00DD7BD1" w:rsidRDefault="003F46D6" w:rsidP="003F46D6">
      <w:pPr>
        <w:pStyle w:val="BodyText"/>
        <w:spacing w:after="0" w:line="240" w:lineRule="auto"/>
        <w:ind w:right="-187"/>
        <w:jc w:val="left"/>
        <w:rPr>
          <w:rFonts w:cs="Calibri"/>
          <w:color w:val="auto"/>
          <w:spacing w:val="-2"/>
          <w:w w:val="110"/>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0"/>
          <w:w w:val="110"/>
          <w:szCs w:val="22"/>
        </w:rPr>
        <w:t xml:space="preserve"> </w:t>
      </w:r>
      <w:r w:rsidRPr="00DD7BD1">
        <w:rPr>
          <w:rFonts w:cs="Calibri"/>
          <w:color w:val="auto"/>
          <w:w w:val="110"/>
          <w:szCs w:val="22"/>
        </w:rPr>
        <w:t>also</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aware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1"/>
          <w:w w:val="110"/>
          <w:szCs w:val="22"/>
        </w:rPr>
        <w:t xml:space="preserve"> </w:t>
      </w:r>
      <w:r w:rsidRPr="00DD7BD1">
        <w:rPr>
          <w:rFonts w:cs="Calibri"/>
          <w:color w:val="auto"/>
          <w:w w:val="110"/>
          <w:szCs w:val="22"/>
        </w:rPr>
        <w:t>notification</w:t>
      </w:r>
      <w:r w:rsidRPr="00DD7BD1">
        <w:rPr>
          <w:rFonts w:cs="Calibri"/>
          <w:color w:val="auto"/>
          <w:spacing w:val="-10"/>
          <w:w w:val="110"/>
          <w:szCs w:val="22"/>
        </w:rPr>
        <w:t xml:space="preserve"> </w:t>
      </w:r>
      <w:r w:rsidRPr="00DD7BD1">
        <w:rPr>
          <w:rFonts w:cs="Calibri"/>
          <w:color w:val="auto"/>
          <w:w w:val="110"/>
          <w:szCs w:val="22"/>
        </w:rPr>
        <w:t>requirements</w:t>
      </w:r>
      <w:r w:rsidRPr="00DD7BD1">
        <w:rPr>
          <w:rFonts w:cs="Calibri"/>
          <w:color w:val="auto"/>
          <w:spacing w:val="-10"/>
          <w:w w:val="110"/>
          <w:szCs w:val="22"/>
        </w:rPr>
        <w:t xml:space="preserve"> </w:t>
      </w:r>
      <w:r w:rsidRPr="00DD7BD1">
        <w:rPr>
          <w:rFonts w:cs="Calibri"/>
          <w:color w:val="auto"/>
          <w:w w:val="110"/>
          <w:szCs w:val="22"/>
        </w:rPr>
        <w:t>related</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combining</w:t>
      </w:r>
      <w:r w:rsidRPr="00DD7BD1">
        <w:rPr>
          <w:rFonts w:cs="Calibri"/>
          <w:color w:val="auto"/>
          <w:spacing w:val="-10"/>
          <w:w w:val="110"/>
          <w:szCs w:val="22"/>
        </w:rPr>
        <w:t xml:space="preserve"> </w:t>
      </w:r>
      <w:r w:rsidRPr="00DD7BD1">
        <w:rPr>
          <w:rFonts w:cs="Calibri"/>
          <w:color w:val="auto"/>
          <w:w w:val="110"/>
          <w:szCs w:val="22"/>
        </w:rPr>
        <w:t>PFML</w:t>
      </w:r>
      <w:r w:rsidRPr="00DD7BD1">
        <w:rPr>
          <w:rFonts w:cs="Calibri"/>
          <w:color w:val="auto"/>
          <w:spacing w:val="-10"/>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4"/>
          <w:w w:val="110"/>
          <w:szCs w:val="22"/>
        </w:rPr>
        <w:t xml:space="preserve"> </w:t>
      </w:r>
      <w:r w:rsidRPr="00DD7BD1">
        <w:rPr>
          <w:rFonts w:cs="Calibri"/>
          <w:color w:val="auto"/>
          <w:w w:val="110"/>
          <w:szCs w:val="22"/>
        </w:rPr>
        <w:t xml:space="preserve">FMLA </w:t>
      </w:r>
      <w:r w:rsidRPr="00DD7BD1">
        <w:rPr>
          <w:rFonts w:cs="Calibri"/>
          <w:color w:val="auto"/>
          <w:spacing w:val="-2"/>
          <w:w w:val="110"/>
          <w:szCs w:val="22"/>
        </w:rPr>
        <w:t>leave.</w:t>
      </w:r>
    </w:p>
    <w:p w14:paraId="4EF54C5E" w14:textId="77777777" w:rsidR="003F46D6" w:rsidRPr="00DD7BD1" w:rsidRDefault="003F46D6" w:rsidP="003F46D6">
      <w:pPr>
        <w:pStyle w:val="BodyText"/>
        <w:spacing w:after="0" w:line="240" w:lineRule="auto"/>
        <w:ind w:right="-187"/>
        <w:jc w:val="left"/>
        <w:rPr>
          <w:rFonts w:cs="Calibri"/>
          <w:color w:val="auto"/>
          <w:sz w:val="16"/>
          <w:szCs w:val="16"/>
        </w:rPr>
      </w:pPr>
    </w:p>
    <w:p w14:paraId="3C23EF23" w14:textId="0AD24210" w:rsidR="003F46D6" w:rsidRPr="00DD7BD1" w:rsidRDefault="003F46D6" w:rsidP="0070115B">
      <w:pPr>
        <w:spacing w:after="0" w:line="240" w:lineRule="auto"/>
        <w:rPr>
          <w:rFonts w:ascii="Calibri" w:hAnsi="Calibri" w:cs="Calibri"/>
          <w:w w:val="110"/>
        </w:rPr>
      </w:pPr>
      <w:r w:rsidRPr="00DD7BD1">
        <w:rPr>
          <w:rFonts w:ascii="Calibri" w:hAnsi="Calibri" w:cs="Calibri"/>
          <w:w w:val="110"/>
        </w:rPr>
        <w:t>ETC</w:t>
      </w:r>
      <w:r w:rsidRPr="00DD7BD1">
        <w:rPr>
          <w:rFonts w:ascii="Calibri" w:hAnsi="Calibri" w:cs="Calibri"/>
          <w:spacing w:val="-15"/>
          <w:w w:val="110"/>
        </w:rPr>
        <w:t xml:space="preserve"> </w:t>
      </w:r>
      <w:r w:rsidRPr="00DD7BD1">
        <w:rPr>
          <w:rFonts w:ascii="Calibri" w:hAnsi="Calibri" w:cs="Calibri"/>
          <w:w w:val="110"/>
        </w:rPr>
        <w:t>will</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Notice</w:t>
      </w:r>
      <w:r w:rsidRPr="00DD7BD1">
        <w:rPr>
          <w:rFonts w:ascii="Calibri" w:hAnsi="Calibri" w:cs="Calibri"/>
          <w:spacing w:val="-14"/>
          <w:w w:val="110"/>
        </w:rPr>
        <w:t xml:space="preserve"> </w:t>
      </w:r>
      <w:r w:rsidRPr="00DD7BD1">
        <w:rPr>
          <w:rFonts w:ascii="Calibri" w:hAnsi="Calibri" w:cs="Calibri"/>
          <w:w w:val="110"/>
        </w:rPr>
        <w:t>upon</w:t>
      </w:r>
      <w:r w:rsidRPr="00DD7BD1">
        <w:rPr>
          <w:rFonts w:ascii="Calibri" w:hAnsi="Calibri" w:cs="Calibri"/>
          <w:spacing w:val="-14"/>
          <w:w w:val="110"/>
        </w:rPr>
        <w:t xml:space="preserve"> </w:t>
      </w:r>
      <w:r w:rsidRPr="00DD7BD1">
        <w:rPr>
          <w:rFonts w:ascii="Calibri" w:hAnsi="Calibri" w:cs="Calibri"/>
          <w:w w:val="110"/>
        </w:rPr>
        <w:t>release</w:t>
      </w:r>
      <w:r w:rsidRPr="00DD7BD1">
        <w:rPr>
          <w:rFonts w:ascii="Calibri" w:hAnsi="Calibri" w:cs="Calibri"/>
          <w:spacing w:val="-17"/>
          <w:w w:val="110"/>
        </w:rPr>
        <w:t xml:space="preserve"> </w:t>
      </w:r>
      <w:r w:rsidRPr="00DD7BD1">
        <w:rPr>
          <w:rFonts w:ascii="Calibri" w:hAnsi="Calibri" w:cs="Calibri"/>
          <w:w w:val="110"/>
        </w:rPr>
        <w:t>as</w:t>
      </w:r>
      <w:r w:rsidRPr="00DD7BD1">
        <w:rPr>
          <w:rFonts w:ascii="Calibri" w:hAnsi="Calibri" w:cs="Calibri"/>
          <w:spacing w:val="-14"/>
          <w:w w:val="110"/>
        </w:rPr>
        <w:t xml:space="preserve"> </w:t>
      </w:r>
      <w:r w:rsidRPr="00DD7BD1">
        <w:rPr>
          <w:rFonts w:ascii="Calibri" w:hAnsi="Calibri" w:cs="Calibri"/>
          <w:w w:val="110"/>
        </w:rPr>
        <w:t>well</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6"/>
          <w:w w:val="110"/>
        </w:rPr>
        <w:t xml:space="preserve"> </w:t>
      </w:r>
      <w:r w:rsidRPr="00DD7BD1">
        <w:rPr>
          <w:rFonts w:ascii="Calibri" w:hAnsi="Calibri" w:cs="Calibri"/>
          <w:w w:val="110"/>
        </w:rPr>
        <w:t>an</w:t>
      </w:r>
      <w:r w:rsidRPr="00DD7BD1">
        <w:rPr>
          <w:rFonts w:ascii="Calibri" w:hAnsi="Calibri" w:cs="Calibri"/>
          <w:spacing w:val="-16"/>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4"/>
          <w:w w:val="110"/>
        </w:rPr>
        <w:t xml:space="preserve"> </w:t>
      </w:r>
      <w:r w:rsidRPr="00DD7BD1">
        <w:rPr>
          <w:rFonts w:ascii="Calibri" w:hAnsi="Calibri" w:cs="Calibri"/>
          <w:w w:val="110"/>
        </w:rPr>
        <w:t>Handbook</w:t>
      </w:r>
      <w:r w:rsidRPr="00DD7BD1">
        <w:rPr>
          <w:rFonts w:ascii="Calibri" w:hAnsi="Calibri" w:cs="Calibri"/>
          <w:spacing w:val="-14"/>
          <w:w w:val="110"/>
        </w:rPr>
        <w:t xml:space="preserve"> </w:t>
      </w:r>
      <w:r w:rsidRPr="00DD7BD1">
        <w:rPr>
          <w:rFonts w:ascii="Calibri" w:hAnsi="Calibri" w:cs="Calibri"/>
          <w:w w:val="110"/>
        </w:rPr>
        <w:t>Addendum</w:t>
      </w:r>
      <w:r w:rsidRPr="00DD7BD1">
        <w:rPr>
          <w:rFonts w:ascii="Calibri" w:hAnsi="Calibri" w:cs="Calibri"/>
          <w:spacing w:val="-14"/>
          <w:w w:val="110"/>
        </w:rPr>
        <w:t xml:space="preserve"> </w:t>
      </w:r>
      <w:r w:rsidRPr="00DD7BD1">
        <w:rPr>
          <w:rFonts w:ascii="Calibri" w:hAnsi="Calibri" w:cs="Calibri"/>
          <w:w w:val="110"/>
        </w:rPr>
        <w:t>reflective</w:t>
      </w:r>
      <w:r w:rsidRPr="00DD7BD1">
        <w:rPr>
          <w:rFonts w:ascii="Calibri" w:hAnsi="Calibri" w:cs="Calibri"/>
          <w:spacing w:val="-16"/>
          <w:w w:val="110"/>
        </w:rPr>
        <w:t xml:space="preserve"> </w:t>
      </w:r>
      <w:r w:rsidRPr="00DD7BD1">
        <w:rPr>
          <w:rFonts w:ascii="Calibri" w:hAnsi="Calibri" w:cs="Calibri"/>
          <w:w w:val="110"/>
        </w:rPr>
        <w:t>of necessary Policy changes.</w:t>
      </w:r>
    </w:p>
    <w:p w14:paraId="27B4B18E" w14:textId="77777777" w:rsidR="0070115B" w:rsidRPr="00DD7BD1" w:rsidRDefault="0070115B" w:rsidP="0070115B">
      <w:pPr>
        <w:spacing w:after="0" w:line="240" w:lineRule="auto"/>
        <w:rPr>
          <w:rFonts w:ascii="Calibri" w:hAnsi="Calibri" w:cs="Calibri"/>
          <w:w w:val="110"/>
        </w:rPr>
      </w:pPr>
    </w:p>
    <w:p w14:paraId="147B6980" w14:textId="3FF47C7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Enacts Mini-WARN Act </w:t>
      </w:r>
    </w:p>
    <w:p w14:paraId="5D8AFE95"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Under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DD7BD1" w:rsidRDefault="00F917CB" w:rsidP="00F917CB">
      <w:pPr>
        <w:spacing w:after="0" w:line="240" w:lineRule="auto"/>
        <w:rPr>
          <w:rFonts w:ascii="Calibri" w:hAnsi="Calibri" w:cs="Calibri"/>
          <w:sz w:val="16"/>
          <w:szCs w:val="16"/>
          <w:shd w:val="clear" w:color="auto" w:fill="FFFFFF"/>
        </w:rPr>
      </w:pPr>
    </w:p>
    <w:p w14:paraId="43DB4569"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DD7BD1" w:rsidRDefault="00F917CB" w:rsidP="00F917CB">
      <w:pPr>
        <w:spacing w:after="0" w:line="240" w:lineRule="auto"/>
        <w:rPr>
          <w:rFonts w:ascii="Calibri" w:hAnsi="Calibri" w:cs="Calibri"/>
          <w:sz w:val="16"/>
          <w:szCs w:val="16"/>
          <w:shd w:val="clear" w:color="auto" w:fill="FFFFFF"/>
        </w:rPr>
      </w:pPr>
    </w:p>
    <w:p w14:paraId="54855D79"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Differences with Mini-WARN Act:</w:t>
      </w:r>
    </w:p>
    <w:p w14:paraId="1B5FBCEE"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 Washington mini-WARN Act is similar in many ways to the federal WARN Act, but there are some important key differences:</w:t>
      </w:r>
    </w:p>
    <w:p w14:paraId="42DFC55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Covered Employers</w:t>
      </w:r>
      <w:r w:rsidRPr="00DD7BD1">
        <w:rPr>
          <w:rFonts w:ascii="Calibri" w:hAnsi="Calibri" w:cs="Calibri"/>
          <w:shd w:val="clear" w:color="auto" w:fill="FFFFFF"/>
        </w:rPr>
        <w:t>: The federal WARN Act applies to private sector companies with either 100 full-time employees or 100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DD7BD1" w:rsidRDefault="00F917CB">
      <w:pPr>
        <w:numPr>
          <w:ilvl w:val="1"/>
          <w:numId w:val="239"/>
        </w:numPr>
        <w:spacing w:after="0" w:line="240" w:lineRule="auto"/>
        <w:rPr>
          <w:rFonts w:ascii="Calibri" w:hAnsi="Calibri" w:cs="Calibri"/>
          <w:shd w:val="clear" w:color="auto" w:fill="FFFFFF"/>
        </w:rPr>
      </w:pPr>
      <w:r w:rsidRPr="00DD7BD1">
        <w:rPr>
          <w:rFonts w:ascii="Calibri" w:hAnsi="Calibri" w:cs="Calibri"/>
          <w:shd w:val="clear" w:color="auto" w:fill="FFFFFF"/>
        </w:rPr>
        <w:t>Under both statues, “full-time employees” are those who work at least 20 hours a week </w:t>
      </w:r>
      <w:r w:rsidRPr="00DD7BD1">
        <w:rPr>
          <w:rFonts w:ascii="Calibri" w:hAnsi="Calibri" w:cs="Calibri"/>
          <w:b/>
          <w:bCs/>
          <w:shd w:val="clear" w:color="auto" w:fill="FFFFFF"/>
        </w:rPr>
        <w:t>and</w:t>
      </w:r>
      <w:r w:rsidRPr="00DD7BD1">
        <w:rPr>
          <w:rFonts w:ascii="Calibri" w:hAnsi="Calibri" w:cs="Calibri"/>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Mass Layoffs</w:t>
      </w:r>
      <w:r w:rsidRPr="00DD7BD1">
        <w:rPr>
          <w:rFonts w:ascii="Calibri" w:hAnsi="Calibri" w:cs="Calibri"/>
          <w:shd w:val="clear" w:color="auto" w:fill="FFFFFF"/>
        </w:rPr>
        <w:t>: Both statutes apply to “mass layoffs” but the definitions of “mass layoff” are significantly different. Under the federal WARN Act, a mass layoff occurs when (a) 500+ full-time employees lose their jobs, </w:t>
      </w:r>
      <w:r w:rsidRPr="00DD7BD1">
        <w:rPr>
          <w:rFonts w:ascii="Calibri" w:hAnsi="Calibri" w:cs="Calibri"/>
          <w:b/>
          <w:bCs/>
          <w:shd w:val="clear" w:color="auto" w:fill="FFFFFF"/>
        </w:rPr>
        <w:t>or</w:t>
      </w:r>
      <w:r w:rsidRPr="00DD7BD1">
        <w:rPr>
          <w:rFonts w:ascii="Calibri" w:hAnsi="Calibri" w:cs="Calibri"/>
          <w:shd w:val="clear" w:color="auto" w:fill="FFFFFF"/>
        </w:rPr>
        <w:t> (b) if 50-499 full-time employees lose their jobs </w:t>
      </w:r>
      <w:r w:rsidRPr="00DD7BD1">
        <w:rPr>
          <w:rFonts w:ascii="Calibri" w:hAnsi="Calibri" w:cs="Calibri"/>
          <w:b/>
          <w:bCs/>
          <w:shd w:val="clear" w:color="auto" w:fill="FFFFFF"/>
        </w:rPr>
        <w:t>and</w:t>
      </w:r>
      <w:r w:rsidRPr="00DD7BD1">
        <w:rPr>
          <w:rFonts w:ascii="Calibri" w:hAnsi="Calibri" w:cs="Calibri"/>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Plant/Business Closure</w:t>
      </w:r>
      <w:r w:rsidRPr="00DD7BD1">
        <w:rPr>
          <w:rFonts w:ascii="Calibri" w:hAnsi="Calibri" w:cs="Calibri"/>
          <w:shd w:val="clear" w:color="auto" w:fill="FFFFFF"/>
        </w:rPr>
        <w:t>: Under both federal and state acts, a plant/business closure occurs when 50+ full-time employees at a single site or operating unit are laid off.</w:t>
      </w:r>
    </w:p>
    <w:p w14:paraId="664184B0"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Short-term Layoffs</w:t>
      </w:r>
      <w:r w:rsidRPr="00DD7BD1">
        <w:rPr>
          <w:rFonts w:ascii="Calibri" w:hAnsi="Calibri" w:cs="Calibri"/>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Notices</w:t>
      </w:r>
      <w:r w:rsidRPr="00DD7BD1">
        <w:rPr>
          <w:rFonts w:ascii="Calibri" w:hAnsi="Calibri" w:cs="Calibri"/>
          <w:i/>
          <w:iCs/>
          <w:shd w:val="clear" w:color="auto" w:fill="FFFFFF"/>
        </w:rPr>
        <w:t>:</w:t>
      </w:r>
      <w:r w:rsidRPr="00DD7BD1">
        <w:rPr>
          <w:rFonts w:ascii="Calibri" w:hAnsi="Calibri" w:cs="Calibri"/>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Employees on Paid Family Medical Leave (PFML) leave</w:t>
      </w:r>
      <w:r w:rsidRPr="00DD7BD1">
        <w:rPr>
          <w:rFonts w:ascii="Calibri" w:hAnsi="Calibri" w:cs="Calibri"/>
          <w:shd w:val="clear" w:color="auto" w:fill="FFFFFF"/>
        </w:rPr>
        <w:t>: A specific Washington provision is that if a mass layoff is involved, employees currently on Washington PFML cannot be included in the layoff.</w:t>
      </w:r>
    </w:p>
    <w:p w14:paraId="14236807" w14:textId="77777777" w:rsidR="00F917CB" w:rsidRPr="00DD7BD1" w:rsidRDefault="00F917CB" w:rsidP="00F917CB">
      <w:pPr>
        <w:spacing w:after="0" w:line="240" w:lineRule="auto"/>
        <w:rPr>
          <w:rFonts w:ascii="Calibri" w:hAnsi="Calibri" w:cs="Calibri"/>
          <w:shd w:val="clear" w:color="auto" w:fill="FFFFFF"/>
        </w:rPr>
      </w:pPr>
    </w:p>
    <w:p w14:paraId="2D5A8E50"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Pr="00DD7BD1" w:rsidRDefault="00F917CB" w:rsidP="00F917CB">
      <w:pPr>
        <w:spacing w:after="0" w:line="240" w:lineRule="auto"/>
        <w:rPr>
          <w:rFonts w:ascii="Calibri" w:hAnsi="Calibri" w:cs="Calibri"/>
          <w:shd w:val="clear" w:color="auto" w:fill="FFFFFF"/>
        </w:rPr>
      </w:pPr>
    </w:p>
    <w:p w14:paraId="0C2AC89E"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r w:rsidRPr="00DD7BD1">
        <w:rPr>
          <w:rFonts w:ascii="Calibri" w:hAnsi="Calibri" w:cs="Calibri"/>
          <w:b/>
          <w:bCs/>
          <w:shd w:val="clear" w:color="auto" w:fill="FFFFFF"/>
        </w:rPr>
        <w:t xml:space="preserve"> </w:t>
      </w:r>
    </w:p>
    <w:p w14:paraId="605F1CBB"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implementing short-term layoffs need to carefully consider the length of those layoffs, given the potential penalties if a layoff less than three months is extended.</w:t>
      </w:r>
    </w:p>
    <w:p w14:paraId="79FDB0FA" w14:textId="77777777" w:rsidR="00F917CB" w:rsidRPr="00DD7BD1" w:rsidRDefault="00F917CB" w:rsidP="005C31E9">
      <w:pPr>
        <w:spacing w:after="0" w:line="240" w:lineRule="auto"/>
        <w:jc w:val="center"/>
        <w:rPr>
          <w:rFonts w:ascii="Calibri" w:hAnsi="Calibri" w:cs="Calibri"/>
          <w:b/>
          <w:bCs/>
          <w:sz w:val="16"/>
          <w:szCs w:val="16"/>
          <w:shd w:val="clear" w:color="auto" w:fill="FFFFFF"/>
          <w:lang w:val="en"/>
        </w:rPr>
      </w:pPr>
    </w:p>
    <w:p w14:paraId="217A02D1" w14:textId="0A1F9E04"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Protection from Coercion Based on Immigration Status – </w:t>
      </w:r>
      <w:r w:rsidRPr="00DD7BD1">
        <w:rPr>
          <w:rFonts w:ascii="Calibri" w:hAnsi="Calibri" w:cs="Calibri"/>
          <w:b/>
          <w:bCs/>
          <w:color w:val="C00000"/>
          <w:sz w:val="28"/>
          <w:szCs w:val="28"/>
          <w:shd w:val="clear" w:color="auto" w:fill="FFFFFF"/>
          <w:lang w:val="en"/>
        </w:rPr>
        <w:t>Eff July 1, 2025</w:t>
      </w:r>
    </w:p>
    <w:p w14:paraId="5CE426AD" w14:textId="23DC4C6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12, 2025, Washington </w:t>
      </w:r>
      <w:hyperlink r:id="rId986"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Minimum Wage and Labor Standards Act (Act) to protect employees from coercion in the workplace based on their immigration status. This amendment takes effect on July 1, 2025. In Washington, employers are prohibited from retaliating against employees for exercising their rights under the state’s employment laws.</w:t>
      </w:r>
    </w:p>
    <w:p w14:paraId="627BE2EC" w14:textId="77777777" w:rsidR="005C31E9" w:rsidRPr="00DD7BD1" w:rsidRDefault="005C31E9" w:rsidP="005C31E9">
      <w:pPr>
        <w:spacing w:after="0" w:line="240" w:lineRule="auto"/>
        <w:rPr>
          <w:rFonts w:ascii="Calibri" w:hAnsi="Calibri" w:cs="Calibri"/>
          <w:shd w:val="clear" w:color="auto" w:fill="FFFFFF"/>
        </w:rPr>
      </w:pPr>
    </w:p>
    <w:p w14:paraId="23475116" w14:textId="0416B4E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DD7BD1">
        <w:rPr>
          <w:rFonts w:ascii="Calibri" w:hAnsi="Calibri" w:cs="Calibri"/>
          <w:b/>
          <w:bCs/>
          <w:shd w:val="clear" w:color="auto" w:fill="FFFFFF"/>
        </w:rPr>
        <w:t>“coercion”</w:t>
      </w:r>
      <w:r w:rsidRPr="00DD7BD1">
        <w:rPr>
          <w:rFonts w:ascii="Calibri" w:hAnsi="Calibri" w:cs="Calibri"/>
          <w:shd w:val="clear" w:color="auto" w:fill="FFFFFF"/>
        </w:rPr>
        <w:t xml:space="preserve"> means a threat to compel or induce a person to engage in or abstain from conduct they have a legal right to pursue or avoid. The amendment defines </w:t>
      </w:r>
      <w:r w:rsidRPr="00DD7BD1">
        <w:rPr>
          <w:rFonts w:ascii="Calibri" w:hAnsi="Calibri" w:cs="Calibri"/>
          <w:b/>
          <w:bCs/>
          <w:shd w:val="clear" w:color="auto" w:fill="FFFFFF"/>
        </w:rPr>
        <w:t>“threat”</w:t>
      </w:r>
      <w:r w:rsidRPr="00DD7BD1">
        <w:rPr>
          <w:rFonts w:ascii="Calibri" w:hAnsi="Calibri" w:cs="Calibri"/>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987" w:history="1">
        <w:r w:rsidRPr="00DD7BD1">
          <w:rPr>
            <w:rStyle w:val="Hyperlink"/>
            <w:rFonts w:ascii="Calibri" w:hAnsi="Calibri" w:cs="Calibri"/>
            <w:shd w:val="clear" w:color="auto" w:fill="FFFFFF"/>
          </w:rPr>
          <w:t>49.12</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(Industrial Welfare Act), </w:t>
      </w:r>
      <w:hyperlink r:id="rId988" w:history="1">
        <w:r w:rsidRPr="00DD7BD1">
          <w:rPr>
            <w:rStyle w:val="Hyperlink"/>
            <w:rFonts w:ascii="Calibri" w:hAnsi="Calibri" w:cs="Calibri"/>
            <w:shd w:val="clear" w:color="auto" w:fill="FFFFFF"/>
          </w:rPr>
          <w:t>49.30</w:t>
        </w:r>
      </w:hyperlink>
      <w:r w:rsidRPr="00DD7BD1">
        <w:rPr>
          <w:rFonts w:ascii="Calibri" w:hAnsi="Calibri" w:cs="Calibri"/>
          <w:shd w:val="clear" w:color="auto" w:fill="FFFFFF"/>
        </w:rPr>
        <w:t xml:space="preserve"> (Agricultural Labor Law), </w:t>
      </w:r>
      <w:hyperlink r:id="rId989" w:history="1">
        <w:r w:rsidRPr="00DD7BD1">
          <w:rPr>
            <w:rStyle w:val="Hyperlink"/>
            <w:rFonts w:ascii="Calibri" w:hAnsi="Calibri" w:cs="Calibri"/>
            <w:shd w:val="clear" w:color="auto" w:fill="FFFFFF"/>
          </w:rPr>
          <w:t>49.48</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(Wage Payment Law) or any rules issued by the Washington Department of Labor and Industry (L&amp;I)</w:t>
      </w:r>
    </w:p>
    <w:p w14:paraId="339409FA" w14:textId="77777777" w:rsidR="005C31E9" w:rsidRPr="00DD7BD1" w:rsidRDefault="005C31E9" w:rsidP="005C31E9">
      <w:pPr>
        <w:spacing w:after="0" w:line="240" w:lineRule="auto"/>
        <w:rPr>
          <w:rFonts w:ascii="Calibri" w:hAnsi="Calibri" w:cs="Calibri"/>
          <w:shd w:val="clear" w:color="auto" w:fill="FFFFFF"/>
        </w:rPr>
      </w:pPr>
    </w:p>
    <w:p w14:paraId="5BC6D6F2" w14:textId="77777777"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Amended PFML to Limit Stacking &amp; Expansion of Job Protection – </w:t>
      </w:r>
      <w:r w:rsidRPr="00DD7BD1">
        <w:rPr>
          <w:rFonts w:ascii="Calibri" w:hAnsi="Calibri" w:cs="Calibri"/>
          <w:b/>
          <w:bCs/>
          <w:color w:val="C00000"/>
          <w:sz w:val="28"/>
          <w:szCs w:val="28"/>
          <w:shd w:val="clear" w:color="auto" w:fill="FFFFFF"/>
          <w:lang w:val="en"/>
        </w:rPr>
        <w:t>Eff Jan 1, 2026</w:t>
      </w:r>
    </w:p>
    <w:p w14:paraId="7630D69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take effect Jan. 1, 2026.</w:t>
      </w:r>
    </w:p>
    <w:p w14:paraId="35730A07" w14:textId="77777777" w:rsidR="005C31E9" w:rsidRPr="00DD7BD1" w:rsidRDefault="005C31E9" w:rsidP="005C31E9">
      <w:pPr>
        <w:spacing w:after="0" w:line="240" w:lineRule="auto"/>
        <w:rPr>
          <w:rFonts w:ascii="Calibri" w:hAnsi="Calibri" w:cs="Calibri"/>
          <w:b/>
          <w:bCs/>
          <w:color w:val="C00000"/>
          <w:sz w:val="16"/>
          <w:szCs w:val="16"/>
          <w:shd w:val="clear" w:color="auto" w:fill="FFFFFF"/>
          <w:lang w:val="en"/>
        </w:rPr>
      </w:pPr>
    </w:p>
    <w:p w14:paraId="19549041"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Expansion of Job Restoration</w:t>
      </w:r>
    </w:p>
    <w:p w14:paraId="5C2EBBB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Currently, the job restoration provisions in the unamended PFML law apply only to employees who:</w:t>
      </w:r>
    </w:p>
    <w:p w14:paraId="07E36A58"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 for an employer with at least 50 employees;</w:t>
      </w:r>
    </w:p>
    <w:p w14:paraId="3A735ACE"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Have been employed by the employer for at least 12 months; and</w:t>
      </w:r>
    </w:p>
    <w:p w14:paraId="766F6A72"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Worked for the employer at least 1,250 hours during the 12 months immediately preceding the leave.</w:t>
      </w:r>
    </w:p>
    <w:p w14:paraId="2B53A0E9" w14:textId="77777777" w:rsidR="005C31E9" w:rsidRPr="00DD7BD1" w:rsidRDefault="005C31E9" w:rsidP="005C31E9">
      <w:pPr>
        <w:spacing w:after="0" w:line="240" w:lineRule="auto"/>
        <w:rPr>
          <w:rFonts w:ascii="Calibri" w:hAnsi="Calibri" w:cs="Calibri"/>
          <w:shd w:val="clear" w:color="auto" w:fill="FFFFFF"/>
        </w:rPr>
      </w:pPr>
    </w:p>
    <w:p w14:paraId="4250CA1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DD7BD1">
        <w:rPr>
          <w:rFonts w:ascii="Calibri" w:hAnsi="Calibri" w:cs="Calibri"/>
          <w:b/>
          <w:bCs/>
          <w:shd w:val="clear" w:color="auto" w:fill="FFFFFF"/>
        </w:rPr>
        <w:t>180 days</w:t>
      </w:r>
      <w:r w:rsidRPr="00DD7BD1">
        <w:rPr>
          <w:rFonts w:ascii="Calibri" w:hAnsi="Calibri" w:cs="Calibri"/>
          <w:shd w:val="clear" w:color="auto" w:fill="FFFFFF"/>
        </w:rPr>
        <w:t xml:space="preserve"> before taking the leave. </w:t>
      </w:r>
    </w:p>
    <w:p w14:paraId="3066683E" w14:textId="77777777" w:rsidR="005C31E9" w:rsidRPr="00DD7BD1" w:rsidRDefault="005C31E9" w:rsidP="005C31E9">
      <w:pPr>
        <w:spacing w:after="0" w:line="240" w:lineRule="auto"/>
        <w:rPr>
          <w:rFonts w:ascii="Calibri" w:hAnsi="Calibri" w:cs="Calibri"/>
          <w:sz w:val="16"/>
          <w:szCs w:val="16"/>
          <w:shd w:val="clear" w:color="auto" w:fill="FFFFFF"/>
        </w:rPr>
      </w:pPr>
    </w:p>
    <w:p w14:paraId="63B9E4B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addition, the job restoration requirement will apply to employers </w:t>
      </w:r>
      <w:r w:rsidRPr="00DD7BD1">
        <w:rPr>
          <w:rFonts w:ascii="Calibri" w:hAnsi="Calibri" w:cs="Calibri"/>
          <w:b/>
          <w:bCs/>
          <w:shd w:val="clear" w:color="auto" w:fill="FFFFFF"/>
        </w:rPr>
        <w:t>with fewer than 50 employees</w:t>
      </w:r>
      <w:r w:rsidRPr="00DD7BD1">
        <w:rPr>
          <w:rFonts w:ascii="Calibri" w:hAnsi="Calibri" w:cs="Calibri"/>
          <w:shd w:val="clear" w:color="auto" w:fill="FFFFFF"/>
        </w:rPr>
        <w:t>, following the phased-in schedule below:</w:t>
      </w:r>
    </w:p>
    <w:p w14:paraId="6D884AA5"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Twenty-five or more employees: beginning Jan. 1, 2026;</w:t>
      </w:r>
    </w:p>
    <w:p w14:paraId="20A49A0C"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Fifteen or more employees: beginning Jan. 1, 2027; and</w:t>
      </w:r>
    </w:p>
    <w:p w14:paraId="65B68CCF"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Eight or more employees: beginning Jan. 1, 2028.</w:t>
      </w:r>
    </w:p>
    <w:p w14:paraId="2744C1DC" w14:textId="77777777" w:rsidR="005C31E9" w:rsidRPr="00DD7BD1" w:rsidRDefault="005C31E9" w:rsidP="005C31E9">
      <w:pPr>
        <w:spacing w:after="0" w:line="240" w:lineRule="auto"/>
        <w:rPr>
          <w:rFonts w:ascii="Calibri" w:hAnsi="Calibri" w:cs="Calibri"/>
          <w:shd w:val="clear" w:color="auto" w:fill="FFFFFF"/>
        </w:rPr>
      </w:pPr>
    </w:p>
    <w:p w14:paraId="13CDD48A"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DD7BD1" w:rsidRDefault="005C31E9" w:rsidP="005C31E9">
      <w:pPr>
        <w:spacing w:after="0" w:line="240" w:lineRule="auto"/>
        <w:rPr>
          <w:rFonts w:ascii="Calibri" w:hAnsi="Calibri" w:cs="Calibri"/>
          <w:sz w:val="16"/>
          <w:szCs w:val="16"/>
          <w:shd w:val="clear" w:color="auto" w:fill="FFFFFF"/>
        </w:rPr>
      </w:pPr>
    </w:p>
    <w:p w14:paraId="1A03354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DD7BD1" w:rsidRDefault="005C31E9" w:rsidP="005C31E9">
      <w:pPr>
        <w:spacing w:after="0" w:line="240" w:lineRule="auto"/>
        <w:rPr>
          <w:rFonts w:ascii="Calibri" w:hAnsi="Calibri" w:cs="Calibri"/>
          <w:b/>
          <w:bCs/>
          <w:shd w:val="clear" w:color="auto" w:fill="FFFFFF"/>
          <w:lang w:val="en"/>
        </w:rPr>
      </w:pPr>
    </w:p>
    <w:p w14:paraId="187E3DC0"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Restriction on Stacking PFML and FMLA Leave</w:t>
      </w:r>
    </w:p>
    <w:p w14:paraId="3E13BA4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37416AF7" w14:textId="77777777" w:rsidR="00E174C1" w:rsidRPr="00DD7BD1" w:rsidRDefault="00E174C1" w:rsidP="005C31E9">
      <w:pPr>
        <w:spacing w:after="0" w:line="240" w:lineRule="auto"/>
        <w:rPr>
          <w:rFonts w:ascii="Calibri" w:hAnsi="Calibri" w:cs="Calibri"/>
          <w:shd w:val="clear" w:color="auto" w:fill="FFFFFF"/>
        </w:rPr>
      </w:pPr>
    </w:p>
    <w:p w14:paraId="15DE133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Within five business days of the employee requesting or using FMLA leave—whichever is earlier; and</w:t>
      </w:r>
    </w:p>
    <w:p w14:paraId="588F237F"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Every month for the rest of the employee’s FMLA year. </w:t>
      </w:r>
    </w:p>
    <w:p w14:paraId="0651A1AC" w14:textId="77777777" w:rsidR="005C31E9" w:rsidRPr="00DD7BD1" w:rsidRDefault="005C31E9" w:rsidP="005C31E9">
      <w:pPr>
        <w:spacing w:after="0" w:line="240" w:lineRule="auto"/>
        <w:rPr>
          <w:rFonts w:ascii="Calibri" w:hAnsi="Calibri" w:cs="Calibri"/>
          <w:b/>
          <w:bCs/>
          <w:sz w:val="16"/>
          <w:szCs w:val="16"/>
          <w:shd w:val="clear" w:color="auto" w:fill="FFFFFF"/>
        </w:rPr>
      </w:pPr>
    </w:p>
    <w:p w14:paraId="04B3F17F"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Continuation of Health Care Coverage</w:t>
      </w:r>
    </w:p>
    <w:p w14:paraId="0644367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DD7BD1" w:rsidRDefault="005C31E9" w:rsidP="005C31E9">
      <w:pPr>
        <w:spacing w:after="0" w:line="240" w:lineRule="auto"/>
        <w:rPr>
          <w:rFonts w:ascii="Calibri" w:hAnsi="Calibri" w:cs="Calibri"/>
          <w:sz w:val="16"/>
          <w:szCs w:val="16"/>
          <w:shd w:val="clear" w:color="auto" w:fill="FFFFFF"/>
        </w:rPr>
      </w:pPr>
    </w:p>
    <w:p w14:paraId="2AA05F9B" w14:textId="77777777" w:rsidR="005C31E9" w:rsidRPr="00DD7BD1" w:rsidRDefault="005C31E9" w:rsidP="005C31E9">
      <w:pPr>
        <w:spacing w:after="0" w:line="240" w:lineRule="auto"/>
        <w:rPr>
          <w:rFonts w:ascii="Calibri" w:hAnsi="Calibri" w:cs="Calibri"/>
          <w:b/>
          <w:shd w:val="clear" w:color="auto" w:fill="FFFFFF"/>
        </w:rPr>
      </w:pPr>
      <w:r w:rsidRPr="00DD7BD1">
        <w:rPr>
          <w:rFonts w:ascii="Calibri" w:hAnsi="Calibri" w:cs="Calibri"/>
          <w:b/>
          <w:shd w:val="clear" w:color="auto" w:fill="FFFFFF"/>
        </w:rPr>
        <w:t>Notice of PFML Rights</w:t>
      </w:r>
    </w:p>
    <w:p w14:paraId="65807D99"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DD7BD1" w:rsidRDefault="005C31E9" w:rsidP="005C31E9">
      <w:pPr>
        <w:spacing w:after="0" w:line="240" w:lineRule="auto"/>
        <w:rPr>
          <w:rFonts w:ascii="Calibri" w:hAnsi="Calibri" w:cs="Calibri"/>
          <w:sz w:val="16"/>
          <w:szCs w:val="16"/>
          <w:shd w:val="clear" w:color="auto" w:fill="FFFFFF"/>
        </w:rPr>
      </w:pPr>
    </w:p>
    <w:p w14:paraId="13546B36" w14:textId="09B85DF5" w:rsidR="005C31E9" w:rsidRPr="00DD7BD1" w:rsidRDefault="005C31E9" w:rsidP="007F7544">
      <w:pPr>
        <w:spacing w:after="0" w:line="240" w:lineRule="auto"/>
        <w:rPr>
          <w:rFonts w:ascii="Calibri" w:hAnsi="Calibri" w:cs="Calibri"/>
          <w:shd w:val="clear" w:color="auto" w:fill="FFFFFF"/>
        </w:rPr>
      </w:pPr>
      <w:r w:rsidRPr="00DD7BD1">
        <w:rPr>
          <w:rFonts w:ascii="Calibri" w:hAnsi="Calibri" w:cs="Calibri"/>
          <w:shd w:val="clear" w:color="auto" w:fill="FFFFFF"/>
        </w:rPr>
        <w:t>More to comes as official guidance is released by the state ahead of the 2026 effective date.</w:t>
      </w:r>
    </w:p>
    <w:p w14:paraId="7501D2CA" w14:textId="77777777" w:rsidR="005C31E9" w:rsidRPr="00DD7BD1" w:rsidRDefault="005C31E9" w:rsidP="007F7544">
      <w:pPr>
        <w:spacing w:after="0" w:line="240" w:lineRule="auto"/>
        <w:rPr>
          <w:rFonts w:ascii="Calibri" w:hAnsi="Calibri" w:cs="Calibri"/>
          <w:shd w:val="clear" w:color="auto" w:fill="FFFFFF"/>
        </w:rPr>
      </w:pPr>
    </w:p>
    <w:p w14:paraId="6FDAD523" w14:textId="6353724A" w:rsidR="005C31E9" w:rsidRPr="00DD7BD1" w:rsidRDefault="005C31E9" w:rsidP="007F75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Passes Leave, Job Protections for Hate Crimes – </w:t>
      </w:r>
      <w:r w:rsidRPr="00DD7BD1">
        <w:rPr>
          <w:rFonts w:ascii="Calibri" w:hAnsi="Calibri" w:cs="Calibri"/>
          <w:b/>
          <w:bCs/>
          <w:color w:val="C00000"/>
          <w:sz w:val="28"/>
          <w:szCs w:val="28"/>
          <w:shd w:val="clear" w:color="auto" w:fill="FFFFFF"/>
          <w:lang w:val="en"/>
        </w:rPr>
        <w:t>Eff Jan 1, 2026</w:t>
      </w:r>
    </w:p>
    <w:p w14:paraId="739DE61D" w14:textId="1424D030"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Washington has enacted </w:t>
      </w:r>
      <w:hyperlink r:id="rId990" w:history="1">
        <w:r w:rsidRPr="00DD7BD1">
          <w:rPr>
            <w:rStyle w:val="Hyperlink"/>
            <w:rFonts w:ascii="Calibri" w:hAnsi="Calibri" w:cs="Calibri"/>
            <w:shd w:val="clear" w:color="auto" w:fill="FFFFFF"/>
          </w:rPr>
          <w:t>Senate Bill (SB) 5101</w:t>
        </w:r>
      </w:hyperlink>
      <w:r w:rsidRPr="00DD7BD1">
        <w:rPr>
          <w:rFonts w:ascii="Calibri" w:hAnsi="Calibri" w:cs="Calibri"/>
          <w:shd w:val="clear" w:color="auto" w:fill="FFFFFF"/>
        </w:rPr>
        <w:t xml:space="preserve">, requiring employers to provide leave from work, safety accommodations and job protections for employees who are the victim of a hate crime or whose family member is a victim, effective Jan. 1, 2026. </w:t>
      </w:r>
    </w:p>
    <w:p w14:paraId="14121380" w14:textId="77777777" w:rsidR="007F7544" w:rsidRPr="00DD7BD1" w:rsidRDefault="007F7544" w:rsidP="007F7544">
      <w:pPr>
        <w:spacing w:after="0" w:line="240" w:lineRule="auto"/>
        <w:rPr>
          <w:rFonts w:ascii="Calibri" w:hAnsi="Calibri" w:cs="Calibri"/>
          <w:b/>
          <w:sz w:val="16"/>
          <w:szCs w:val="16"/>
          <w:shd w:val="clear" w:color="auto" w:fill="FFFFFF"/>
        </w:rPr>
      </w:pPr>
    </w:p>
    <w:p w14:paraId="0B91CBFE" w14:textId="72612695" w:rsidR="005C31E9" w:rsidRPr="00DD7BD1" w:rsidRDefault="005C31E9" w:rsidP="007F7544">
      <w:pPr>
        <w:spacing w:after="0" w:line="240" w:lineRule="auto"/>
        <w:rPr>
          <w:rFonts w:ascii="Calibri" w:hAnsi="Calibri" w:cs="Calibri"/>
          <w:b/>
          <w:shd w:val="clear" w:color="auto" w:fill="FFFFFF"/>
        </w:rPr>
      </w:pPr>
      <w:r w:rsidRPr="00DD7BD1">
        <w:rPr>
          <w:rFonts w:ascii="Calibri" w:hAnsi="Calibri" w:cs="Calibri"/>
          <w:b/>
          <w:shd w:val="clear" w:color="auto" w:fill="FFFFFF"/>
        </w:rPr>
        <w:t>Expansion of Law Protecting Victims of Domestic Violence</w:t>
      </w:r>
    </w:p>
    <w:p w14:paraId="3293550B" w14:textId="28A1A06E"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991" w:history="1">
        <w:r w:rsidRPr="00DD7BD1">
          <w:rPr>
            <w:rStyle w:val="Hyperlink"/>
            <w:rFonts w:ascii="Calibri" w:hAnsi="Calibri" w:cs="Calibri"/>
            <w:shd w:val="clear" w:color="auto" w:fill="FFFFFF"/>
          </w:rPr>
          <w:t>RCW 9A.36.080</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and includes offenses committed through online or internet-based communication.</w:t>
      </w:r>
    </w:p>
    <w:p w14:paraId="013892B7" w14:textId="77777777" w:rsidR="007F7544" w:rsidRPr="00DD7BD1" w:rsidRDefault="007F7544" w:rsidP="007F7544">
      <w:pPr>
        <w:pStyle w:val="SubHeader"/>
        <w:spacing w:line="240" w:lineRule="auto"/>
        <w:rPr>
          <w:rFonts w:cs="Calibri"/>
          <w:color w:val="auto"/>
          <w:sz w:val="16"/>
          <w:szCs w:val="16"/>
        </w:rPr>
      </w:pPr>
    </w:p>
    <w:p w14:paraId="593260D5" w14:textId="19EBAC2A" w:rsidR="005C31E9" w:rsidRPr="00DD7BD1" w:rsidRDefault="005C31E9" w:rsidP="007F7544">
      <w:pPr>
        <w:pStyle w:val="SubHeader"/>
        <w:spacing w:line="240" w:lineRule="auto"/>
        <w:rPr>
          <w:rFonts w:cs="Calibri"/>
          <w:color w:val="auto"/>
          <w:sz w:val="22"/>
          <w:szCs w:val="22"/>
        </w:rPr>
      </w:pPr>
      <w:r w:rsidRPr="00DD7BD1">
        <w:rPr>
          <w:rFonts w:cs="Calibri"/>
          <w:color w:val="auto"/>
          <w:sz w:val="22"/>
          <w:szCs w:val="22"/>
        </w:rPr>
        <w:t xml:space="preserve">Reasonable Leave and Accommodations  </w:t>
      </w:r>
    </w:p>
    <w:p w14:paraId="7CB9C369"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t>Under the law, employees may take reasonable leave from work, intermittent leave or leave on a reduced leave schedule, with or without pay, to:</w:t>
      </w:r>
    </w:p>
    <w:p w14:paraId="7D8A92E5"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legal or law enforcement assistance or remedies;</w:t>
      </w:r>
    </w:p>
    <w:p w14:paraId="48324FD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treatment by a health care provider for their or a family member’s physical or mental injuries;</w:t>
      </w:r>
    </w:p>
    <w:p w14:paraId="4D2E575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social services;</w:t>
      </w:r>
      <w:r w:rsidRPr="00DD7BD1">
        <w:rPr>
          <w:rFonts w:cs="Calibri"/>
          <w:noProof/>
          <w:color w:val="auto"/>
          <w:szCs w:val="22"/>
        </w:rPr>
        <w:t xml:space="preserve"> </w:t>
      </w:r>
    </w:p>
    <w:p w14:paraId="05DA0CE3"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counseling; and</w:t>
      </w:r>
    </w:p>
    <w:p w14:paraId="192D173D"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Participate in safety planning, relocate or take other actions to increase the safety of the employee or employee’s family members.</w:t>
      </w:r>
    </w:p>
    <w:p w14:paraId="71E15088"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DD7BD1" w:rsidRDefault="005C31E9" w:rsidP="007F7544">
      <w:pPr>
        <w:pStyle w:val="BodyText"/>
        <w:spacing w:after="0" w:line="240" w:lineRule="auto"/>
        <w:rPr>
          <w:rFonts w:cs="Calibri"/>
          <w:b/>
          <w:bCs/>
          <w:color w:val="auto"/>
          <w:sz w:val="16"/>
          <w:szCs w:val="16"/>
        </w:rPr>
      </w:pPr>
    </w:p>
    <w:p w14:paraId="5863B04D" w14:textId="77777777" w:rsidR="005C31E9" w:rsidRPr="00DD7BD1" w:rsidRDefault="005C31E9" w:rsidP="007F7544">
      <w:pPr>
        <w:pStyle w:val="BodyText"/>
        <w:spacing w:after="0" w:line="240" w:lineRule="auto"/>
        <w:rPr>
          <w:rFonts w:cs="Calibri"/>
          <w:b/>
          <w:bCs/>
          <w:color w:val="auto"/>
          <w:szCs w:val="22"/>
        </w:rPr>
      </w:pPr>
      <w:r w:rsidRPr="00DD7BD1">
        <w:rPr>
          <w:rFonts w:cs="Calibri"/>
          <w:b/>
          <w:bCs/>
          <w:color w:val="auto"/>
          <w:szCs w:val="22"/>
        </w:rPr>
        <w:t>Non discrimination</w:t>
      </w:r>
    </w:p>
    <w:p w14:paraId="148F753A" w14:textId="5E90E206" w:rsidR="005C31E9" w:rsidRPr="00DD7BD1" w:rsidRDefault="005C31E9" w:rsidP="007F7544">
      <w:pPr>
        <w:pStyle w:val="BodyText"/>
        <w:spacing w:after="0" w:line="240" w:lineRule="auto"/>
        <w:rPr>
          <w:rFonts w:cs="Calibri"/>
          <w:color w:val="auto"/>
          <w:szCs w:val="22"/>
        </w:rPr>
      </w:pPr>
      <w:r w:rsidRPr="00DD7BD1">
        <w:rPr>
          <w:rFonts w:cs="Calibri"/>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DD7BD1" w:rsidRDefault="005C31E9" w:rsidP="007F7544">
      <w:pPr>
        <w:pStyle w:val="BodyText"/>
        <w:spacing w:after="0" w:line="240" w:lineRule="auto"/>
        <w:rPr>
          <w:rFonts w:cs="Calibri"/>
          <w:color w:val="auto"/>
          <w:szCs w:val="22"/>
        </w:rPr>
      </w:pPr>
    </w:p>
    <w:p w14:paraId="319119C8" w14:textId="656CA8AA" w:rsidR="005C31E9" w:rsidRPr="00DD7BD1" w:rsidRDefault="005C31E9" w:rsidP="007F7544">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Limits of Driver’s License Requirements </w:t>
      </w:r>
      <w:r w:rsidRPr="00DD7BD1">
        <w:rPr>
          <w:rFonts w:ascii="Calibri" w:hAnsi="Calibri" w:cs="Calibri"/>
          <w:b/>
          <w:bCs/>
          <w:color w:val="C00000"/>
          <w:sz w:val="28"/>
          <w:szCs w:val="28"/>
          <w:shd w:val="clear" w:color="auto" w:fill="FFFFFF"/>
          <w:lang w:val="en"/>
        </w:rPr>
        <w:t>– Eff July 1, 2025</w:t>
      </w:r>
    </w:p>
    <w:p w14:paraId="02A6CE11" w14:textId="2E177777"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Employers can’t require a driver’s license as a condition of employment or state that applicants must have a driver’s license in a job posting. There’s an exception if driving is an essential function of the job (like for a delivery driver) or is related to a legitimate business purpose for the position.</w:t>
      </w:r>
    </w:p>
    <w:p w14:paraId="543C1F77" w14:textId="0F07EF17" w:rsidR="005C31E9" w:rsidRPr="00DD7BD1" w:rsidRDefault="005C31E9" w:rsidP="005C31E9">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Mini-WARN Act – </w:t>
      </w:r>
      <w:r w:rsidRPr="00DD7BD1">
        <w:rPr>
          <w:rFonts w:ascii="Calibri" w:hAnsi="Calibri" w:cs="Calibri"/>
          <w:b/>
          <w:bCs/>
          <w:color w:val="C00000"/>
          <w:sz w:val="28"/>
          <w:szCs w:val="28"/>
          <w:shd w:val="clear" w:color="auto" w:fill="FFFFFF"/>
          <w:lang w:val="en"/>
        </w:rPr>
        <w:t>Eff July 1, 2025</w:t>
      </w:r>
    </w:p>
    <w:p w14:paraId="2D9F1EAD" w14:textId="7F5D9B61"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Employers with 50 or more full-time employees </w:t>
      </w:r>
      <w:r w:rsidRPr="00DD7BD1">
        <w:rPr>
          <w:rFonts w:ascii="Calibri" w:hAnsi="Calibri" w:cs="Calibri"/>
          <w:i/>
          <w:iCs/>
          <w:u w:val="single"/>
          <w:shd w:val="clear" w:color="auto" w:fill="FFFFFF"/>
        </w:rPr>
        <w:t>in the state</w:t>
      </w:r>
      <w:r w:rsidRPr="00DD7BD1">
        <w:rPr>
          <w:rFonts w:ascii="Calibri" w:hAnsi="Calibri" w:cs="Calibri"/>
          <w:i/>
          <w:iCs/>
          <w:shd w:val="clear" w:color="auto" w:fill="FFFFFF"/>
        </w:rPr>
        <w:t> </w:t>
      </w:r>
      <w:r w:rsidRPr="00DD7BD1">
        <w:rPr>
          <w:rFonts w:ascii="Calibri" w:hAnsi="Calibri" w:cs="Calibri"/>
          <w:shd w:val="clear" w:color="auto" w:fill="FFFFFF"/>
        </w:rPr>
        <w:t>will need to provide 60 days’ written notice to each employee in the event of a mass layoff or business closure that causes loss of employment for 50 or more full-time employees. More information is available on the platform.</w:t>
      </w:r>
    </w:p>
    <w:p w14:paraId="4C68A2B9" w14:textId="3E6C0139" w:rsidR="005C31E9" w:rsidRPr="00DD7BD1" w:rsidRDefault="005C31E9" w:rsidP="005C31E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Local Minim Wage Changes – </w:t>
      </w:r>
      <w:r w:rsidRPr="00DD7BD1">
        <w:rPr>
          <w:rFonts w:ascii="Calibri" w:hAnsi="Calibri" w:cs="Calibri"/>
          <w:b/>
          <w:bCs/>
          <w:color w:val="C00000"/>
          <w:sz w:val="28"/>
          <w:szCs w:val="28"/>
          <w:shd w:val="clear" w:color="auto" w:fill="FFFFFF"/>
          <w:lang w:val="en"/>
        </w:rPr>
        <w:t>Eff July 1, 2025</w:t>
      </w:r>
    </w:p>
    <w:p w14:paraId="65375ECF"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Burien</w:t>
      </w:r>
      <w:r w:rsidRPr="00DD7BD1">
        <w:rPr>
          <w:rFonts w:ascii="Calibri" w:hAnsi="Calibri" w:cs="Calibri"/>
          <w:shd w:val="clear" w:color="auto" w:fill="FFFFFF"/>
        </w:rPr>
        <w:t xml:space="preserve"> $20.16 for Level 2 employers—those with 21–499 full-time equivalent (FTE) employees in King County.</w:t>
      </w:r>
    </w:p>
    <w:p w14:paraId="183D0F9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Renton</w:t>
      </w:r>
      <w:r w:rsidRPr="00DD7BD1">
        <w:rPr>
          <w:rFonts w:ascii="Calibri" w:hAnsi="Calibri" w:cs="Calibri"/>
          <w:shd w:val="clear" w:color="auto" w:fill="FFFFFF"/>
        </w:rPr>
        <w:t xml:space="preserve"> $19.90 for mid-size employers—those with 15–500 employees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 generated within the city limits of Renton.</w:t>
      </w:r>
    </w:p>
    <w:p w14:paraId="798C701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Tukwila</w:t>
      </w:r>
      <w:r w:rsidRPr="00DD7BD1">
        <w:rPr>
          <w:rFonts w:ascii="Calibri" w:hAnsi="Calibri" w:cs="Calibri"/>
          <w:shd w:val="clear" w:color="auto" w:fill="FFFFFF"/>
        </w:rPr>
        <w:t xml:space="preserve"> $21.10 for mid-size employers—those with 15–500 employees or annual gross revenue of over $2 million generated within the city limits of Tukwila.</w:t>
      </w:r>
    </w:p>
    <w:p w14:paraId="1BB4365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Everett</w:t>
      </w:r>
      <w:r w:rsidRPr="00DD7BD1">
        <w:rPr>
          <w:rFonts w:ascii="Calibri" w:hAnsi="Calibri" w:cs="Calibri"/>
          <w:shd w:val="clear" w:color="auto" w:fill="FFFFFF"/>
        </w:rPr>
        <w:t xml:space="preserve"> The City of Everett now has its own minimum wage ordinance. The hourly rates will be as follows:</w:t>
      </w:r>
    </w:p>
    <w:p w14:paraId="6B945188"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$20.24 for large employers</w:t>
      </w:r>
    </w:p>
    <w:p w14:paraId="3408D0A2"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$18.24 for other covered employers</w:t>
      </w:r>
    </w:p>
    <w:p w14:paraId="5138A50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Large employers</w:t>
      </w:r>
      <w:r w:rsidRPr="00DD7BD1">
        <w:rPr>
          <w:rFonts w:ascii="Calibri" w:hAnsi="Calibri" w:cs="Calibri"/>
          <w:shd w:val="clear" w:color="auto" w:fill="FFFFFF"/>
        </w:rPr>
        <w:t> are those with more than 500 employees (located anywhere) and certain franchisees.</w:t>
      </w:r>
    </w:p>
    <w:p w14:paraId="051EDC2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Other covered employers</w:t>
      </w:r>
      <w:r w:rsidRPr="00DD7BD1">
        <w:rPr>
          <w:rFonts w:ascii="Calibri" w:hAnsi="Calibri" w:cs="Calibri"/>
          <w:shd w:val="clear" w:color="auto" w:fill="FFFFFF"/>
        </w:rPr>
        <w:t> are those with 15–500 employees (located anywhere)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w:t>
      </w:r>
    </w:p>
    <w:p w14:paraId="0BF06DE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fewer than 15 employees and annual gross revenue of $2 million or less, the state rate applies.</w:t>
      </w:r>
    </w:p>
    <w:p w14:paraId="21B5176E"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Future Increases</w:t>
      </w:r>
    </w:p>
    <w:p w14:paraId="3B5088A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br/>
        <w:t>Starting on January 1, 2026, and annually each January 1 after that, the minimum wage for large employers will increase by the annual rate of inflation.</w:t>
      </w:r>
    </w:p>
    <w:p w14:paraId="1B96BF77" w14:textId="77777777" w:rsidR="005C31E9" w:rsidRPr="00DD7BD1" w:rsidRDefault="005C31E9" w:rsidP="005C31E9">
      <w:pPr>
        <w:spacing w:after="0" w:line="240" w:lineRule="auto"/>
        <w:rPr>
          <w:rFonts w:ascii="Calibri" w:hAnsi="Calibri" w:cs="Calibri"/>
          <w:sz w:val="16"/>
          <w:szCs w:val="16"/>
          <w:shd w:val="clear" w:color="auto" w:fill="FFFFFF"/>
        </w:rPr>
      </w:pPr>
    </w:p>
    <w:p w14:paraId="72D760F7" w14:textId="2E17339C"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DD7BD1" w:rsidRDefault="005C31E9" w:rsidP="005C31E9">
      <w:pPr>
        <w:spacing w:after="0" w:line="240" w:lineRule="auto"/>
        <w:rPr>
          <w:rFonts w:ascii="Calibri" w:hAnsi="Calibri" w:cs="Calibri"/>
          <w:shd w:val="clear" w:color="auto" w:fill="FFFFFF"/>
        </w:rPr>
      </w:pPr>
    </w:p>
    <w:p w14:paraId="7C82E6B6" w14:textId="514F8613" w:rsidR="00264A05" w:rsidRPr="00DD7BD1" w:rsidRDefault="00264A05" w:rsidP="00194DFB">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Employee Access to Personnel Records – </w:t>
      </w:r>
      <w:r w:rsidRPr="00DD7BD1">
        <w:rPr>
          <w:rFonts w:ascii="Calibri" w:hAnsi="Calibri" w:cs="Calibri"/>
          <w:b/>
          <w:bCs/>
          <w:color w:val="C00000"/>
          <w:sz w:val="28"/>
          <w:szCs w:val="28"/>
          <w:shd w:val="clear" w:color="auto" w:fill="FFFFFF"/>
          <w:lang w:val="en"/>
        </w:rPr>
        <w:t>Eff July 27, 2025</w:t>
      </w:r>
    </w:p>
    <w:p w14:paraId="705A8613" w14:textId="60D9EE21"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On May 13, 2025, Governor Bob Ferguson signed into law Substitute House Bill (SHB) 1308 to amend Washington’s Industrial Welfare Act. The new statute significantly pares down this list to include a more tailored, specific definition of applicable records.</w:t>
      </w:r>
    </w:p>
    <w:p w14:paraId="5BD667B5"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Amendments to RCW 49.12.240: Definition of a “Personnel File”</w:t>
      </w:r>
    </w:p>
    <w:p w14:paraId="4B557EAB"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Revised Code of Washington chapter 49.12.240 will now define a “personnel file” to include the following records:</w:t>
      </w:r>
    </w:p>
    <w:p w14:paraId="29E93FE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job application records;</w:t>
      </w:r>
    </w:p>
    <w:p w14:paraId="7444B2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performance evaluations;</w:t>
      </w:r>
    </w:p>
    <w:p w14:paraId="0A73F92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nonactive or closed disciplinary records;</w:t>
      </w:r>
    </w:p>
    <w:p w14:paraId="1E295B34"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leave and reasonable accommodation records;</w:t>
      </w:r>
    </w:p>
    <w:p w14:paraId="339CA9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payroll records; and</w:t>
      </w:r>
    </w:p>
    <w:p w14:paraId="1C1290D8"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employment agreements.</w:t>
      </w:r>
    </w:p>
    <w:p w14:paraId="0F4B671E" w14:textId="77777777" w:rsidR="00264A05" w:rsidRPr="00DD7BD1" w:rsidRDefault="00264A05" w:rsidP="00194DFB">
      <w:pPr>
        <w:spacing w:after="0" w:line="240" w:lineRule="auto"/>
        <w:ind w:left="720"/>
        <w:rPr>
          <w:rFonts w:ascii="Calibri" w:hAnsi="Calibri" w:cs="Calibri"/>
          <w:shd w:val="clear" w:color="auto" w:fill="FFFFFF"/>
        </w:rPr>
      </w:pPr>
    </w:p>
    <w:p w14:paraId="5ABFA9A9"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b/>
          <w:bCs/>
          <w:shd w:val="clear" w:color="auto" w:fill="FFFFFF"/>
        </w:rPr>
        <w:t>Amendments to RCW 49.12.250(1): Requests for Personnel Files and Termination Information</w:t>
      </w:r>
    </w:p>
    <w:p w14:paraId="7D32D350" w14:textId="03DC727D"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SHB 1308 will now require private employers to actually provide a </w:t>
      </w:r>
      <w:r w:rsidRPr="00DD7BD1">
        <w:rPr>
          <w:rFonts w:ascii="Calibri" w:hAnsi="Calibri" w:cs="Calibri"/>
          <w:i/>
          <w:iCs/>
          <w:shd w:val="clear" w:color="auto" w:fill="FFFFFF"/>
        </w:rPr>
        <w:t>copy</w:t>
      </w:r>
      <w:r w:rsidRPr="00DD7BD1">
        <w:rPr>
          <w:rFonts w:ascii="Calibri" w:hAnsi="Calibri" w:cs="Calibri"/>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Private Right of Action</w:t>
      </w:r>
    </w:p>
    <w:p w14:paraId="2BBECF9B" w14:textId="522F2CEC" w:rsidR="00194DFB"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DD7BD1" w:rsidRDefault="00194DFB" w:rsidP="00194DFB">
      <w:pPr>
        <w:spacing w:after="0" w:line="240" w:lineRule="auto"/>
        <w:rPr>
          <w:rFonts w:ascii="Calibri" w:hAnsi="Calibri" w:cs="Calibri"/>
          <w:shd w:val="clear" w:color="auto" w:fill="FFFFFF"/>
        </w:rPr>
      </w:pPr>
    </w:p>
    <w:p w14:paraId="7240F429" w14:textId="6B18A6AB" w:rsidR="00264A05" w:rsidRPr="00DD7BD1" w:rsidRDefault="00264A05" w:rsidP="00264A05">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Paid Sick Leave to Cover Immigration Proceedings </w:t>
      </w:r>
      <w:r w:rsidRPr="00DD7BD1">
        <w:rPr>
          <w:rFonts w:ascii="Calibri" w:hAnsi="Calibri" w:cs="Calibri"/>
          <w:b/>
          <w:bCs/>
          <w:color w:val="C00000"/>
          <w:sz w:val="28"/>
          <w:szCs w:val="28"/>
          <w:shd w:val="clear" w:color="auto" w:fill="FFFFFF"/>
          <w:lang w:val="en"/>
        </w:rPr>
        <w:t>– Eff July 27, 2025</w:t>
      </w:r>
    </w:p>
    <w:p w14:paraId="40E3B491"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DD7BD1" w:rsidRDefault="00264A05" w:rsidP="00264A05">
      <w:pPr>
        <w:pStyle w:val="BodyText"/>
        <w:spacing w:after="0" w:line="240" w:lineRule="auto"/>
        <w:rPr>
          <w:rFonts w:cs="Calibri"/>
          <w:color w:val="auto"/>
          <w:szCs w:val="22"/>
        </w:rPr>
      </w:pPr>
    </w:p>
    <w:p w14:paraId="737170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 xml:space="preserve">The paid sick leave amendments, contained in </w:t>
      </w:r>
      <w:hyperlink r:id="rId992" w:history="1">
        <w:r w:rsidRPr="00DD7BD1">
          <w:rPr>
            <w:rStyle w:val="Hyperlink"/>
            <w:rFonts w:cs="Calibri"/>
            <w:szCs w:val="22"/>
          </w:rPr>
          <w:t>Engrossed Substitute House Bill (ESHB) 1875</w:t>
        </w:r>
      </w:hyperlink>
      <w:r w:rsidRPr="00DD7BD1">
        <w:rPr>
          <w:rFonts w:cs="Calibri"/>
          <w:szCs w:val="22"/>
        </w:rPr>
        <w:t xml:space="preserve">, </w:t>
      </w:r>
      <w:r w:rsidRPr="00DD7BD1">
        <w:rPr>
          <w:rFonts w:cs="Calibri"/>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Under the amendments, employers that require verification of paid sick leave must accept documentation from the following</w:t>
      </w:r>
    </w:p>
    <w:p w14:paraId="32FA5848"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An advocate for immigrants or refugees; </w:t>
      </w:r>
    </w:p>
    <w:p w14:paraId="49199806"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 attorney;</w:t>
      </w:r>
    </w:p>
    <w:p w14:paraId="75E9FE29"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 member of the clergy; or </w:t>
      </w:r>
    </w:p>
    <w:p w14:paraId="2CC85EE3"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Another professional who is assisting the employee or the employee’s family member in the proceeding.</w:t>
      </w:r>
    </w:p>
    <w:p w14:paraId="1DECE4D6" w14:textId="77777777" w:rsidR="00264A05" w:rsidRPr="00DD7BD1" w:rsidRDefault="00264A05" w:rsidP="00264A05">
      <w:pPr>
        <w:pStyle w:val="BodyText"/>
        <w:spacing w:after="0" w:line="240" w:lineRule="auto"/>
        <w:rPr>
          <w:rFonts w:cs="Calibri"/>
          <w:color w:val="auto"/>
          <w:sz w:val="16"/>
          <w:szCs w:val="16"/>
        </w:rPr>
      </w:pPr>
    </w:p>
    <w:p w14:paraId="2413AC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  ETC will publish a updated State Handbook Addendum ahead of the effective date.</w:t>
      </w:r>
    </w:p>
    <w:p w14:paraId="4FE185A7" w14:textId="77777777" w:rsidR="00264A05" w:rsidRPr="00DD7BD1" w:rsidRDefault="00264A05" w:rsidP="00264A05">
      <w:pPr>
        <w:pStyle w:val="BodyText"/>
        <w:spacing w:after="0" w:line="240" w:lineRule="auto"/>
        <w:rPr>
          <w:rFonts w:cs="Calibri"/>
          <w:color w:val="auto"/>
          <w:szCs w:val="22"/>
        </w:rPr>
      </w:pPr>
    </w:p>
    <w:p w14:paraId="7B791154" w14:textId="77777777" w:rsidR="00264A05" w:rsidRPr="00DD7BD1" w:rsidRDefault="00264A05" w:rsidP="00264A05">
      <w:pPr>
        <w:pStyle w:val="BodyText"/>
        <w:spacing w:after="0" w:line="240" w:lineRule="auto"/>
        <w:jc w:val="center"/>
        <w:rPr>
          <w:rFonts w:eastAsiaTheme="minorHAnsi" w:cs="Calibri"/>
          <w:b/>
          <w:bCs/>
          <w:color w:val="C00000"/>
          <w:sz w:val="28"/>
          <w:szCs w:val="28"/>
          <w:u w:val="single"/>
          <w:shd w:val="clear" w:color="auto" w:fill="FFFFFF"/>
          <w:lang w:val="en"/>
        </w:rPr>
      </w:pPr>
      <w:r w:rsidRPr="00DD7BD1">
        <w:rPr>
          <w:rFonts w:eastAsiaTheme="minorHAnsi" w:cs="Calibri"/>
          <w:b/>
          <w:bCs/>
          <w:color w:val="auto"/>
          <w:sz w:val="28"/>
          <w:szCs w:val="28"/>
          <w:shd w:val="clear" w:color="auto" w:fill="FFFFFF"/>
          <w:lang w:val="en"/>
        </w:rPr>
        <w:t xml:space="preserve">State Expands Criminal History Law </w:t>
      </w:r>
      <w:r w:rsidRPr="00DD7BD1">
        <w:rPr>
          <w:rFonts w:eastAsiaTheme="minorHAnsi" w:cs="Calibri"/>
          <w:b/>
          <w:bCs/>
          <w:color w:val="C00000"/>
          <w:sz w:val="28"/>
          <w:szCs w:val="28"/>
          <w:shd w:val="clear" w:color="auto" w:fill="FFFFFF"/>
          <w:lang w:val="en"/>
        </w:rPr>
        <w:t>– Eff July 1, 202</w:t>
      </w:r>
      <w:r w:rsidRPr="00DD7BD1">
        <w:rPr>
          <w:rFonts w:eastAsiaTheme="minorHAnsi" w:cs="Calibri"/>
          <w:b/>
          <w:bCs/>
          <w:color w:val="C00000"/>
          <w:sz w:val="28"/>
          <w:szCs w:val="28"/>
          <w:u w:val="single"/>
          <w:shd w:val="clear" w:color="auto" w:fill="FFFFFF"/>
          <w:lang w:val="en"/>
        </w:rPr>
        <w:t>6</w:t>
      </w:r>
      <w:r w:rsidRPr="00DD7BD1">
        <w:rPr>
          <w:rFonts w:eastAsiaTheme="minorHAnsi" w:cs="Calibri"/>
          <w:b/>
          <w:bCs/>
          <w:color w:val="C00000"/>
          <w:sz w:val="28"/>
          <w:szCs w:val="28"/>
          <w:shd w:val="clear" w:color="auto" w:fill="FFFFFF"/>
          <w:lang w:val="en"/>
        </w:rPr>
        <w:t xml:space="preserve"> &amp; July 1, 202</w:t>
      </w:r>
      <w:r w:rsidRPr="00DD7BD1">
        <w:rPr>
          <w:rFonts w:eastAsiaTheme="minorHAnsi" w:cs="Calibri"/>
          <w:b/>
          <w:bCs/>
          <w:color w:val="C00000"/>
          <w:sz w:val="28"/>
          <w:szCs w:val="28"/>
          <w:u w:val="single"/>
          <w:shd w:val="clear" w:color="auto" w:fill="FFFFFF"/>
          <w:lang w:val="en"/>
        </w:rPr>
        <w:t>7</w:t>
      </w:r>
    </w:p>
    <w:p w14:paraId="6E9ACF67"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Washington</w:t>
      </w:r>
      <w:r w:rsidRPr="00DD7BD1">
        <w:rPr>
          <w:rFonts w:cs="Calibri"/>
          <w:color w:val="C00000"/>
          <w:szCs w:val="22"/>
          <w:shd w:val="clear" w:color="auto" w:fill="FFFFFF"/>
        </w:rPr>
        <w:t xml:space="preserve"> </w:t>
      </w:r>
      <w:hyperlink r:id="rId993" w:history="1">
        <w:r w:rsidRPr="00DD7BD1">
          <w:rPr>
            <w:rStyle w:val="Hyperlink"/>
            <w:rFonts w:cs="Calibri"/>
            <w:szCs w:val="22"/>
            <w:shd w:val="clear" w:color="auto" w:fill="FFFFFF"/>
          </w:rPr>
          <w:t>amended</w:t>
        </w:r>
      </w:hyperlink>
      <w:r w:rsidRPr="00DD7BD1">
        <w:rPr>
          <w:rFonts w:cs="Calibri"/>
          <w:color w:val="C00000"/>
          <w:szCs w:val="22"/>
          <w:shd w:val="clear" w:color="auto" w:fill="FFFFFF"/>
        </w:rPr>
        <w:t xml:space="preserve"> </w:t>
      </w:r>
      <w:r w:rsidRPr="00DD7BD1">
        <w:rPr>
          <w:rFonts w:cs="Calibri"/>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amendment takes effect:</w:t>
      </w:r>
    </w:p>
    <w:p w14:paraId="410A773B"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 xml:space="preserve">July 1, 2026, for employers with 15 or more employees </w:t>
      </w:r>
    </w:p>
    <w:p w14:paraId="498CF796"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July 1, 2027, for employers with fewer than 15 employees</w:t>
      </w:r>
    </w:p>
    <w:p w14:paraId="40031793" w14:textId="77777777" w:rsidR="00264A05" w:rsidRPr="00DD7BD1" w:rsidRDefault="00264A05" w:rsidP="00264A05">
      <w:pPr>
        <w:pStyle w:val="BodyText"/>
        <w:spacing w:after="0" w:line="240" w:lineRule="auto"/>
        <w:rPr>
          <w:rFonts w:cs="Calibri"/>
          <w:color w:val="auto"/>
          <w:szCs w:val="22"/>
          <w:shd w:val="clear" w:color="auto" w:fill="FFFFFF"/>
        </w:rPr>
      </w:pPr>
    </w:p>
    <w:p w14:paraId="51AC3353" w14:textId="77777777" w:rsidR="00264A05" w:rsidRPr="00DD7BD1" w:rsidRDefault="00264A05" w:rsidP="00264A05">
      <w:pPr>
        <w:pStyle w:val="BodyText"/>
        <w:spacing w:after="0" w:line="240" w:lineRule="auto"/>
        <w:rPr>
          <w:rFonts w:cs="Calibri"/>
          <w:b/>
          <w:bCs/>
          <w:color w:val="auto"/>
          <w:szCs w:val="22"/>
          <w:shd w:val="clear" w:color="auto" w:fill="FFFFFF"/>
        </w:rPr>
      </w:pPr>
      <w:r w:rsidRPr="00DD7BD1">
        <w:rPr>
          <w:rFonts w:cs="Calibri"/>
          <w:b/>
          <w:bCs/>
          <w:color w:val="auto"/>
          <w:szCs w:val="22"/>
          <w:shd w:val="clear" w:color="auto" w:fill="FFFFFF"/>
        </w:rPr>
        <w:t xml:space="preserve">Overview: Amended Regulation </w:t>
      </w:r>
    </w:p>
    <w:p w14:paraId="5639D7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Inquiring about an applicant’s criminal record before extending a conditional job offer;</w:t>
      </w:r>
    </w:p>
    <w:p w14:paraId="043B90B0"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against an individual who makes a good-faith report of a violation or suspected violation of the law.</w:t>
      </w:r>
    </w:p>
    <w:p w14:paraId="1427F7FF" w14:textId="77777777" w:rsidR="00264A05" w:rsidRPr="00DD7BD1" w:rsidRDefault="00264A05" w:rsidP="00264A05">
      <w:pPr>
        <w:pStyle w:val="BodyText"/>
        <w:spacing w:after="0" w:line="240" w:lineRule="auto"/>
        <w:rPr>
          <w:rFonts w:cs="Calibri"/>
          <w:color w:val="auto"/>
          <w:szCs w:val="22"/>
          <w:shd w:val="clear" w:color="auto" w:fill="FFFFFF"/>
        </w:rPr>
      </w:pPr>
    </w:p>
    <w:p w14:paraId="5C61BE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a pre-adverse employment action notice</w:t>
      </w:r>
      <w:r w:rsidRPr="00DD7BD1">
        <w:rPr>
          <w:rFonts w:cs="Calibri"/>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 xml:space="preserve">Hold the position open for two business days </w:t>
      </w:r>
      <w:r w:rsidRPr="00DD7BD1">
        <w:rPr>
          <w:rFonts w:cs="Calibri"/>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the individual with a written decision</w:t>
      </w:r>
      <w:r w:rsidRPr="00DD7BD1">
        <w:rPr>
          <w:rFonts w:cs="Calibri"/>
          <w:color w:val="auto"/>
          <w:szCs w:val="22"/>
          <w:shd w:val="clear" w:color="auto" w:fill="FFFFFF"/>
        </w:rPr>
        <w:t>, including the rationale for the decision, if the employer chooses to take an adverse employment action.</w:t>
      </w:r>
    </w:p>
    <w:p w14:paraId="0D38CFD6" w14:textId="77777777" w:rsidR="00264A05" w:rsidRPr="00DD7BD1" w:rsidRDefault="00264A05" w:rsidP="00264A05">
      <w:pPr>
        <w:pStyle w:val="BodyText"/>
        <w:spacing w:after="0" w:line="240" w:lineRule="auto"/>
        <w:rPr>
          <w:rFonts w:cs="Calibri"/>
          <w:color w:val="auto"/>
          <w:szCs w:val="22"/>
          <w:shd w:val="clear" w:color="auto" w:fill="FFFFFF"/>
        </w:rPr>
      </w:pPr>
    </w:p>
    <w:p w14:paraId="5789F90B"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b/>
          <w:bCs/>
          <w:color w:val="auto"/>
          <w:szCs w:val="22"/>
          <w:highlight w:val="lightGray"/>
          <w:shd w:val="clear" w:color="auto" w:fill="FFFFFF"/>
        </w:rPr>
        <w:t>Employer Takeaway:</w:t>
      </w:r>
      <w:r w:rsidRPr="00DD7BD1">
        <w:rPr>
          <w:rFonts w:cs="Calibri"/>
          <w:color w:val="auto"/>
          <w:szCs w:val="22"/>
        </w:rPr>
        <w:t xml:space="preserve"> </w:t>
      </w:r>
      <w:r w:rsidRPr="00DD7BD1">
        <w:rPr>
          <w:rFonts w:cs="Calibri"/>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Equal Pay &amp; Opportunities Act &amp; Amendments – </w:t>
      </w:r>
    </w:p>
    <w:p w14:paraId="6EB2A8B2"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Salay Ranges on Job Postings - </w:t>
      </w:r>
      <w:r w:rsidRPr="00DD7BD1">
        <w:rPr>
          <w:rFonts w:ascii="Calibri" w:hAnsi="Calibri" w:cs="Calibri"/>
          <w:b/>
          <w:bCs/>
          <w:color w:val="C00000"/>
          <w:sz w:val="28"/>
          <w:szCs w:val="28"/>
          <w:shd w:val="clear" w:color="auto" w:fill="FFFFFF"/>
          <w:lang w:val="en"/>
        </w:rPr>
        <w:t>Eff July 1, 2025</w:t>
      </w:r>
    </w:p>
    <w:p w14:paraId="56FEAC2C" w14:textId="77777777" w:rsidR="00264A05" w:rsidRPr="00DD7BD1" w:rsidRDefault="00264A05" w:rsidP="00264A0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Washington Equal Pay and Opportunities Act (EPOA) prohibits pay inequity and discrimination in career advancement opportunities for employees and applicants when based on their protected class and not only their gender. A </w:t>
      </w:r>
      <w:r w:rsidRPr="00DD7BD1">
        <w:rPr>
          <w:rStyle w:val="Strong"/>
          <w:rFonts w:ascii="Calibri" w:eastAsiaTheme="majorEastAsia" w:hAnsi="Calibri" w:cs="Calibri"/>
          <w:i/>
          <w:iCs/>
          <w:sz w:val="22"/>
          <w:szCs w:val="22"/>
        </w:rPr>
        <w:t>protected class</w:t>
      </w:r>
      <w:r w:rsidRPr="00DD7BD1">
        <w:rPr>
          <w:rFonts w:ascii="Calibri" w:hAnsi="Calibri" w:cs="Calibri"/>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DD7BD1" w:rsidRDefault="00264A05" w:rsidP="00264A05">
      <w:pPr>
        <w:pStyle w:val="NormalWeb"/>
        <w:shd w:val="clear" w:color="auto" w:fill="FFFFFF"/>
        <w:spacing w:before="0" w:beforeAutospacing="0" w:after="0" w:afterAutospacing="0"/>
        <w:rPr>
          <w:rFonts w:ascii="Calibri" w:hAnsi="Calibri" w:cs="Calibri"/>
          <w:sz w:val="16"/>
          <w:szCs w:val="16"/>
        </w:rPr>
      </w:pPr>
    </w:p>
    <w:p w14:paraId="7F1559BB" w14:textId="77777777" w:rsidR="00264A05" w:rsidRPr="00DD7BD1" w:rsidRDefault="00264A05" w:rsidP="00264A05">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sz w:val="22"/>
          <w:szCs w:val="22"/>
        </w:rPr>
        <w:t>The EPOA also:</w:t>
      </w:r>
    </w:p>
    <w:p w14:paraId="7120464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Protects employees’ right to talk about their pay and have open wage discussions.</w:t>
      </w:r>
    </w:p>
    <w:p w14:paraId="7E361A57"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applicants from being required to disclose their wage or salary history.</w:t>
      </w:r>
    </w:p>
    <w:p w14:paraId="7C9D6D1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enforcement of wage or salary history criteria that must be met for job consideration.</w:t>
      </w:r>
    </w:p>
    <w:p w14:paraId="3E701F4B"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retaliation.</w:t>
      </w:r>
    </w:p>
    <w:p w14:paraId="6E6D62C6" w14:textId="77777777" w:rsidR="00264A05" w:rsidRPr="00DD7BD1" w:rsidRDefault="00264A05">
      <w:pPr>
        <w:numPr>
          <w:ilvl w:val="0"/>
          <w:numId w:val="188"/>
        </w:numPr>
        <w:shd w:val="clear" w:color="auto" w:fill="FFFFFF"/>
        <w:spacing w:after="0" w:line="240" w:lineRule="auto"/>
        <w:rPr>
          <w:rFonts w:ascii="Calibri" w:hAnsi="Calibri" w:cs="Calibri"/>
          <w:b/>
          <w:bCs/>
          <w:u w:val="single"/>
        </w:rPr>
      </w:pPr>
      <w:r w:rsidRPr="00DD7BD1">
        <w:rPr>
          <w:rFonts w:ascii="Calibri" w:hAnsi="Calibri" w:cs="Calibri"/>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DD7BD1" w:rsidRDefault="00264A05" w:rsidP="00264A05">
      <w:pPr>
        <w:pStyle w:val="NormalWeb"/>
        <w:shd w:val="clear" w:color="auto" w:fill="FFFFFF"/>
        <w:spacing w:before="0" w:beforeAutospacing="0" w:after="0" w:afterAutospacing="0"/>
        <w:ind w:left="360"/>
        <w:rPr>
          <w:rFonts w:ascii="Calibri" w:hAnsi="Calibri" w:cs="Calibri"/>
          <w:color w:val="282828"/>
          <w:sz w:val="22"/>
          <w:szCs w:val="22"/>
        </w:rPr>
      </w:pPr>
      <w:r w:rsidRPr="00DD7BD1">
        <w:rPr>
          <w:rFonts w:ascii="Calibri" w:hAnsi="Calibri" w:cs="Calibri"/>
          <w:color w:val="282828"/>
          <w:sz w:val="22"/>
          <w:szCs w:val="22"/>
        </w:rPr>
        <w:t>(</w:t>
      </w:r>
      <w:hyperlink r:id="rId994" w:tgtFrame="_blank" w:history="1">
        <w:r w:rsidRPr="00DD7BD1">
          <w:rPr>
            <w:rStyle w:val="Hyperlink"/>
            <w:rFonts w:ascii="Calibri" w:eastAsiaTheme="majorEastAsia" w:hAnsi="Calibri" w:cs="Calibri"/>
            <w:color w:val="3052DA"/>
            <w:sz w:val="22"/>
            <w:szCs w:val="22"/>
          </w:rPr>
          <w:t>WA H 1905</w:t>
        </w:r>
      </w:hyperlink>
      <w:r w:rsidRPr="00DD7BD1">
        <w:rPr>
          <w:rFonts w:ascii="Calibri" w:hAnsi="Calibri" w:cs="Calibri"/>
          <w:color w:val="282828"/>
          <w:sz w:val="22"/>
          <w:szCs w:val="22"/>
        </w:rPr>
        <w:t> </w:t>
      </w:r>
      <w:r w:rsidRPr="00DD7BD1">
        <w:rPr>
          <w:rFonts w:ascii="Calibri" w:hAnsi="Calibri" w:cs="Calibri"/>
          <w:sz w:val="22"/>
          <w:szCs w:val="22"/>
        </w:rPr>
        <w:t>was signed by the governor on March 28, 2024) </w:t>
      </w:r>
    </w:p>
    <w:p w14:paraId="6184819D" w14:textId="77777777" w:rsidR="00264A05" w:rsidRPr="00DD7BD1" w:rsidRDefault="00264A05" w:rsidP="00264A05">
      <w:pPr>
        <w:rPr>
          <w:rFonts w:ascii="Calibri" w:hAnsi="Calibri" w:cs="Calibri"/>
          <w:sz w:val="16"/>
          <w:szCs w:val="16"/>
          <w:shd w:val="clear" w:color="auto" w:fill="FFFFFF"/>
        </w:rPr>
      </w:pPr>
    </w:p>
    <w:p w14:paraId="020AFF1E" w14:textId="3D3227B8" w:rsidR="00264A05" w:rsidRPr="00DD7BD1" w:rsidRDefault="00264A05" w:rsidP="00264A05">
      <w:pPr>
        <w:rPr>
          <w:rFonts w:ascii="Calibri" w:hAnsi="Calibri" w:cs="Calibri"/>
          <w:shd w:val="clear" w:color="auto" w:fill="FFFFFF"/>
        </w:rPr>
      </w:pPr>
      <w:r w:rsidRPr="00DD7BD1">
        <w:rPr>
          <w:rFonts w:ascii="Calibri" w:hAnsi="Calibri" w:cs="Calibri"/>
          <w:shd w:val="clear" w:color="auto" w:fill="FFFFFF"/>
        </w:rPr>
        <w:t>On April 22, 2025, the Washington State Senate passed </w:t>
      </w:r>
      <w:hyperlink r:id="rId995" w:history="1">
        <w:r w:rsidRPr="00DD7BD1">
          <w:rPr>
            <w:rStyle w:val="Hyperlink"/>
            <w:rFonts w:ascii="Calibri" w:hAnsi="Calibri" w:cs="Calibri"/>
            <w:shd w:val="clear" w:color="auto" w:fill="FFFFFF"/>
          </w:rPr>
          <w:t>Substitute Senate Bill 5408</w:t>
        </w:r>
      </w:hyperlink>
      <w:r w:rsidRPr="00DD7BD1">
        <w:rPr>
          <w:rFonts w:ascii="Calibri" w:hAnsi="Calibri" w:cs="Calibri"/>
          <w:shd w:val="clear" w:color="auto" w:fill="FFFFFF"/>
        </w:rPr>
        <w:t>, as </w:t>
      </w:r>
      <w:hyperlink r:id="rId996" w:history="1">
        <w:r w:rsidRPr="00DD7BD1">
          <w:rPr>
            <w:rStyle w:val="Hyperlink"/>
            <w:rFonts w:ascii="Calibri" w:hAnsi="Calibri" w:cs="Calibri"/>
            <w:shd w:val="clear" w:color="auto" w:fill="FFFFFF"/>
          </w:rPr>
          <w:t>amended by the House</w:t>
        </w:r>
      </w:hyperlink>
      <w:r w:rsidRPr="00DD7BD1">
        <w:rPr>
          <w:rFonts w:ascii="Calibri" w:hAnsi="Calibri" w:cs="Calibri"/>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DD7BD1" w:rsidRDefault="00264A05" w:rsidP="00264A05">
      <w:pPr>
        <w:rPr>
          <w:rFonts w:ascii="Calibri" w:hAnsi="Calibri" w:cs="Calibri"/>
          <w:shd w:val="clear" w:color="auto" w:fill="FFFFFF"/>
        </w:rPr>
      </w:pPr>
      <w:hyperlink r:id="rId997" w:history="1">
        <w:r w:rsidRPr="00DD7BD1">
          <w:rPr>
            <w:rStyle w:val="Hyperlink"/>
            <w:rFonts w:ascii="Calibri" w:hAnsi="Calibri" w:cs="Calibri"/>
            <w:shd w:val="clear" w:color="auto" w:fill="FFFFFF"/>
          </w:rPr>
          <w:t>Amended SSB 5408</w:t>
        </w:r>
      </w:hyperlink>
      <w:r w:rsidRPr="00DD7BD1">
        <w:rPr>
          <w:rFonts w:ascii="Calibri" w:hAnsi="Calibri" w:cs="Calibri"/>
          <w:shd w:val="clear" w:color="auto" w:fill="FFFFFF"/>
        </w:rPr>
        <w:t> makes significant changes to the law as it relates to procedures and potential damages, but it maintains the pay transparency in job posting requirements.</w:t>
      </w:r>
    </w:p>
    <w:p w14:paraId="533D2A8D"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SSB 55408, which amends the Equal Pay and Opportunities Act, Washington employers may </w:t>
      </w:r>
      <w:r w:rsidRPr="00DD7BD1">
        <w:rPr>
          <w:rFonts w:ascii="Calibri" w:hAnsi="Calibri" w:cs="Calibri"/>
          <w:b/>
          <w:bCs/>
          <w:u w:val="single"/>
          <w:shd w:val="clear" w:color="auto" w:fill="FFFFFF"/>
        </w:rPr>
        <w:t>now list a fixed pay amount instead of a wage range if only one amount is offered</w:t>
      </w:r>
      <w:r w:rsidRPr="00DD7BD1">
        <w:rPr>
          <w:rFonts w:ascii="Calibri" w:hAnsi="Calibri" w:cs="Calibri"/>
          <w:b/>
          <w:bCs/>
          <w:shd w:val="clear" w:color="auto" w:fill="FFFFFF"/>
        </w:rPr>
        <w:t>,</w:t>
      </w:r>
      <w:r w:rsidRPr="00DD7BD1">
        <w:rPr>
          <w:rFonts w:ascii="Calibri" w:hAnsi="Calibri" w:cs="Calibri"/>
          <w:shd w:val="clear" w:color="auto" w:fill="FFFFFF"/>
        </w:rPr>
        <w:t xml:space="preserve"> including for internal transfers; postings that are replicated without employer consent are not considered official job postings.</w:t>
      </w:r>
    </w:p>
    <w:p w14:paraId="6C963844"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DD7BD1" w:rsidRDefault="00264A05" w:rsidP="000B6BCC">
      <w:pPr>
        <w:spacing w:after="0" w:line="240" w:lineRule="auto"/>
        <w:jc w:val="center"/>
        <w:rPr>
          <w:rFonts w:ascii="Calibri" w:hAnsi="Calibri" w:cs="Calibri"/>
          <w:b/>
          <w:bCs/>
          <w:shd w:val="clear" w:color="auto" w:fill="FFFFFF"/>
          <w:lang w:val="en"/>
        </w:rPr>
      </w:pPr>
    </w:p>
    <w:p w14:paraId="5CD2119A" w14:textId="2474A594"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Announces PFML Premium Rate for 2025 – </w:t>
      </w:r>
      <w:r w:rsidRPr="00DD7BD1">
        <w:rPr>
          <w:rFonts w:ascii="Calibri" w:hAnsi="Calibri" w:cs="Calibri"/>
          <w:b/>
          <w:bCs/>
          <w:color w:val="C00000"/>
          <w:sz w:val="28"/>
          <w:szCs w:val="28"/>
          <w:shd w:val="clear" w:color="auto" w:fill="FFFFFF"/>
        </w:rPr>
        <w:t>Jan 1, 2025</w:t>
      </w:r>
    </w:p>
    <w:p w14:paraId="01FA395C" w14:textId="77777777" w:rsidR="000B6BCC" w:rsidRPr="00DD7BD1" w:rsidRDefault="000B6BCC" w:rsidP="000B6BCC">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Washington state has announced an increase to its paid family and medical leave (PFML)  </w:t>
      </w:r>
      <w:hyperlink r:id="rId998" w:history="1">
        <w:r w:rsidRPr="00DD7BD1">
          <w:rPr>
            <w:rStyle w:val="Hyperlink"/>
            <w:rFonts w:ascii="Calibri" w:hAnsi="Calibri" w:cs="Calibri"/>
            <w:shd w:val="clear" w:color="auto" w:fill="FFFFFF"/>
          </w:rPr>
          <w:t>premium rate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2025. The rate is adjusted annually based on premiums contributed and benefits paid during the previous year. The Washington Employment Security Department </w:t>
      </w:r>
      <w:hyperlink r:id="rId999" w:history="1">
        <w:r w:rsidRPr="00DD7BD1">
          <w:rPr>
            <w:rStyle w:val="Hyperlink"/>
            <w:rFonts w:ascii="Calibri" w:hAnsi="Calibri" w:cs="Calibri"/>
            <w:shd w:val="clear" w:color="auto" w:fill="FFFFFF"/>
          </w:rPr>
          <w:t>attributed</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rate increase to rising post-COVID-19-pandemic employment, leading to more employees becoming eligible for (and claiming) benefits, among other factors.</w:t>
      </w:r>
    </w:p>
    <w:p w14:paraId="77772DEC" w14:textId="77777777" w:rsidR="000B6BCC" w:rsidRPr="00DD7BD1" w:rsidRDefault="000B6BCC" w:rsidP="000B6BCC">
      <w:pPr>
        <w:pStyle w:val="SubHeader"/>
        <w:rPr>
          <w:rFonts w:cs="Calibri"/>
          <w:bCs/>
          <w:noProof/>
          <w:sz w:val="22"/>
          <w:szCs w:val="22"/>
        </w:rPr>
      </w:pPr>
    </w:p>
    <w:p w14:paraId="3229BD16" w14:textId="77777777" w:rsidR="000B6BCC" w:rsidRPr="00DD7BD1" w:rsidRDefault="000B6BCC" w:rsidP="000B6BCC">
      <w:pPr>
        <w:pStyle w:val="SubHeader"/>
        <w:rPr>
          <w:rFonts w:cs="Calibri"/>
          <w:bCs/>
          <w:sz w:val="22"/>
          <w:szCs w:val="22"/>
        </w:rPr>
      </w:pPr>
      <w:r w:rsidRPr="00DD7BD1">
        <w:rPr>
          <w:rFonts w:cs="Calibri"/>
          <w:bCs/>
          <w:noProof/>
          <w:sz w:val="22"/>
          <w:szCs w:val="22"/>
        </w:rPr>
        <w:t>Employer Withholding</w:t>
      </w:r>
      <w:r w:rsidRPr="00DD7BD1">
        <w:rPr>
          <w:rFonts w:cs="Calibri"/>
          <w:bCs/>
          <w:sz w:val="22"/>
          <w:szCs w:val="22"/>
        </w:rPr>
        <w:t xml:space="preserve"> </w:t>
      </w:r>
    </w:p>
    <w:p w14:paraId="0647B343" w14:textId="77777777" w:rsidR="000B6BCC" w:rsidRPr="00DD7BD1" w:rsidRDefault="000B6BCC" w:rsidP="000B6BCC">
      <w:pPr>
        <w:pStyle w:val="BodyText"/>
        <w:rPr>
          <w:rFonts w:cs="Calibri"/>
          <w:szCs w:val="22"/>
        </w:rPr>
      </w:pPr>
      <w:r w:rsidRPr="00DD7BD1">
        <w:rPr>
          <w:rFonts w:cs="Calibri"/>
          <w:color w:val="auto"/>
          <w:szCs w:val="22"/>
        </w:rPr>
        <w:t xml:space="preserve">All employers must withhold employees’ premiums from their paychecks and pay the employer’s share, if any. The payments are made quarterly, with the filing of employer reports, through </w:t>
      </w:r>
      <w:hyperlink r:id="rId1000" w:history="1">
        <w:r w:rsidRPr="00DD7BD1">
          <w:rPr>
            <w:rStyle w:val="Hyperlink"/>
            <w:rFonts w:cs="Calibri"/>
            <w:szCs w:val="22"/>
          </w:rPr>
          <w:t>SecureAccess Washington</w:t>
        </w:r>
      </w:hyperlink>
      <w:r w:rsidRPr="00DD7BD1">
        <w:rPr>
          <w:rFonts w:cs="Calibri"/>
          <w:szCs w:val="22"/>
        </w:rPr>
        <w:t xml:space="preserve">. </w:t>
      </w:r>
      <w:r w:rsidRPr="00DD7BD1">
        <w:rPr>
          <w:rFonts w:cs="Calibri"/>
          <w:color w:val="auto"/>
          <w:szCs w:val="22"/>
        </w:rPr>
        <w:t>First-quarter premiums using the new rate are due by the end of April 2025. Employers may not retroactively withhold premiums from employees.</w:t>
      </w:r>
    </w:p>
    <w:p w14:paraId="07B4C2A5" w14:textId="77777777" w:rsidR="000B6BCC" w:rsidRPr="00DD7BD1" w:rsidRDefault="000B6BCC" w:rsidP="000B6BCC">
      <w:pPr>
        <w:pStyle w:val="SubHeader"/>
        <w:rPr>
          <w:rFonts w:cs="Calibri"/>
          <w:bCs/>
          <w:sz w:val="22"/>
          <w:szCs w:val="22"/>
        </w:rPr>
      </w:pPr>
      <w:r w:rsidRPr="00DD7BD1">
        <w:rPr>
          <w:rFonts w:cs="Calibri"/>
          <w:bCs/>
          <w:sz w:val="22"/>
          <w:szCs w:val="22"/>
        </w:rPr>
        <w:t>2025 Premium Rate</w:t>
      </w:r>
    </w:p>
    <w:p w14:paraId="3C9BFB59" w14:textId="77777777" w:rsidR="000B6BCC" w:rsidRPr="00DD7BD1" w:rsidRDefault="000B6BCC" w:rsidP="000B6BCC">
      <w:pPr>
        <w:pStyle w:val="BodyText"/>
        <w:rPr>
          <w:rFonts w:cs="Calibri"/>
          <w:color w:val="auto"/>
          <w:szCs w:val="22"/>
        </w:rPr>
      </w:pPr>
      <w:r w:rsidRPr="00DD7BD1">
        <w:rPr>
          <w:rFonts w:cs="Calibri"/>
          <w:color w:val="auto"/>
          <w:szCs w:val="22"/>
        </w:rPr>
        <w:t>Starting Jan. 1, 2025, the PFML premium rate will be</w:t>
      </w:r>
      <w:r w:rsidRPr="00DD7BD1">
        <w:rPr>
          <w:rStyle w:val="Strong"/>
          <w:rFonts w:cs="Calibri"/>
          <w:b w:val="0"/>
          <w:color w:val="auto"/>
          <w:szCs w:val="22"/>
        </w:rPr>
        <w:t xml:space="preserve"> 0.92%</w:t>
      </w:r>
      <w:r w:rsidRPr="00DD7BD1">
        <w:rPr>
          <w:rFonts w:cs="Calibri"/>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DD7BD1" w:rsidRDefault="000B6BCC" w:rsidP="000B6BCC">
      <w:pPr>
        <w:pStyle w:val="BodyText"/>
        <w:rPr>
          <w:rFonts w:cs="Calibri"/>
          <w:color w:val="auto"/>
          <w:szCs w:val="22"/>
        </w:rPr>
      </w:pPr>
      <w:r w:rsidRPr="00DD7BD1">
        <w:rPr>
          <w:rFonts w:cs="Calibri"/>
          <w:color w:val="auto"/>
          <w:szCs w:val="22"/>
        </w:rPr>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Pr="00DD7BD1" w:rsidRDefault="000B6BCC" w:rsidP="000B6BCC">
      <w:pPr>
        <w:pStyle w:val="SubHeader"/>
        <w:rPr>
          <w:rFonts w:cs="Calibri"/>
          <w:b w:val="0"/>
          <w:sz w:val="22"/>
          <w:szCs w:val="22"/>
        </w:rPr>
      </w:pPr>
      <w:r w:rsidRPr="00DD7BD1">
        <w:rPr>
          <w:rFonts w:cs="Calibri"/>
          <w:bCs/>
          <w:color w:val="auto"/>
          <w:sz w:val="22"/>
          <w:szCs w:val="22"/>
        </w:rPr>
        <w:t xml:space="preserve">Employer Resources </w:t>
      </w:r>
      <w:r w:rsidRPr="00DD7BD1">
        <w:rPr>
          <w:rFonts w:cs="Calibri"/>
          <w:b w:val="0"/>
          <w:color w:val="auto"/>
          <w:sz w:val="22"/>
          <w:szCs w:val="22"/>
        </w:rPr>
        <w:t xml:space="preserve">An employer toolkit, mandatory poster and paycheck insert are available on the state PFML </w:t>
      </w:r>
      <w:hyperlink r:id="rId1001" w:history="1">
        <w:r w:rsidRPr="00DD7BD1">
          <w:rPr>
            <w:rStyle w:val="Hyperlink"/>
            <w:rFonts w:cs="Calibri"/>
            <w:b w:val="0"/>
            <w:sz w:val="22"/>
            <w:szCs w:val="22"/>
          </w:rPr>
          <w:t>website</w:t>
        </w:r>
      </w:hyperlink>
      <w:r w:rsidRPr="00DD7BD1">
        <w:rPr>
          <w:rFonts w:cs="Calibri"/>
          <w:b w:val="0"/>
          <w:sz w:val="22"/>
          <w:szCs w:val="22"/>
        </w:rPr>
        <w:t xml:space="preserve">. </w:t>
      </w:r>
    </w:p>
    <w:p w14:paraId="71F8473E" w14:textId="77777777" w:rsidR="000B6BCC" w:rsidRPr="00DD7BD1" w:rsidRDefault="000B6BCC" w:rsidP="004B7569">
      <w:pPr>
        <w:spacing w:after="0" w:line="240" w:lineRule="auto"/>
        <w:jc w:val="center"/>
        <w:rPr>
          <w:rFonts w:ascii="Calibri" w:hAnsi="Calibri" w:cs="Calibri"/>
          <w:b/>
          <w:bCs/>
          <w:shd w:val="clear" w:color="auto" w:fill="FFFFFF"/>
          <w:lang w:val="en"/>
        </w:rPr>
      </w:pPr>
    </w:p>
    <w:p w14:paraId="4B8F5C61" w14:textId="38034EF1"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Local Changes &amp; Regulatory Enactments – July 1</w:t>
      </w:r>
    </w:p>
    <w:p w14:paraId="55D7CB7B"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LOCAL MINIMUM WAGE INCREASES</w:t>
      </w:r>
      <w:r w:rsidRPr="00DD7BD1">
        <w:rPr>
          <w:rFonts w:ascii="Calibri" w:eastAsia="Times New Roman" w:hAnsi="Calibri" w:cs="Calibri"/>
        </w:rPr>
        <w:br/>
        <w:t>The following minimum wage increases are effective July 1, 2024.</w:t>
      </w:r>
    </w:p>
    <w:p w14:paraId="52A60A25"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Tukwila</w:t>
      </w:r>
    </w:p>
    <w:p w14:paraId="46E00CD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1C58DD4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$19.29 per hour</w:t>
      </w:r>
    </w:p>
    <w:p w14:paraId="182D0851"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12A4CF04"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w:t>
      </w:r>
    </w:p>
    <w:p w14:paraId="57A679C9"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289AE9BD"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$18.29 per hour</w:t>
      </w:r>
    </w:p>
    <w:p w14:paraId="5A05C9B5"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2B17FAA0"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For both cities, </w:t>
      </w:r>
      <w:r w:rsidRPr="00DD7BD1">
        <w:rPr>
          <w:rFonts w:ascii="Calibri" w:eastAsia="Times New Roman" w:hAnsi="Calibri" w:cs="Calibri"/>
          <w:i/>
          <w:iCs/>
        </w:rPr>
        <w:t>Large Employers </w:t>
      </w:r>
      <w:r w:rsidRPr="00DD7BD1">
        <w:rPr>
          <w:rFonts w:ascii="Calibri" w:eastAsia="Times New Roman" w:hAnsi="Calibri" w:cs="Calibri"/>
        </w:rPr>
        <w:t>are defined as those with more than 500 employees worldwide, and all franchisees associated with a franchise that employs more than 500 employees combined. </w:t>
      </w:r>
      <w:r w:rsidRPr="00DD7BD1">
        <w:rPr>
          <w:rFonts w:ascii="Calibri" w:eastAsia="Times New Roman" w:hAnsi="Calibri" w:cs="Calibri"/>
          <w:i/>
          <w:iCs/>
        </w:rPr>
        <w:t>Mid-Size Employers </w:t>
      </w:r>
      <w:r w:rsidRPr="00DD7BD1">
        <w:rPr>
          <w:rFonts w:ascii="Calibri" w:eastAsia="Times New Roman" w:hAnsi="Calibri" w:cs="Calibri"/>
        </w:rPr>
        <w:t>are those with 15–500 employees or that have annual gross revenue of over $2 million generated within city limits.</w:t>
      </w:r>
    </w:p>
    <w:p w14:paraId="51F685BE"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71E07903" w14:textId="6ADB47A3"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 Extra Hour Offerings</w:t>
      </w:r>
      <w:r w:rsidRPr="00DD7BD1">
        <w:rPr>
          <w:rFonts w:ascii="Calibri" w:eastAsia="Times New Roman" w:hAnsi="Calibri" w:cs="Calibri"/>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DD7BD1" w:rsidRDefault="004B7569" w:rsidP="004B7569">
      <w:pPr>
        <w:shd w:val="clear" w:color="auto" w:fill="FFFFFF"/>
        <w:spacing w:after="0" w:line="240" w:lineRule="auto"/>
        <w:rPr>
          <w:rFonts w:ascii="Calibri" w:eastAsia="Times New Roman" w:hAnsi="Calibri" w:cs="Calibri"/>
          <w:sz w:val="20"/>
          <w:szCs w:val="20"/>
        </w:rPr>
      </w:pPr>
    </w:p>
    <w:p w14:paraId="310A564A" w14:textId="684D2064" w:rsidR="00746F77" w:rsidRPr="00DD7BD1" w:rsidRDefault="00746F77" w:rsidP="00746F7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Employee Free Choice Act</w:t>
      </w:r>
    </w:p>
    <w:p w14:paraId="749D2E45" w14:textId="77777777" w:rsidR="00746F77" w:rsidRPr="00DD7BD1" w:rsidRDefault="00746F77" w:rsidP="00746F77">
      <w:pPr>
        <w:spacing w:after="0" w:line="240" w:lineRule="auto"/>
        <w:rPr>
          <w:rFonts w:ascii="Calibri" w:hAnsi="Calibri" w:cs="Calibri"/>
        </w:rPr>
      </w:pPr>
      <w:r w:rsidRPr="00DD7BD1">
        <w:rPr>
          <w:rFonts w:ascii="Calibri" w:hAnsi="Calibri" w:cs="Calibri"/>
        </w:rPr>
        <w:t xml:space="preserve">On March 28, 2024, Washington state enacted the </w:t>
      </w:r>
      <w:hyperlink r:id="rId1002" w:history="1">
        <w:r w:rsidRPr="00DD7BD1">
          <w:rPr>
            <w:rStyle w:val="Hyperlink"/>
            <w:rFonts w:ascii="Calibri" w:hAnsi="Calibri" w:cs="Calibri"/>
          </w:rPr>
          <w:t>Employee Free Choice Act</w:t>
        </w:r>
      </w:hyperlink>
      <w:r w:rsidRPr="00DD7BD1">
        <w:rPr>
          <w:rFonts w:ascii="Calibri" w:hAnsi="Calibri" w:cs="Calibri"/>
        </w:rPr>
        <w:t xml:space="preserve"> to protect workers from retaliation for refusing to attend meetings or listen to their employer’s speech on religious or political matters, including speech regarding labor unions. The law takes effect on </w:t>
      </w:r>
      <w:r w:rsidRPr="00DD7BD1">
        <w:rPr>
          <w:rFonts w:ascii="Calibri" w:hAnsi="Calibri" w:cs="Calibri"/>
          <w:b/>
          <w:bCs/>
          <w:color w:val="C00000"/>
        </w:rPr>
        <w:t>June 6, 2024</w:t>
      </w:r>
      <w:r w:rsidRPr="00DD7BD1">
        <w:rPr>
          <w:rFonts w:ascii="Calibri" w:hAnsi="Calibri" w:cs="Calibri"/>
        </w:rPr>
        <w:t>.</w:t>
      </w:r>
    </w:p>
    <w:p w14:paraId="4D0501A8" w14:textId="77777777" w:rsidR="00746F77" w:rsidRPr="00DD7BD1" w:rsidRDefault="00746F77" w:rsidP="00746F77">
      <w:pPr>
        <w:spacing w:after="0" w:line="240" w:lineRule="auto"/>
        <w:rPr>
          <w:rFonts w:ascii="Calibri" w:hAnsi="Calibri" w:cs="Calibri"/>
          <w:sz w:val="16"/>
          <w:szCs w:val="16"/>
        </w:rPr>
      </w:pPr>
    </w:p>
    <w:p w14:paraId="541D55C8" w14:textId="77777777" w:rsidR="00746F77" w:rsidRPr="00DD7BD1" w:rsidRDefault="00746F77" w:rsidP="00746F77">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w:t>
      </w:r>
      <w:r w:rsidRPr="00DD7BD1">
        <w:rPr>
          <w:rFonts w:ascii="Calibri" w:eastAsia="Times New Roman" w:hAnsi="Calibri" w:cs="Calibri"/>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DD7BD1" w:rsidRDefault="00746F77" w:rsidP="00746F77">
      <w:pPr>
        <w:spacing w:after="0" w:line="240" w:lineRule="auto"/>
        <w:rPr>
          <w:rFonts w:ascii="Calibri" w:hAnsi="Calibri" w:cs="Calibri"/>
          <w:sz w:val="16"/>
          <w:szCs w:val="16"/>
        </w:rPr>
      </w:pPr>
    </w:p>
    <w:p w14:paraId="764ED684" w14:textId="77777777" w:rsidR="00746F77" w:rsidRPr="00DD7BD1" w:rsidRDefault="00746F77" w:rsidP="00746F77">
      <w:pPr>
        <w:spacing w:after="0" w:line="240" w:lineRule="auto"/>
        <w:rPr>
          <w:rFonts w:ascii="Calibri" w:hAnsi="Calibri" w:cs="Calibri"/>
          <w:b/>
          <w:bCs/>
          <w:highlight w:val="lightGray"/>
        </w:rPr>
      </w:pPr>
      <w:r w:rsidRPr="00DD7BD1">
        <w:rPr>
          <w:rFonts w:ascii="Calibri" w:hAnsi="Calibri" w:cs="Calibri"/>
          <w:b/>
          <w:bCs/>
          <w:highlight w:val="lightGray"/>
        </w:rPr>
        <w:t>Learn More:</w:t>
      </w:r>
    </w:p>
    <w:p w14:paraId="498880D6" w14:textId="77777777" w:rsidR="00746F77" w:rsidRPr="00DD7BD1" w:rsidRDefault="00746F77" w:rsidP="00746F77">
      <w:pPr>
        <w:pStyle w:val="BodyText"/>
        <w:spacing w:after="0" w:line="240" w:lineRule="auto"/>
        <w:rPr>
          <w:rFonts w:cs="Calibri"/>
          <w:color w:val="auto"/>
        </w:rPr>
      </w:pPr>
      <w:r w:rsidRPr="00DD7BD1">
        <w:rPr>
          <w:rFonts w:cs="Calibri"/>
          <w:b/>
          <w:bCs/>
          <w:i/>
          <w:iCs/>
          <w:color w:val="auto"/>
        </w:rPr>
        <w:t>“Political matters</w:t>
      </w:r>
      <w:r w:rsidRPr="00DD7BD1">
        <w:rPr>
          <w:rFonts w:cs="Calibri"/>
          <w:color w:val="auto"/>
        </w:rPr>
        <w:t>” means matters regarding elections, political parties, proposals to change legislation or regulations, and the decision to join or support a labor organization.</w:t>
      </w:r>
    </w:p>
    <w:p w14:paraId="14C36763" w14:textId="77777777" w:rsidR="00746F77" w:rsidRPr="00DD7BD1" w:rsidRDefault="00746F77" w:rsidP="00746F77">
      <w:pPr>
        <w:pStyle w:val="BodyText"/>
        <w:spacing w:after="0" w:line="240" w:lineRule="auto"/>
        <w:rPr>
          <w:rFonts w:cs="Calibri"/>
          <w:color w:val="auto"/>
        </w:rPr>
      </w:pPr>
      <w:r w:rsidRPr="00DD7BD1">
        <w:rPr>
          <w:rFonts w:cs="Calibri"/>
          <w:color w:val="auto"/>
        </w:rPr>
        <w:t>“</w:t>
      </w:r>
      <w:r w:rsidRPr="00DD7BD1">
        <w:rPr>
          <w:rFonts w:cs="Calibri"/>
          <w:b/>
          <w:bCs/>
          <w:i/>
          <w:iCs/>
          <w:color w:val="auto"/>
        </w:rPr>
        <w:t>Religious matters</w:t>
      </w:r>
      <w:r w:rsidRPr="00DD7BD1">
        <w:rPr>
          <w:rFonts w:cs="Calibri"/>
          <w:color w:val="auto"/>
        </w:rPr>
        <w:t>” means matters regarding religious affiliation and practice, and the decision to join or support a religious organization.</w:t>
      </w:r>
    </w:p>
    <w:p w14:paraId="27620C0B" w14:textId="77777777" w:rsidR="00746F77" w:rsidRPr="00DD7BD1" w:rsidRDefault="00746F77" w:rsidP="00746F77">
      <w:pPr>
        <w:pStyle w:val="BodyText"/>
        <w:spacing w:after="0" w:line="240" w:lineRule="auto"/>
        <w:rPr>
          <w:rFonts w:cs="Calibri"/>
          <w:b/>
          <w:bCs/>
          <w:i/>
          <w:iCs/>
          <w:color w:val="auto"/>
          <w:sz w:val="16"/>
          <w:szCs w:val="16"/>
        </w:rPr>
      </w:pPr>
    </w:p>
    <w:p w14:paraId="7774DBFB" w14:textId="77777777" w:rsidR="00746F77" w:rsidRPr="00DD7BD1" w:rsidRDefault="00746F77" w:rsidP="00746F77">
      <w:pPr>
        <w:pStyle w:val="BodyText"/>
        <w:spacing w:after="0" w:line="240" w:lineRule="auto"/>
        <w:rPr>
          <w:rFonts w:cs="Calibri"/>
          <w:b/>
          <w:bCs/>
          <w:i/>
          <w:iCs/>
          <w:color w:val="auto"/>
        </w:rPr>
      </w:pPr>
      <w:r w:rsidRPr="00DD7BD1">
        <w:rPr>
          <w:rFonts w:cs="Calibri"/>
          <w:b/>
          <w:bCs/>
          <w:i/>
          <w:iCs/>
          <w:color w:val="auto"/>
        </w:rPr>
        <w:t>Prohibitions</w:t>
      </w:r>
    </w:p>
    <w:p w14:paraId="59283227" w14:textId="77777777" w:rsidR="00746F77" w:rsidRPr="00DD7BD1" w:rsidRDefault="00746F77" w:rsidP="00746F77">
      <w:pPr>
        <w:pStyle w:val="BodyText"/>
        <w:spacing w:after="0" w:line="240" w:lineRule="auto"/>
        <w:rPr>
          <w:rFonts w:cs="Calibri"/>
          <w:color w:val="auto"/>
        </w:rPr>
      </w:pPr>
      <w:r w:rsidRPr="00DD7BD1">
        <w:rPr>
          <w:rFonts w:cs="Calibri"/>
          <w:color w:val="auto"/>
        </w:rPr>
        <w:t>The new law prohibits employers from disciplining, discharging or otherwise penalizing an employee for:</w:t>
      </w:r>
    </w:p>
    <w:p w14:paraId="7618F9AD" w14:textId="77777777" w:rsidR="00746F77" w:rsidRPr="00DD7BD1" w:rsidRDefault="00746F77" w:rsidP="00746F77">
      <w:pPr>
        <w:pStyle w:val="Bullet"/>
        <w:spacing w:line="240" w:lineRule="auto"/>
        <w:rPr>
          <w:rFonts w:cs="Calibri"/>
          <w:color w:val="auto"/>
        </w:rPr>
      </w:pPr>
      <w:r w:rsidRPr="00DD7BD1">
        <w:rPr>
          <w:rFonts w:cs="Calibri"/>
          <w:color w:val="auto"/>
        </w:rPr>
        <w:t>Refusing to attend or participate in employer-sponsored meetings where the primary purpose is to communicate the employer’s religious or political opinions;</w:t>
      </w:r>
    </w:p>
    <w:p w14:paraId="372F5730" w14:textId="77777777" w:rsidR="00746F77" w:rsidRPr="00DD7BD1" w:rsidRDefault="00746F77" w:rsidP="00746F77">
      <w:pPr>
        <w:pStyle w:val="Bullet"/>
        <w:spacing w:line="240" w:lineRule="auto"/>
        <w:rPr>
          <w:rFonts w:cs="Calibri"/>
          <w:color w:val="auto"/>
        </w:rPr>
      </w:pPr>
      <w:r w:rsidRPr="00DD7BD1">
        <w:rPr>
          <w:rFonts w:cs="Calibri"/>
          <w:color w:val="auto"/>
        </w:rPr>
        <w:t>Refusing to listen to speech or view communications (including electronic communications) where the primary purpose is to communicate the employer’s religious or political opinions; and</w:t>
      </w:r>
    </w:p>
    <w:p w14:paraId="2E30914C" w14:textId="77777777" w:rsidR="00746F77" w:rsidRPr="00DD7BD1" w:rsidRDefault="00746F77" w:rsidP="00746F77">
      <w:pPr>
        <w:pStyle w:val="Bullet"/>
        <w:spacing w:line="240" w:lineRule="auto"/>
        <w:rPr>
          <w:rFonts w:cs="Calibri"/>
          <w:color w:val="auto"/>
        </w:rPr>
      </w:pPr>
      <w:r w:rsidRPr="00DD7BD1">
        <w:rPr>
          <w:rFonts w:cs="Calibri"/>
          <w:color w:val="auto"/>
        </w:rPr>
        <w:t>Making a good faith report of a suspected violation of the new law</w:t>
      </w:r>
    </w:p>
    <w:p w14:paraId="1842E7AE" w14:textId="77777777" w:rsidR="00746F77" w:rsidRPr="00DD7BD1" w:rsidRDefault="00746F77" w:rsidP="00746F77">
      <w:pPr>
        <w:pStyle w:val="BodyText"/>
        <w:spacing w:after="0" w:line="240" w:lineRule="auto"/>
        <w:rPr>
          <w:rFonts w:cs="Calibri"/>
          <w:color w:val="auto"/>
          <w:sz w:val="16"/>
          <w:szCs w:val="16"/>
        </w:rPr>
      </w:pPr>
    </w:p>
    <w:p w14:paraId="59BEB43C"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The law does </w:t>
      </w:r>
      <w:r w:rsidRPr="00DD7BD1">
        <w:rPr>
          <w:rFonts w:cs="Calibri"/>
          <w:b/>
          <w:bCs/>
          <w:color w:val="auto"/>
        </w:rPr>
        <w:t>not</w:t>
      </w:r>
      <w:r w:rsidRPr="00DD7BD1">
        <w:rPr>
          <w:rFonts w:cs="Calibri"/>
          <w:color w:val="auto"/>
        </w:rPr>
        <w:t xml:space="preserve"> prohibit employers from:</w:t>
      </w:r>
    </w:p>
    <w:p w14:paraId="04153A37"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that the employer is legally required to communicate;</w:t>
      </w:r>
    </w:p>
    <w:p w14:paraId="3D671058" w14:textId="77777777" w:rsidR="00746F77" w:rsidRPr="00DD7BD1" w:rsidRDefault="00746F77" w:rsidP="00746F77">
      <w:pPr>
        <w:pStyle w:val="Bullet"/>
        <w:spacing w:line="240" w:lineRule="auto"/>
        <w:rPr>
          <w:rFonts w:cs="Calibri"/>
          <w:color w:val="auto"/>
        </w:rPr>
      </w:pPr>
      <w:r w:rsidRPr="00DD7BD1">
        <w:rPr>
          <w:rFonts w:cs="Calibri"/>
          <w:color w:val="auto"/>
        </w:rPr>
        <w:t>Offering voluntary meetings, forums or communications about religious or political matters;</w:t>
      </w:r>
    </w:p>
    <w:p w14:paraId="35EADAEF"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or requiring attendance at meetings necessary for the employee to perform their job duties; or</w:t>
      </w:r>
    </w:p>
    <w:p w14:paraId="0DDDC9EF" w14:textId="77777777" w:rsidR="00746F77" w:rsidRPr="00DD7BD1" w:rsidRDefault="00746F77" w:rsidP="00746F77">
      <w:pPr>
        <w:pStyle w:val="Bullet"/>
        <w:spacing w:line="240" w:lineRule="auto"/>
        <w:rPr>
          <w:rFonts w:cs="Calibri"/>
          <w:color w:val="auto"/>
        </w:rPr>
      </w:pPr>
      <w:r w:rsidRPr="00DD7BD1">
        <w:rPr>
          <w:rFonts w:cs="Calibri"/>
          <w:color w:val="auto"/>
        </w:rPr>
        <w:t xml:space="preserve">Requiring attendance at any training to reduce and prevent workplace harassment or discrimination. </w:t>
      </w:r>
    </w:p>
    <w:p w14:paraId="109897C4" w14:textId="77777777" w:rsidR="00746F77" w:rsidRPr="00DD7BD1" w:rsidRDefault="00746F77" w:rsidP="00746F77">
      <w:pPr>
        <w:pStyle w:val="Bullet"/>
        <w:numPr>
          <w:ilvl w:val="0"/>
          <w:numId w:val="0"/>
        </w:numPr>
        <w:spacing w:line="240" w:lineRule="auto"/>
        <w:ind w:left="360" w:hanging="360"/>
        <w:rPr>
          <w:rFonts w:cs="Calibri"/>
          <w:color w:val="auto"/>
          <w:sz w:val="16"/>
          <w:szCs w:val="16"/>
        </w:rPr>
      </w:pPr>
    </w:p>
    <w:p w14:paraId="4902E7AF"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Workplace Notice</w:t>
      </w:r>
    </w:p>
    <w:p w14:paraId="0F7F083B" w14:textId="77777777" w:rsidR="00746F77" w:rsidRPr="00DD7BD1" w:rsidRDefault="00746F77" w:rsidP="00746F77">
      <w:pPr>
        <w:pStyle w:val="Bullet"/>
        <w:numPr>
          <w:ilvl w:val="0"/>
          <w:numId w:val="0"/>
        </w:numPr>
        <w:spacing w:line="240" w:lineRule="auto"/>
        <w:ind w:left="180"/>
        <w:rPr>
          <w:rFonts w:cs="Calibri"/>
          <w:color w:val="auto"/>
        </w:rPr>
      </w:pPr>
      <w:r w:rsidRPr="00DD7BD1">
        <w:rPr>
          <w:rFonts w:cs="Calibri"/>
          <w:color w:val="auto"/>
        </w:rPr>
        <w:t xml:space="preserve">Employer must post a notice of employee rights under the new law in a place that is normally reserved for employment-related notices and commonly frequented by employees.  One the Notice is released, ETC will notify employers </w:t>
      </w:r>
    </w:p>
    <w:p w14:paraId="176B893E" w14:textId="77777777" w:rsidR="00746F77" w:rsidRPr="00DD7BD1" w:rsidRDefault="00746F77" w:rsidP="00746F77">
      <w:pPr>
        <w:pStyle w:val="Bullet"/>
        <w:numPr>
          <w:ilvl w:val="0"/>
          <w:numId w:val="0"/>
        </w:numPr>
        <w:spacing w:line="240" w:lineRule="auto"/>
        <w:ind w:left="720" w:hanging="360"/>
        <w:rPr>
          <w:rFonts w:cs="Calibri"/>
          <w:color w:val="auto"/>
          <w:sz w:val="16"/>
          <w:szCs w:val="16"/>
        </w:rPr>
      </w:pPr>
    </w:p>
    <w:p w14:paraId="137CBFC8"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Penalties for Noncompliance</w:t>
      </w:r>
    </w:p>
    <w:p w14:paraId="35415262" w14:textId="584F682D" w:rsidR="002006C2" w:rsidRPr="00DD7BD1" w:rsidRDefault="00746F77" w:rsidP="00EB4ABB">
      <w:pPr>
        <w:pStyle w:val="BodyText"/>
        <w:rPr>
          <w:rFonts w:cs="Calibri"/>
          <w:color w:val="auto"/>
        </w:rPr>
      </w:pPr>
      <w:r w:rsidRPr="00DD7BD1">
        <w:rPr>
          <w:rFonts w:cs="Calibri"/>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47" w:name="_Hlk170459101"/>
    </w:p>
    <w:p w14:paraId="62DD4204" w14:textId="6792865A" w:rsidR="00EB4ABB" w:rsidRPr="00DD7BD1" w:rsidRDefault="00EB4ABB" w:rsidP="00EB4ABB">
      <w:pPr>
        <w:pStyle w:val="NormalWeb"/>
        <w:shd w:val="clear" w:color="auto" w:fill="FFFFFF"/>
        <w:spacing w:before="0" w:beforeAutospacing="0" w:after="0" w:afterAutospacing="0"/>
        <w:jc w:val="center"/>
        <w:rPr>
          <w:rFonts w:ascii="Calibri" w:eastAsiaTheme="minorHAnsi" w:hAnsi="Calibri" w:cs="Calibri"/>
          <w:b/>
          <w:bCs/>
          <w:sz w:val="28"/>
          <w:szCs w:val="28"/>
          <w:shd w:val="clear" w:color="auto" w:fill="FFFFFF"/>
          <w:lang w:val="en"/>
        </w:rPr>
      </w:pPr>
      <w:r w:rsidRPr="00DD7BD1">
        <w:rPr>
          <w:rFonts w:ascii="Calibri" w:eastAsiaTheme="minorHAnsi" w:hAnsi="Calibri" w:cs="Calibri"/>
          <w:b/>
          <w:bCs/>
          <w:sz w:val="28"/>
          <w:szCs w:val="28"/>
          <w:shd w:val="clear" w:color="auto" w:fill="FFFFFF"/>
          <w:lang w:val="en"/>
        </w:rPr>
        <w:t>State</w:t>
      </w:r>
      <w:r w:rsidRPr="00DD7BD1">
        <w:rPr>
          <w:rFonts w:ascii="Calibri" w:eastAsiaTheme="minorHAnsi" w:hAnsi="Calibri" w:cs="Calibri"/>
          <w:b/>
          <w:bCs/>
          <w:color w:val="C00000"/>
          <w:sz w:val="28"/>
          <w:szCs w:val="28"/>
          <w:shd w:val="clear" w:color="auto" w:fill="FFFFFF"/>
          <w:lang w:val="en"/>
        </w:rPr>
        <w:t xml:space="preserve"> </w:t>
      </w:r>
      <w:r w:rsidRPr="00DD7BD1">
        <w:rPr>
          <w:rFonts w:ascii="Calibri" w:eastAsiaTheme="minorHAnsi" w:hAnsi="Calibri" w:cs="Calibri"/>
          <w:b/>
          <w:bCs/>
          <w:sz w:val="28"/>
          <w:szCs w:val="28"/>
          <w:shd w:val="clear" w:color="auto" w:fill="FFFFFF"/>
          <w:lang w:val="en"/>
        </w:rPr>
        <w:t>Law Expands and Clarifies Non-Compete Statute</w:t>
      </w:r>
    </w:p>
    <w:p w14:paraId="53330E2F" w14:textId="591BC327" w:rsidR="00EB4ABB" w:rsidRPr="00DD7BD1" w:rsidRDefault="00EB4ABB" w:rsidP="00EB4ABB">
      <w:pPr>
        <w:pStyle w:val="NormalWeb"/>
        <w:shd w:val="clear" w:color="auto" w:fill="FFFFFF"/>
        <w:spacing w:before="0" w:beforeAutospacing="0" w:after="0" w:afterAutospacing="0"/>
        <w:jc w:val="both"/>
        <w:rPr>
          <w:rFonts w:ascii="Calibri" w:hAnsi="Calibri" w:cs="Calibri"/>
          <w:sz w:val="23"/>
          <w:szCs w:val="23"/>
        </w:rPr>
      </w:pPr>
      <w:r w:rsidRPr="00DD7BD1">
        <w:rPr>
          <w:rFonts w:ascii="Calibri" w:hAnsi="Calibri" w:cs="Calibri"/>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DD7BD1">
        <w:rPr>
          <w:rFonts w:ascii="Calibri" w:hAnsi="Calibri" w:cs="Calibri"/>
          <w:color w:val="C00000"/>
          <w:sz w:val="23"/>
          <w:szCs w:val="23"/>
        </w:rPr>
        <w:t>June 6, 2024</w:t>
      </w:r>
      <w:r w:rsidRPr="00DD7BD1">
        <w:rPr>
          <w:rFonts w:ascii="Calibri" w:hAnsi="Calibri" w:cs="Calibri"/>
          <w:color w:val="333333"/>
          <w:sz w:val="23"/>
          <w:szCs w:val="23"/>
        </w:rPr>
        <w:t xml:space="preserve">. </w:t>
      </w:r>
      <w:r w:rsidRPr="00DD7BD1">
        <w:rPr>
          <w:rFonts w:ascii="Calibri" w:hAnsi="Calibri" w:cs="Calibri"/>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DD7BD1">
        <w:rPr>
          <w:rFonts w:ascii="Calibri" w:hAnsi="Calibri" w:cs="Calibri"/>
          <w:sz w:val="23"/>
          <w:szCs w:val="23"/>
          <w:vertAlign w:val="superscript"/>
        </w:rPr>
        <w:t>th</w:t>
      </w:r>
      <w:r w:rsidRPr="00DD7BD1">
        <w:rPr>
          <w:rFonts w:ascii="Calibri" w:hAnsi="Calibri" w:cs="Calibri"/>
          <w:sz w:val="23"/>
          <w:szCs w:val="23"/>
        </w:rPr>
        <w:t xml:space="preserve"> Publication </w:t>
      </w:r>
      <w:hyperlink r:id="rId1003" w:history="1">
        <w:r w:rsidRPr="00DD7BD1">
          <w:rPr>
            <w:rStyle w:val="Hyperlink"/>
            <w:rFonts w:ascii="Calibri" w:hAnsi="Calibri" w:cs="Calibri"/>
            <w:sz w:val="23"/>
            <w:szCs w:val="23"/>
          </w:rPr>
          <w:t>HERE</w:t>
        </w:r>
      </w:hyperlink>
      <w:r w:rsidRPr="00DD7BD1">
        <w:rPr>
          <w:rFonts w:ascii="Calibri" w:hAnsi="Calibri" w:cs="Calibri"/>
          <w:color w:val="333333"/>
          <w:sz w:val="23"/>
          <w:szCs w:val="23"/>
        </w:rPr>
        <w:t xml:space="preserve"> </w:t>
      </w:r>
      <w:r w:rsidRPr="00DD7BD1">
        <w:rPr>
          <w:rFonts w:ascii="Calibri" w:hAnsi="Calibri" w:cs="Calibri"/>
          <w:sz w:val="23"/>
          <w:szCs w:val="23"/>
        </w:rPr>
        <w:t>to learn more</w:t>
      </w:r>
    </w:p>
    <w:p w14:paraId="293DAC74" w14:textId="77777777" w:rsidR="00EB4ABB" w:rsidRPr="00DD7BD1" w:rsidRDefault="00EB4ABB" w:rsidP="00EB4ABB">
      <w:pPr>
        <w:pStyle w:val="NormalWeb"/>
        <w:shd w:val="clear" w:color="auto" w:fill="FFFFFF"/>
        <w:spacing w:before="0" w:beforeAutospacing="0" w:after="0" w:afterAutospacing="0"/>
        <w:jc w:val="both"/>
        <w:rPr>
          <w:rFonts w:ascii="Calibri" w:hAnsi="Calibri" w:cs="Calibri"/>
          <w:sz w:val="16"/>
          <w:szCs w:val="16"/>
        </w:rPr>
      </w:pPr>
    </w:p>
    <w:p w14:paraId="5F838746" w14:textId="54E6E3A2" w:rsidR="00746F77" w:rsidRPr="00DD7BD1" w:rsidRDefault="00746F77" w:rsidP="00746F77">
      <w:pPr>
        <w:pStyle w:val="MainTitle"/>
        <w:jc w:val="center"/>
        <w:rPr>
          <w:rFonts w:ascii="Calibri" w:hAnsi="Calibri" w:cs="Calibri"/>
          <w:bCs/>
          <w:color w:val="auto"/>
          <w:sz w:val="28"/>
          <w:szCs w:val="28"/>
          <w:shd w:val="clear" w:color="auto" w:fill="FFFFFF"/>
          <w:lang w:val="en"/>
        </w:rPr>
      </w:pPr>
      <w:r w:rsidRPr="00DD7BD1">
        <w:rPr>
          <w:rFonts w:ascii="Calibri" w:hAnsi="Calibri" w:cs="Calibri"/>
          <w:bCs/>
          <w:color w:val="auto"/>
          <w:sz w:val="28"/>
          <w:szCs w:val="28"/>
          <w:shd w:val="clear" w:color="auto" w:fill="FFFFFF"/>
          <w:lang w:val="en"/>
        </w:rPr>
        <w:t>State Expands Paid Sick Leave</w:t>
      </w:r>
    </w:p>
    <w:p w14:paraId="53E97560"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On March 28, 2024, Washington Gov. Jay Inslee signed into law a </w:t>
      </w:r>
      <w:hyperlink r:id="rId1004" w:history="1">
        <w:r w:rsidRPr="00DD7BD1">
          <w:rPr>
            <w:rStyle w:val="Hyperlink"/>
            <w:rFonts w:cs="Calibri"/>
          </w:rPr>
          <w:t>bill</w:t>
        </w:r>
      </w:hyperlink>
      <w:r w:rsidRPr="00DD7BD1">
        <w:rPr>
          <w:rFonts w:cs="Calibri"/>
        </w:rPr>
        <w:t xml:space="preserve"> </w:t>
      </w:r>
      <w:r w:rsidRPr="00DD7BD1">
        <w:rPr>
          <w:rFonts w:cs="Calibri"/>
          <w:color w:val="auto"/>
        </w:rPr>
        <w:t xml:space="preserve">expanding the definition of “family member” in the state’s paid sick leave law and adding to the qualified reasons for leave under the law. The changes take effect </w:t>
      </w:r>
      <w:r w:rsidRPr="00DD7BD1">
        <w:rPr>
          <w:rFonts w:cs="Calibri"/>
          <w:color w:val="C00000"/>
        </w:rPr>
        <w:t>January 1, 2025</w:t>
      </w:r>
      <w:r w:rsidRPr="00DD7BD1">
        <w:rPr>
          <w:rFonts w:cs="Calibri"/>
        </w:rPr>
        <w:t xml:space="preserve">.  </w:t>
      </w:r>
      <w:r w:rsidRPr="00DD7BD1">
        <w:rPr>
          <w:rFonts w:cs="Calibri"/>
          <w:color w:val="auto"/>
        </w:rPr>
        <w:t>More to comes closer to the effective date.</w:t>
      </w:r>
    </w:p>
    <w:p w14:paraId="3E48C1C3" w14:textId="77777777" w:rsidR="00746F77" w:rsidRPr="00DD7BD1" w:rsidRDefault="00746F77" w:rsidP="00746F77">
      <w:pPr>
        <w:pStyle w:val="BodyText"/>
        <w:spacing w:after="0" w:line="240" w:lineRule="auto"/>
        <w:rPr>
          <w:rFonts w:cs="Calibri"/>
          <w:color w:val="auto"/>
          <w:sz w:val="16"/>
          <w:szCs w:val="16"/>
        </w:rPr>
      </w:pPr>
    </w:p>
    <w:p w14:paraId="083E202C" w14:textId="77777777" w:rsidR="00746F77" w:rsidRPr="00DD7BD1" w:rsidRDefault="00746F77" w:rsidP="00746F77">
      <w:pPr>
        <w:pStyle w:val="BodyText"/>
        <w:spacing w:after="0" w:line="240" w:lineRule="auto"/>
        <w:rPr>
          <w:rFonts w:cs="Calibri"/>
          <w:b/>
          <w:bCs/>
          <w:color w:val="auto"/>
        </w:rPr>
      </w:pPr>
      <w:r w:rsidRPr="00DD7BD1">
        <w:rPr>
          <w:rFonts w:cs="Calibri"/>
          <w:b/>
          <w:bCs/>
          <w:color w:val="auto"/>
        </w:rPr>
        <w:t>Changes at a Glance:</w:t>
      </w:r>
    </w:p>
    <w:p w14:paraId="5264F2A7" w14:textId="4EA15C5A" w:rsidR="00746F77" w:rsidRPr="00DD7BD1" w:rsidRDefault="00746F77" w:rsidP="00746F77">
      <w:pPr>
        <w:pStyle w:val="Bullet"/>
        <w:spacing w:line="240" w:lineRule="auto"/>
        <w:rPr>
          <w:rFonts w:cs="Calibri"/>
          <w:color w:val="auto"/>
        </w:rPr>
      </w:pPr>
      <w:r w:rsidRPr="00DD7BD1">
        <w:rPr>
          <w:rFonts w:cs="Calibri"/>
          <w:color w:val="auto"/>
        </w:rPr>
        <w:t>Adds as “family members” individuals whose relationship with an employee creates an expectation of care from the employee</w:t>
      </w:r>
      <w:r w:rsidR="00C31FC5" w:rsidRPr="00DD7BD1">
        <w:rPr>
          <w:rFonts w:cs="Calibri"/>
          <w:color w:val="auto"/>
        </w:rPr>
        <w:t xml:space="preserve"> such as employee’s child’s spouse and an individual who resides in the employee’s home or depends on them for care.</w:t>
      </w:r>
    </w:p>
    <w:p w14:paraId="2A56F193" w14:textId="385DDA05" w:rsidR="00746F77" w:rsidRPr="00DD7BD1" w:rsidRDefault="00746F77" w:rsidP="00746F77">
      <w:pPr>
        <w:pStyle w:val="Bullet"/>
        <w:spacing w:line="240" w:lineRule="auto"/>
        <w:rPr>
          <w:rFonts w:cs="Calibri"/>
          <w:color w:val="auto"/>
        </w:rPr>
      </w:pPr>
      <w:r w:rsidRPr="00DD7BD1">
        <w:rPr>
          <w:rFonts w:cs="Calibri"/>
          <w:color w:val="auto"/>
        </w:rPr>
        <w:t>Allows employees to take leave for public emergency closures.</w:t>
      </w:r>
      <w:bookmarkEnd w:id="147"/>
      <w:r w:rsidR="00C31FC5" w:rsidRPr="00DD7BD1">
        <w:rPr>
          <w:rFonts w:cs="Calibri"/>
          <w:color w:val="auto"/>
        </w:rPr>
        <w:t xml:space="preserve">  So, Employees can now use paid sick leave when their workplace or their child’s school or place of care is closed due to any declared emergency, not just for health-related closures.</w:t>
      </w:r>
    </w:p>
    <w:p w14:paraId="1D5BD8CB" w14:textId="77777777" w:rsidR="00ED58D7" w:rsidRPr="00DD7BD1" w:rsidRDefault="00ED58D7" w:rsidP="00ED58D7">
      <w:pPr>
        <w:pStyle w:val="Bullet"/>
        <w:numPr>
          <w:ilvl w:val="0"/>
          <w:numId w:val="0"/>
        </w:numPr>
        <w:spacing w:line="240" w:lineRule="auto"/>
        <w:ind w:left="720"/>
        <w:rPr>
          <w:rFonts w:cs="Calibri"/>
          <w:color w:val="auto"/>
        </w:rPr>
      </w:pPr>
    </w:p>
    <w:p w14:paraId="27B2A1C0" w14:textId="749EA76C" w:rsidR="00194DFB" w:rsidRPr="00DD7BD1" w:rsidRDefault="00194DFB"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West Virginia</w:t>
      </w:r>
    </w:p>
    <w:p w14:paraId="248DD7E4" w14:textId="77777777" w:rsidR="00194DFB" w:rsidRPr="00DD7BD1" w:rsidRDefault="00194DFB" w:rsidP="00194DF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Regulatory Changes Effective </w:t>
      </w:r>
      <w:r w:rsidRPr="00DD7BD1">
        <w:rPr>
          <w:rFonts w:ascii="Calibri" w:hAnsi="Calibri" w:cs="Calibri"/>
          <w:b/>
          <w:bCs/>
          <w:color w:val="C00000"/>
          <w:sz w:val="28"/>
          <w:szCs w:val="28"/>
          <w:shd w:val="clear" w:color="auto" w:fill="FFFFFF"/>
        </w:rPr>
        <w:t>July 2025</w:t>
      </w:r>
    </w:p>
    <w:p w14:paraId="4748332F" w14:textId="54E7EC39"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HIRING PREFERENCES FOR MILITARY SPOUSES</w:t>
      </w:r>
      <w:r w:rsidRPr="00DD7BD1">
        <w:rPr>
          <w:rFonts w:ascii="Calibri" w:hAnsi="Calibri" w:cs="Calibri"/>
          <w:shd w:val="clear" w:color="auto" w:fill="FFFFFF"/>
        </w:rPr>
        <w:br/>
        <w:t xml:space="preserve">Starting </w:t>
      </w:r>
      <w:r w:rsidRPr="00DD7BD1">
        <w:rPr>
          <w:rFonts w:ascii="Calibri" w:hAnsi="Calibri" w:cs="Calibri"/>
          <w:color w:val="C00000"/>
          <w:shd w:val="clear" w:color="auto" w:fill="FFFFFF"/>
        </w:rPr>
        <w:t>July 9, 2025</w:t>
      </w:r>
      <w:r w:rsidRPr="00DD7BD1">
        <w:rPr>
          <w:rFonts w:ascii="Calibri" w:hAnsi="Calibri" w:cs="Calibri"/>
          <w:shd w:val="clear" w:color="auto" w:fill="FFFFFF"/>
        </w:rPr>
        <w:t xml:space="preserve">, employers </w:t>
      </w:r>
      <w:r w:rsidRPr="00DD7BD1">
        <w:rPr>
          <w:rFonts w:ascii="Calibri" w:hAnsi="Calibri" w:cs="Calibri"/>
          <w:b/>
          <w:bCs/>
          <w:shd w:val="clear" w:color="auto" w:fill="FFFFFF"/>
        </w:rPr>
        <w:t>can grant hiring preferences to a military spouse without violating the state Human Rights Act</w:t>
      </w:r>
      <w:r w:rsidRPr="00DD7BD1">
        <w:rPr>
          <w:rFonts w:ascii="Calibri" w:hAnsi="Calibri" w:cs="Calibri"/>
          <w:shd w:val="clear" w:color="auto" w:fill="FFFFFF"/>
        </w:rPr>
        <w:t>, provided the military spouse meets all the knowledge, skills, and eligibility requirements of the job.</w:t>
      </w:r>
    </w:p>
    <w:p w14:paraId="61898ACC" w14:textId="2AF00476"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WORK PERMIT REQUIREMENTS FOR CERTAIN MINORS</w:t>
      </w:r>
      <w:r w:rsidRPr="00DD7BD1">
        <w:rPr>
          <w:rFonts w:ascii="Calibri" w:hAnsi="Calibri" w:cs="Calibri"/>
          <w:shd w:val="clear" w:color="auto" w:fill="FFFFFF"/>
        </w:rPr>
        <w:br/>
        <w:t xml:space="preserve">Beginning </w:t>
      </w:r>
      <w:r w:rsidRPr="00DD7BD1">
        <w:rPr>
          <w:rFonts w:ascii="Calibri" w:hAnsi="Calibri" w:cs="Calibri"/>
          <w:color w:val="C00000"/>
          <w:shd w:val="clear" w:color="auto" w:fill="FFFFFF"/>
        </w:rPr>
        <w:t>July 11, 2025</w:t>
      </w:r>
      <w:r w:rsidRPr="00DD7BD1">
        <w:rPr>
          <w:rFonts w:ascii="Calibri" w:hAnsi="Calibri" w:cs="Calibri"/>
          <w:shd w:val="clear" w:color="auto" w:fill="FFFFFF"/>
        </w:rPr>
        <w:t xml:space="preserve">, West Virginia will allow minors that are ages 14 and 15 to work </w:t>
      </w:r>
      <w:r w:rsidRPr="00DD7BD1">
        <w:rPr>
          <w:rFonts w:ascii="Calibri" w:hAnsi="Calibri" w:cs="Calibri"/>
          <w:b/>
          <w:bCs/>
          <w:u w:val="single"/>
          <w:shd w:val="clear" w:color="auto" w:fill="FFFFFF"/>
        </w:rPr>
        <w:t>without</w:t>
      </w:r>
      <w:r w:rsidRPr="00DD7BD1">
        <w:rPr>
          <w:rFonts w:ascii="Calibri" w:hAnsi="Calibri" w:cs="Calibri"/>
          <w:shd w:val="clear" w:color="auto" w:fill="FFFFFF"/>
        </w:rPr>
        <w:t xml:space="preserve"> obtaining a permit. Instead, employers will be required to obtain the written consent of the minor’s parent, guardian, or custodian, and an age certificate issued by the State</w:t>
      </w:r>
    </w:p>
    <w:p w14:paraId="433660EE" w14:textId="77342D16" w:rsidR="00264A05" w:rsidRPr="00DD7BD1" w:rsidRDefault="00264A05"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Wisconsin</w:t>
      </w:r>
    </w:p>
    <w:p w14:paraId="6EC51ECD" w14:textId="77777777" w:rsidR="00264A05" w:rsidRPr="00DD7BD1" w:rsidRDefault="00264A05" w:rsidP="00264A05">
      <w:pPr>
        <w:jc w:val="center"/>
        <w:rPr>
          <w:rFonts w:ascii="Calibri" w:hAnsi="Calibri" w:cs="Calibri"/>
          <w:b/>
          <w:bCs/>
          <w:sz w:val="28"/>
          <w:szCs w:val="28"/>
          <w:shd w:val="clear" w:color="auto" w:fill="FFFFFF"/>
        </w:rPr>
      </w:pPr>
      <w:bookmarkStart w:id="148" w:name="_Hlk200977349"/>
      <w:r w:rsidRPr="00DD7BD1">
        <w:rPr>
          <w:rFonts w:ascii="Calibri" w:hAnsi="Calibri" w:cs="Calibri"/>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DD7BD1"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48"/>
          <w:p w14:paraId="5962C33F" w14:textId="78708F0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In a recent ruling, the Wisconsin Supreme Court held that the state’s arrest record discrimination protections, which cover employers of all sizes, apply to non-criminal offenses</w:t>
            </w:r>
            <w:r w:rsidRPr="00DD7BD1">
              <w:rPr>
                <w:rFonts w:ascii="Calibri" w:hAnsi="Calibri" w:cs="Calibri"/>
                <w:i/>
                <w:iCs/>
                <w:shd w:val="clear" w:color="auto" w:fill="FFFFFF"/>
              </w:rPr>
              <w:t>. Non-criminal offenses </w:t>
            </w:r>
            <w:r w:rsidRPr="00DD7BD1">
              <w:rPr>
                <w:rFonts w:ascii="Calibri" w:hAnsi="Calibri" w:cs="Calibri"/>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The Court’s decision is a straightforward interpretation of the statute’s broad language, defining </w:t>
            </w:r>
            <w:r w:rsidRPr="00DD7BD1">
              <w:rPr>
                <w:rFonts w:ascii="Calibri" w:hAnsi="Calibri" w:cs="Calibri"/>
                <w:b/>
                <w:bCs/>
                <w:i/>
                <w:iCs/>
                <w:shd w:val="clear" w:color="auto" w:fill="FFFFFF"/>
              </w:rPr>
              <w:t>arrest record</w:t>
            </w:r>
            <w:r w:rsidRPr="00DD7BD1">
              <w:rPr>
                <w:rFonts w:ascii="Calibri" w:hAnsi="Calibri" w:cs="Calibri"/>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DD7BD1" w:rsidRDefault="00264A05" w:rsidP="005F6B79">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Pr="00DD7BD1" w:rsidRDefault="00ED58D7"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Wyoming</w:t>
      </w:r>
    </w:p>
    <w:p w14:paraId="3524E93D" w14:textId="77777777" w:rsidR="00ED58D7" w:rsidRPr="00DD7BD1" w:rsidRDefault="00ED58D7" w:rsidP="00ED58D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OSHA Increases Civil Penalties – </w:t>
      </w:r>
      <w:r w:rsidRPr="00DD7BD1">
        <w:rPr>
          <w:rFonts w:ascii="Calibri" w:hAnsi="Calibri" w:cs="Calibri"/>
          <w:b/>
          <w:bCs/>
          <w:color w:val="C00000"/>
          <w:sz w:val="28"/>
          <w:szCs w:val="28"/>
          <w:shd w:val="clear" w:color="auto" w:fill="FFFFFF"/>
          <w:lang w:val="en"/>
        </w:rPr>
        <w:t>Eff July 2024</w:t>
      </w:r>
    </w:p>
    <w:p w14:paraId="6414A9E4" w14:textId="77777777" w:rsidR="00ED58D7" w:rsidRPr="00DD7BD1" w:rsidRDefault="00ED58D7" w:rsidP="00ED58D7">
      <w:pPr>
        <w:pStyle w:val="BodyText"/>
        <w:spacing w:after="0" w:line="240" w:lineRule="auto"/>
        <w:rPr>
          <w:rFonts w:cs="Calibri"/>
          <w:szCs w:val="22"/>
        </w:rPr>
      </w:pPr>
      <w:r w:rsidRPr="00DD7BD1">
        <w:rPr>
          <w:rFonts w:cs="Calibri"/>
          <w:color w:val="auto"/>
          <w:szCs w:val="22"/>
        </w:rPr>
        <w:t xml:space="preserve">The Wyoming OSHA Commission </w:t>
      </w:r>
      <w:hyperlink r:id="rId1005"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its rules to align Wyoming civil penalties for occupational safety and health citations with the corresponding federal OSHA penalties. </w:t>
      </w:r>
    </w:p>
    <w:p w14:paraId="07C67CC7"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rPr>
        <w:t>Penalty Changes Overview</w:t>
      </w:r>
    </w:p>
    <w:p w14:paraId="64AD95D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Wyoming changes to penalty fees include minimum and maximum penalties for each type of citation. The civil penalties changes are as follows:</w:t>
      </w:r>
    </w:p>
    <w:p w14:paraId="72593D40"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Willful violation—The penalty minimum increased from $11,162 to $11,524 per violation, and the maximum amount per violation increased from $156,259 to $161,323.</w:t>
      </w:r>
    </w:p>
    <w:p w14:paraId="648FC7A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 xml:space="preserve">Repeated violation—The penalty minimum increased from $11,162 to $11,524 per violation, and the maximum amount per violation increased from $156,259 to $161,323. </w:t>
      </w:r>
    </w:p>
    <w:p w14:paraId="7AEAE778"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Serious violation—The penalty minimum increased from $1,116 to $1,190 per violation, and the maximum amount per violation increased from $15,625 to $16,131.</w:t>
      </w:r>
    </w:p>
    <w:p w14:paraId="20BEE154"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Other-than-serious violation—The maximum penalties increased from $15,625 to $16,131.</w:t>
      </w:r>
    </w:p>
    <w:p w14:paraId="55D71B5F"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Failure to correct violation—The maximum penalties increased from $15,625 to $16,131.</w:t>
      </w:r>
    </w:p>
    <w:p w14:paraId="3841ECC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Posting, reporting or recordkeeping violation—The maximum penalties increased from $15,625 to $16,131.</w:t>
      </w:r>
    </w:p>
    <w:p w14:paraId="5425129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DD7BD1" w:rsidRDefault="00ED58D7" w:rsidP="00ED58D7">
      <w:pPr>
        <w:pStyle w:val="SubHeader"/>
        <w:spacing w:line="240" w:lineRule="auto"/>
        <w:rPr>
          <w:rFonts w:cs="Calibri"/>
          <w:color w:val="auto"/>
          <w:sz w:val="16"/>
          <w:szCs w:val="16"/>
        </w:rPr>
      </w:pPr>
    </w:p>
    <w:p w14:paraId="72560A6E"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highlight w:val="lightGray"/>
        </w:rPr>
        <w:t>Employer Takeaway:</w:t>
      </w:r>
      <w:r w:rsidRPr="00DD7BD1">
        <w:rPr>
          <w:rFonts w:cs="Calibri"/>
          <w:color w:val="auto"/>
          <w:sz w:val="22"/>
          <w:szCs w:val="22"/>
        </w:rPr>
        <w:t xml:space="preserve"> </w:t>
      </w:r>
      <w:r w:rsidRPr="00DD7BD1">
        <w:rPr>
          <w:rFonts w:cs="Calibri"/>
          <w:b w:val="0"/>
          <w:bCs/>
          <w:color w:val="auto"/>
          <w:sz w:val="22"/>
          <w:szCs w:val="22"/>
        </w:rPr>
        <w:t>Employers should become familiar with the new penalty amounts and review their safety protocols to ensure compliance with Wyoming OSHA regulations.</w:t>
      </w:r>
    </w:p>
    <w:p w14:paraId="774703F8" w14:textId="77777777" w:rsidR="00ED58D7" w:rsidRPr="00DD7BD1" w:rsidRDefault="00ED58D7" w:rsidP="009040C5">
      <w:pPr>
        <w:shd w:val="clear" w:color="auto" w:fill="FFFFFF"/>
        <w:spacing w:after="0" w:line="240" w:lineRule="auto"/>
        <w:jc w:val="both"/>
        <w:rPr>
          <w:rFonts w:ascii="Calibri" w:eastAsia="Times New Roman" w:hAnsi="Calibri" w:cs="Calibri"/>
        </w:rPr>
      </w:pPr>
    </w:p>
    <w:bookmarkEnd w:id="0"/>
    <w:p w14:paraId="4FB126EC" w14:textId="25FCAE6E" w:rsidR="008151E2" w:rsidRPr="00DD7BD1" w:rsidRDefault="008151E2" w:rsidP="007E1EB5">
      <w:pPr>
        <w:pStyle w:val="NormalWeb"/>
        <w:shd w:val="clear" w:color="auto" w:fill="FFFFFF"/>
        <w:spacing w:before="0" w:beforeAutospacing="0" w:after="0" w:afterAutospacing="0"/>
        <w:rPr>
          <w:rFonts w:ascii="Calibri" w:hAnsi="Calibri" w:cs="Calibri"/>
          <w:spacing w:val="3"/>
          <w:sz w:val="20"/>
          <w:szCs w:val="20"/>
        </w:rPr>
      </w:pPr>
    </w:p>
    <w:p w14:paraId="36FBAF46" w14:textId="2E3BFC9E" w:rsidR="00450F9B" w:rsidRPr="00DD7BD1" w:rsidRDefault="00CD639F" w:rsidP="00E96844">
      <w:pPr>
        <w:spacing w:after="0" w:line="240" w:lineRule="auto"/>
        <w:jc w:val="center"/>
        <w:rPr>
          <w:rFonts w:ascii="Calibri" w:eastAsia="Times New Roman" w:hAnsi="Calibri" w:cs="Calibri"/>
          <w:color w:val="C00000"/>
          <w:sz w:val="26"/>
          <w:szCs w:val="26"/>
        </w:rPr>
      </w:pPr>
      <w:bookmarkStart w:id="149" w:name="_Hlk165893272"/>
      <w:r w:rsidRPr="00DD7BD1">
        <w:rPr>
          <w:rFonts w:ascii="Calibri" w:eastAsia="Times New Roman" w:hAnsi="Calibri" w:cs="Calibri"/>
          <w:b/>
          <w:bCs/>
          <w:color w:val="C00000"/>
          <w:sz w:val="26"/>
          <w:szCs w:val="26"/>
        </w:rPr>
        <w:t xml:space="preserve">The </w:t>
      </w:r>
      <w:r w:rsidR="00E96844" w:rsidRPr="00DD7BD1">
        <w:rPr>
          <w:rFonts w:ascii="Calibri" w:eastAsia="Times New Roman" w:hAnsi="Calibri" w:cs="Calibri"/>
          <w:b/>
          <w:bCs/>
          <w:color w:val="C00000"/>
          <w:sz w:val="26"/>
          <w:szCs w:val="26"/>
        </w:rPr>
        <w:t>WIRE</w:t>
      </w:r>
      <w:r w:rsidRPr="00DD7BD1">
        <w:rPr>
          <w:rFonts w:ascii="Calibri" w:eastAsia="Times New Roman" w:hAnsi="Calibri" w:cs="Calibri"/>
          <w:b/>
          <w:bCs/>
          <w:color w:val="C00000"/>
          <w:sz w:val="26"/>
          <w:szCs w:val="26"/>
        </w:rPr>
        <w:t xml:space="preserve"> is</w:t>
      </w:r>
      <w:r w:rsidR="00E96844" w:rsidRPr="00DD7BD1">
        <w:rPr>
          <w:rFonts w:ascii="Calibri" w:eastAsia="Times New Roman" w:hAnsi="Calibri" w:cs="Calibri"/>
          <w:b/>
          <w:bCs/>
          <w:color w:val="C00000"/>
          <w:sz w:val="26"/>
          <w:szCs w:val="26"/>
        </w:rPr>
        <w:t xml:space="preserve"> for</w:t>
      </w:r>
      <w:r w:rsidRPr="00DD7BD1">
        <w:rPr>
          <w:rFonts w:ascii="Calibri" w:eastAsia="Times New Roman" w:hAnsi="Calibri" w:cs="Calibri"/>
          <w:b/>
          <w:bCs/>
          <w:color w:val="C00000"/>
          <w:sz w:val="26"/>
          <w:szCs w:val="26"/>
        </w:rPr>
        <w:t xml:space="preserve"> informational purposes only and should not be construed as legal advice.</w:t>
      </w:r>
      <w:bookmarkEnd w:id="149"/>
    </w:p>
    <w:sectPr w:rsidR="00450F9B" w:rsidRPr="00DD7BD1" w:rsidSect="006242BE">
      <w:headerReference w:type="default" r:id="rId1006"/>
      <w:footerReference w:type="default" r:id="rId1007"/>
      <w:pgSz w:w="12240" w:h="15840"/>
      <w:pgMar w:top="1440" w:right="360" w:bottom="360" w:left="360" w:header="720" w:footer="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Maricia Meyer" w:date="2026-04-27T10:13:00Z" w:initials="MM">
    <w:p w14:paraId="3F0A873B" w14:textId="77777777" w:rsidR="00906C4C" w:rsidRDefault="00906C4C" w:rsidP="00880327">
      <w:pPr>
        <w:pStyle w:val="CommentText"/>
      </w:pPr>
      <w:r>
        <w:rPr>
          <w:rStyle w:val="CommentReference"/>
        </w:rPr>
        <w:annotationRef/>
      </w:r>
      <w:r>
        <w:rPr>
          <w:highlight w:val="yellow"/>
        </w:rPr>
        <w:t>MM-&gt;Add attachment resources to April WIRE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0A873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BF9309" w16cex:dateUtc="2026-04-27T15: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0A873B" w16cid:durableId="4CBF93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8F6A8" w14:textId="77777777" w:rsidR="006A4C26" w:rsidRDefault="006A4C26" w:rsidP="003A105A">
      <w:pPr>
        <w:spacing w:after="0" w:line="240" w:lineRule="auto"/>
      </w:pPr>
      <w:r>
        <w:separator/>
      </w:r>
    </w:p>
  </w:endnote>
  <w:endnote w:type="continuationSeparator" w:id="0">
    <w:p w14:paraId="75B3635D" w14:textId="77777777" w:rsidR="006A4C26" w:rsidRDefault="006A4C26"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4BF38" w14:textId="77777777" w:rsidR="006A4C26" w:rsidRDefault="006A4C26" w:rsidP="003A105A">
      <w:pPr>
        <w:spacing w:after="0" w:line="240" w:lineRule="auto"/>
      </w:pPr>
      <w:r>
        <w:separator/>
      </w:r>
    </w:p>
  </w:footnote>
  <w:footnote w:type="continuationSeparator" w:id="0">
    <w:p w14:paraId="084105C7" w14:textId="77777777" w:rsidR="006A4C26" w:rsidRDefault="006A4C26"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622B7DE3" w:rsidR="003A105A" w:rsidRDefault="00A03081" w:rsidP="00F13718">
    <w:pPr>
      <w:pStyle w:val="Header"/>
      <w:tabs>
        <w:tab w:val="clear" w:pos="4680"/>
        <w:tab w:val="clear" w:pos="9360"/>
        <w:tab w:val="left" w:pos="11520"/>
      </w:tabs>
      <w:ind w:left="-360"/>
    </w:pPr>
    <w:r>
      <w:rPr>
        <w:noProof/>
      </w:rPr>
      <mc:AlternateContent>
        <mc:Choice Requires="wps">
          <w:drawing>
            <wp:anchor distT="0" distB="0" distL="114300" distR="114300" simplePos="0" relativeHeight="251659264" behindDoc="0" locked="0" layoutInCell="1" allowOverlap="1" wp14:anchorId="3989572F" wp14:editId="32CFE772">
              <wp:simplePos x="0" y="0"/>
              <wp:positionH relativeFrom="page">
                <wp:posOffset>-1548714</wp:posOffset>
              </wp:positionH>
              <wp:positionV relativeFrom="paragraph">
                <wp:posOffset>-638432</wp:posOffset>
              </wp:positionV>
              <wp:extent cx="9465276" cy="1103870"/>
              <wp:effectExtent l="0" t="0" r="3175" b="1270"/>
              <wp:wrapNone/>
              <wp:docPr id="1740631711" name="Rectangle 3"/>
              <wp:cNvGraphicFramePr/>
              <a:graphic xmlns:a="http://schemas.openxmlformats.org/drawingml/2006/main">
                <a:graphicData uri="http://schemas.microsoft.com/office/word/2010/wordprocessingShape">
                  <wps:wsp>
                    <wps:cNvSpPr/>
                    <wps:spPr>
                      <a:xfrm>
                        <a:off x="0" y="0"/>
                        <a:ext cx="9465276" cy="1103870"/>
                      </a:xfrm>
                      <a:prstGeom prst="rect">
                        <a:avLst/>
                      </a:prstGeom>
                      <a:solidFill>
                        <a:srgbClr val="0E425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14584" id="Rectangle 3" o:spid="_x0000_s1026" style="position:absolute;margin-left:-121.95pt;margin-top:-50.25pt;width:745.3pt;height:86.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" fillcolor="#0e425c"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3F73D6"/>
    <w:multiLevelType w:val="hybridMultilevel"/>
    <w:tmpl w:val="633EB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0A6299"/>
    <w:multiLevelType w:val="multilevel"/>
    <w:tmpl w:val="C93C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326A81"/>
    <w:multiLevelType w:val="multilevel"/>
    <w:tmpl w:val="FA2C0FA6"/>
    <w:lvl w:ilvl="0">
      <w:numFmt w:val="bullet"/>
      <w:lvlText w:val=""/>
      <w:lvlJc w:val="left"/>
      <w:pPr>
        <w:ind w:left="720" w:hanging="360"/>
      </w:pPr>
      <w:rPr>
        <w:rFonts w:ascii="Symbol" w:hAnsi="Symbol"/>
      </w:rPr>
    </w:lvl>
    <w:lvl w:ilvl="1">
      <w:start w:val="1"/>
      <w:numFmt w:val="bullet"/>
      <w:lvlText w:val="o"/>
      <w:lvlJc w:val="left"/>
      <w:pPr>
        <w:ind w:left="1800" w:hanging="360"/>
      </w:pPr>
      <w:rPr>
        <w:rFonts w:ascii="Courier New" w:hAnsi="Courier New" w:cs="Courier New"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7EE5C14"/>
    <w:multiLevelType w:val="multilevel"/>
    <w:tmpl w:val="81E0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24"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AB90C11"/>
    <w:multiLevelType w:val="hybridMultilevel"/>
    <w:tmpl w:val="1BACD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8"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00B1FF8"/>
    <w:multiLevelType w:val="hybridMultilevel"/>
    <w:tmpl w:val="5D341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08E4B10"/>
    <w:multiLevelType w:val="hybridMultilevel"/>
    <w:tmpl w:val="18F2605A"/>
    <w:lvl w:ilvl="0" w:tplc="ED9AD1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0B073DC"/>
    <w:multiLevelType w:val="multilevel"/>
    <w:tmpl w:val="45CE4BBC"/>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10B23653"/>
    <w:multiLevelType w:val="hybridMultilevel"/>
    <w:tmpl w:val="BFCA1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48"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51"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5372070"/>
    <w:multiLevelType w:val="hybridMultilevel"/>
    <w:tmpl w:val="39C6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96D290A"/>
    <w:multiLevelType w:val="multilevel"/>
    <w:tmpl w:val="2F34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64"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C1C2297"/>
    <w:multiLevelType w:val="multilevel"/>
    <w:tmpl w:val="E8ACA2F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D661403"/>
    <w:multiLevelType w:val="hybridMultilevel"/>
    <w:tmpl w:val="1D443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B1BE752C">
      <w:start w:val="303"/>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DDA5894"/>
    <w:multiLevelType w:val="multilevel"/>
    <w:tmpl w:val="EE76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1E362AAD"/>
    <w:multiLevelType w:val="hybridMultilevel"/>
    <w:tmpl w:val="D7A0D6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1F3B5D2C"/>
    <w:multiLevelType w:val="multilevel"/>
    <w:tmpl w:val="68BC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2CE64E3"/>
    <w:multiLevelType w:val="multilevel"/>
    <w:tmpl w:val="4C5A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42C5228"/>
    <w:multiLevelType w:val="multilevel"/>
    <w:tmpl w:val="0522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259801B5"/>
    <w:multiLevelType w:val="hybridMultilevel"/>
    <w:tmpl w:val="38103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79F40C8"/>
    <w:multiLevelType w:val="multilevel"/>
    <w:tmpl w:val="17E8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110"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18"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2D0F668C"/>
    <w:multiLevelType w:val="multilevel"/>
    <w:tmpl w:val="BA3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7"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36D095A"/>
    <w:multiLevelType w:val="multilevel"/>
    <w:tmpl w:val="DBD0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3494480F"/>
    <w:multiLevelType w:val="multilevel"/>
    <w:tmpl w:val="4B64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6"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D5E6DEA"/>
    <w:multiLevelType w:val="hybridMultilevel"/>
    <w:tmpl w:val="EDB84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4"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2"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64"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42631AE7"/>
    <w:multiLevelType w:val="hybridMultilevel"/>
    <w:tmpl w:val="9EBC1E98"/>
    <w:lvl w:ilvl="0" w:tplc="E26019C6">
      <w:start w:val="1"/>
      <w:numFmt w:val="bullet"/>
      <w:lvlText w:val=""/>
      <w:lvlJc w:val="left"/>
      <w:pPr>
        <w:ind w:left="720" w:hanging="360"/>
      </w:pPr>
      <w:rPr>
        <w:rFonts w:ascii="Symbol" w:hAnsi="Symbol" w:hint="default"/>
      </w:rPr>
    </w:lvl>
    <w:lvl w:ilvl="1" w:tplc="34F879CC" w:tentative="1">
      <w:start w:val="1"/>
      <w:numFmt w:val="bullet"/>
      <w:lvlText w:val="o"/>
      <w:lvlJc w:val="left"/>
      <w:pPr>
        <w:ind w:left="1440" w:hanging="360"/>
      </w:pPr>
      <w:rPr>
        <w:rFonts w:ascii="Courier New" w:hAnsi="Courier New" w:cs="Courier New" w:hint="default"/>
      </w:rPr>
    </w:lvl>
    <w:lvl w:ilvl="2" w:tplc="F424D4A2" w:tentative="1">
      <w:start w:val="1"/>
      <w:numFmt w:val="bullet"/>
      <w:lvlText w:val=""/>
      <w:lvlJc w:val="left"/>
      <w:pPr>
        <w:ind w:left="2160" w:hanging="360"/>
      </w:pPr>
      <w:rPr>
        <w:rFonts w:ascii="Wingdings" w:hAnsi="Wingdings" w:hint="default"/>
      </w:rPr>
    </w:lvl>
    <w:lvl w:ilvl="3" w:tplc="F626974E" w:tentative="1">
      <w:start w:val="1"/>
      <w:numFmt w:val="bullet"/>
      <w:lvlText w:val=""/>
      <w:lvlJc w:val="left"/>
      <w:pPr>
        <w:ind w:left="2880" w:hanging="360"/>
      </w:pPr>
      <w:rPr>
        <w:rFonts w:ascii="Symbol" w:hAnsi="Symbol" w:hint="default"/>
      </w:rPr>
    </w:lvl>
    <w:lvl w:ilvl="4" w:tplc="F1749950" w:tentative="1">
      <w:start w:val="1"/>
      <w:numFmt w:val="bullet"/>
      <w:lvlText w:val="o"/>
      <w:lvlJc w:val="left"/>
      <w:pPr>
        <w:ind w:left="3600" w:hanging="360"/>
      </w:pPr>
      <w:rPr>
        <w:rFonts w:ascii="Courier New" w:hAnsi="Courier New" w:cs="Courier New" w:hint="default"/>
      </w:rPr>
    </w:lvl>
    <w:lvl w:ilvl="5" w:tplc="17880CA4" w:tentative="1">
      <w:start w:val="1"/>
      <w:numFmt w:val="bullet"/>
      <w:lvlText w:val=""/>
      <w:lvlJc w:val="left"/>
      <w:pPr>
        <w:ind w:left="4320" w:hanging="360"/>
      </w:pPr>
      <w:rPr>
        <w:rFonts w:ascii="Wingdings" w:hAnsi="Wingdings" w:hint="default"/>
      </w:rPr>
    </w:lvl>
    <w:lvl w:ilvl="6" w:tplc="304EA690" w:tentative="1">
      <w:start w:val="1"/>
      <w:numFmt w:val="bullet"/>
      <w:lvlText w:val=""/>
      <w:lvlJc w:val="left"/>
      <w:pPr>
        <w:ind w:left="5040" w:hanging="360"/>
      </w:pPr>
      <w:rPr>
        <w:rFonts w:ascii="Symbol" w:hAnsi="Symbol" w:hint="default"/>
      </w:rPr>
    </w:lvl>
    <w:lvl w:ilvl="7" w:tplc="4EA2F640" w:tentative="1">
      <w:start w:val="1"/>
      <w:numFmt w:val="bullet"/>
      <w:lvlText w:val="o"/>
      <w:lvlJc w:val="left"/>
      <w:pPr>
        <w:ind w:left="5760" w:hanging="360"/>
      </w:pPr>
      <w:rPr>
        <w:rFonts w:ascii="Courier New" w:hAnsi="Courier New" w:cs="Courier New" w:hint="default"/>
      </w:rPr>
    </w:lvl>
    <w:lvl w:ilvl="8" w:tplc="979EF874" w:tentative="1">
      <w:start w:val="1"/>
      <w:numFmt w:val="bullet"/>
      <w:lvlText w:val=""/>
      <w:lvlJc w:val="left"/>
      <w:pPr>
        <w:ind w:left="6480" w:hanging="360"/>
      </w:pPr>
      <w:rPr>
        <w:rFonts w:ascii="Wingdings" w:hAnsi="Wingdings" w:hint="default"/>
      </w:rPr>
    </w:lvl>
  </w:abstractNum>
  <w:abstractNum w:abstractNumId="170"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4" w15:restartNumberingAfterBreak="0">
    <w:nsid w:val="448B4B01"/>
    <w:multiLevelType w:val="hybridMultilevel"/>
    <w:tmpl w:val="3112CE9C"/>
    <w:lvl w:ilvl="0" w:tplc="ACA4A7C8">
      <w:numFmt w:val="bullet"/>
      <w:lvlText w:val="-"/>
      <w:lvlJc w:val="left"/>
      <w:pPr>
        <w:ind w:left="0" w:hanging="360"/>
      </w:pPr>
      <w:rPr>
        <w:rFonts w:ascii="Calibri" w:eastAsiaTheme="majorEastAsia" w:hAnsi="Calibri" w:cs="Calibri" w:hint="default"/>
        <w:color w:val="0C425E"/>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5"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44CF0569"/>
    <w:multiLevelType w:val="hybridMultilevel"/>
    <w:tmpl w:val="970AD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4563380E"/>
    <w:multiLevelType w:val="multilevel"/>
    <w:tmpl w:val="2452E7AC"/>
    <w:lvl w:ilvl="0">
      <w:start w:val="1"/>
      <w:numFmt w:val="bullet"/>
      <w:lvlText w:val="o"/>
      <w:lvlJc w:val="left"/>
      <w:pPr>
        <w:ind w:left="720" w:hanging="360"/>
      </w:pPr>
      <w:rPr>
        <w:rFonts w:ascii="Courier New" w:hAnsi="Courier New" w:cs="Courier New" w:hint="default"/>
      </w:rPr>
    </w:lvl>
    <w:lvl w:ilvl="1">
      <w:numFmt w:val="bullet"/>
      <w:lvlText w:val=""/>
      <w:lvlJc w:val="left"/>
      <w:pPr>
        <w:ind w:left="1440" w:hanging="360"/>
      </w:pPr>
      <w:rPr>
        <w:rFonts w:ascii="Symbol" w:eastAsia="Symbol" w:hAnsi="Symbol" w:cs="Symbol"/>
        <w:b w:val="0"/>
        <w:bCs w:val="0"/>
        <w:i w:val="0"/>
        <w:iCs w:val="0"/>
        <w:spacing w:val="0"/>
        <w:w w:val="100"/>
        <w:sz w:val="20"/>
        <w:szCs w:val="20"/>
        <w:lang w:val="en-US" w:eastAsia="en-US" w:bidi="ar-SA"/>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8"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465320E1"/>
    <w:multiLevelType w:val="multilevel"/>
    <w:tmpl w:val="0A94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182"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4"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8150813"/>
    <w:multiLevelType w:val="hybridMultilevel"/>
    <w:tmpl w:val="D5EA0A5A"/>
    <w:lvl w:ilvl="0" w:tplc="92D8F120">
      <w:start w:val="1"/>
      <w:numFmt w:val="bullet"/>
      <w:pStyle w:val="ListParagraph2"/>
      <w:lvlText w:val="›"/>
      <w:lvlJc w:val="left"/>
      <w:pPr>
        <w:ind w:left="1260" w:hanging="360"/>
      </w:pPr>
      <w:rPr>
        <w:rFonts w:ascii="Calibri" w:hAnsi="Calibri" w:hint="default"/>
        <w:b/>
        <w:i w:val="0"/>
        <w:color w:val="auto"/>
      </w:rPr>
    </w:lvl>
    <w:lvl w:ilvl="1" w:tplc="4232C31E" w:tentative="1">
      <w:start w:val="1"/>
      <w:numFmt w:val="bullet"/>
      <w:lvlText w:val="o"/>
      <w:lvlJc w:val="left"/>
      <w:pPr>
        <w:ind w:left="1980" w:hanging="360"/>
      </w:pPr>
      <w:rPr>
        <w:rFonts w:ascii="Courier New" w:hAnsi="Courier New" w:cs="Courier New" w:hint="default"/>
      </w:rPr>
    </w:lvl>
    <w:lvl w:ilvl="2" w:tplc="038084AA" w:tentative="1">
      <w:start w:val="1"/>
      <w:numFmt w:val="bullet"/>
      <w:lvlText w:val=""/>
      <w:lvlJc w:val="left"/>
      <w:pPr>
        <w:ind w:left="2700" w:hanging="360"/>
      </w:pPr>
      <w:rPr>
        <w:rFonts w:ascii="Wingdings" w:hAnsi="Wingdings" w:hint="default"/>
      </w:rPr>
    </w:lvl>
    <w:lvl w:ilvl="3" w:tplc="D0B411EC" w:tentative="1">
      <w:start w:val="1"/>
      <w:numFmt w:val="bullet"/>
      <w:lvlText w:val=""/>
      <w:lvlJc w:val="left"/>
      <w:pPr>
        <w:ind w:left="3420" w:hanging="360"/>
      </w:pPr>
      <w:rPr>
        <w:rFonts w:ascii="Symbol" w:hAnsi="Symbol" w:hint="default"/>
      </w:rPr>
    </w:lvl>
    <w:lvl w:ilvl="4" w:tplc="DE6422F2" w:tentative="1">
      <w:start w:val="1"/>
      <w:numFmt w:val="bullet"/>
      <w:lvlText w:val="o"/>
      <w:lvlJc w:val="left"/>
      <w:pPr>
        <w:ind w:left="4140" w:hanging="360"/>
      </w:pPr>
      <w:rPr>
        <w:rFonts w:ascii="Courier New" w:hAnsi="Courier New" w:cs="Courier New" w:hint="default"/>
      </w:rPr>
    </w:lvl>
    <w:lvl w:ilvl="5" w:tplc="2A08EEE2" w:tentative="1">
      <w:start w:val="1"/>
      <w:numFmt w:val="bullet"/>
      <w:lvlText w:val=""/>
      <w:lvlJc w:val="left"/>
      <w:pPr>
        <w:ind w:left="4860" w:hanging="360"/>
      </w:pPr>
      <w:rPr>
        <w:rFonts w:ascii="Wingdings" w:hAnsi="Wingdings" w:hint="default"/>
      </w:rPr>
    </w:lvl>
    <w:lvl w:ilvl="6" w:tplc="E0B296C0" w:tentative="1">
      <w:start w:val="1"/>
      <w:numFmt w:val="bullet"/>
      <w:lvlText w:val=""/>
      <w:lvlJc w:val="left"/>
      <w:pPr>
        <w:ind w:left="5580" w:hanging="360"/>
      </w:pPr>
      <w:rPr>
        <w:rFonts w:ascii="Symbol" w:hAnsi="Symbol" w:hint="default"/>
      </w:rPr>
    </w:lvl>
    <w:lvl w:ilvl="7" w:tplc="D82E0912" w:tentative="1">
      <w:start w:val="1"/>
      <w:numFmt w:val="bullet"/>
      <w:lvlText w:val="o"/>
      <w:lvlJc w:val="left"/>
      <w:pPr>
        <w:ind w:left="6300" w:hanging="360"/>
      </w:pPr>
      <w:rPr>
        <w:rFonts w:ascii="Courier New" w:hAnsi="Courier New" w:cs="Courier New" w:hint="default"/>
      </w:rPr>
    </w:lvl>
    <w:lvl w:ilvl="8" w:tplc="4384704E" w:tentative="1">
      <w:start w:val="1"/>
      <w:numFmt w:val="bullet"/>
      <w:lvlText w:val=""/>
      <w:lvlJc w:val="left"/>
      <w:pPr>
        <w:ind w:left="7020" w:hanging="360"/>
      </w:pPr>
      <w:rPr>
        <w:rFonts w:ascii="Wingdings" w:hAnsi="Wingdings" w:hint="default"/>
      </w:rPr>
    </w:lvl>
  </w:abstractNum>
  <w:abstractNum w:abstractNumId="188"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85C37DB"/>
    <w:multiLevelType w:val="hybridMultilevel"/>
    <w:tmpl w:val="02FCC48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90"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DDF2C24"/>
    <w:multiLevelType w:val="hybridMultilevel"/>
    <w:tmpl w:val="26366F94"/>
    <w:lvl w:ilvl="0" w:tplc="690676AC">
      <w:start w:val="1"/>
      <w:numFmt w:val="bullet"/>
      <w:lvlText w:val=""/>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4"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206" w15:restartNumberingAfterBreak="0">
    <w:nsid w:val="4E795047"/>
    <w:multiLevelType w:val="hybridMultilevel"/>
    <w:tmpl w:val="0FBAA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210"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FD15D8E"/>
    <w:multiLevelType w:val="hybridMultilevel"/>
    <w:tmpl w:val="DA7C4696"/>
    <w:lvl w:ilvl="0" w:tplc="414A4816">
      <w:start w:val="1"/>
      <w:numFmt w:val="decimal"/>
      <w:lvlText w:val="%1."/>
      <w:lvlJc w:val="left"/>
      <w:pPr>
        <w:ind w:left="720" w:hanging="360"/>
      </w:pPr>
      <w:rPr>
        <w:rFonts w:hint="default"/>
        <w:color w:val="auto"/>
      </w:rPr>
    </w:lvl>
    <w:lvl w:ilvl="1" w:tplc="452AE3A6">
      <w:start w:val="1"/>
      <w:numFmt w:val="bullet"/>
      <w:lvlText w:val="o"/>
      <w:lvlJc w:val="left"/>
      <w:pPr>
        <w:ind w:left="1440" w:hanging="360"/>
      </w:pPr>
      <w:rPr>
        <w:rFonts w:ascii="Courier New" w:hAnsi="Courier New" w:cs="Courier New" w:hint="default"/>
      </w:rPr>
    </w:lvl>
    <w:lvl w:ilvl="2" w:tplc="073CD34C">
      <w:start w:val="1"/>
      <w:numFmt w:val="bullet"/>
      <w:lvlText w:val=""/>
      <w:lvlJc w:val="left"/>
      <w:pPr>
        <w:ind w:left="2160" w:hanging="360"/>
      </w:pPr>
      <w:rPr>
        <w:rFonts w:ascii="Wingdings" w:hAnsi="Wingdings" w:hint="default"/>
      </w:rPr>
    </w:lvl>
    <w:lvl w:ilvl="3" w:tplc="B27E3360">
      <w:start w:val="1"/>
      <w:numFmt w:val="bullet"/>
      <w:lvlText w:val=""/>
      <w:lvlJc w:val="left"/>
      <w:pPr>
        <w:ind w:left="2880" w:hanging="360"/>
      </w:pPr>
      <w:rPr>
        <w:rFonts w:ascii="Symbol" w:hAnsi="Symbol" w:hint="default"/>
      </w:rPr>
    </w:lvl>
    <w:lvl w:ilvl="4" w:tplc="36221AD2" w:tentative="1">
      <w:start w:val="1"/>
      <w:numFmt w:val="bullet"/>
      <w:lvlText w:val="o"/>
      <w:lvlJc w:val="left"/>
      <w:pPr>
        <w:ind w:left="3600" w:hanging="360"/>
      </w:pPr>
      <w:rPr>
        <w:rFonts w:ascii="Courier New" w:hAnsi="Courier New" w:cs="Courier New" w:hint="default"/>
      </w:rPr>
    </w:lvl>
    <w:lvl w:ilvl="5" w:tplc="6ECCE9B0" w:tentative="1">
      <w:start w:val="1"/>
      <w:numFmt w:val="bullet"/>
      <w:lvlText w:val=""/>
      <w:lvlJc w:val="left"/>
      <w:pPr>
        <w:ind w:left="4320" w:hanging="360"/>
      </w:pPr>
      <w:rPr>
        <w:rFonts w:ascii="Wingdings" w:hAnsi="Wingdings" w:hint="default"/>
      </w:rPr>
    </w:lvl>
    <w:lvl w:ilvl="6" w:tplc="BB367B48" w:tentative="1">
      <w:start w:val="1"/>
      <w:numFmt w:val="bullet"/>
      <w:lvlText w:val=""/>
      <w:lvlJc w:val="left"/>
      <w:pPr>
        <w:ind w:left="5040" w:hanging="360"/>
      </w:pPr>
      <w:rPr>
        <w:rFonts w:ascii="Symbol" w:hAnsi="Symbol" w:hint="default"/>
      </w:rPr>
    </w:lvl>
    <w:lvl w:ilvl="7" w:tplc="1AC2DB1A" w:tentative="1">
      <w:start w:val="1"/>
      <w:numFmt w:val="bullet"/>
      <w:lvlText w:val="o"/>
      <w:lvlJc w:val="left"/>
      <w:pPr>
        <w:ind w:left="5760" w:hanging="360"/>
      </w:pPr>
      <w:rPr>
        <w:rFonts w:ascii="Courier New" w:hAnsi="Courier New" w:cs="Courier New" w:hint="default"/>
      </w:rPr>
    </w:lvl>
    <w:lvl w:ilvl="8" w:tplc="3572D312" w:tentative="1">
      <w:start w:val="1"/>
      <w:numFmt w:val="bullet"/>
      <w:lvlText w:val=""/>
      <w:lvlJc w:val="left"/>
      <w:pPr>
        <w:ind w:left="6480" w:hanging="360"/>
      </w:pPr>
      <w:rPr>
        <w:rFonts w:ascii="Wingdings" w:hAnsi="Wingdings" w:hint="default"/>
      </w:rPr>
    </w:lvl>
  </w:abstractNum>
  <w:abstractNum w:abstractNumId="213"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51707F1C"/>
    <w:multiLevelType w:val="hybridMultilevel"/>
    <w:tmpl w:val="34AC31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222"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554F79D9"/>
    <w:multiLevelType w:val="multilevel"/>
    <w:tmpl w:val="9DF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38"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BB45C6B"/>
    <w:multiLevelType w:val="hybridMultilevel"/>
    <w:tmpl w:val="8E02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5"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64251F5D"/>
    <w:multiLevelType w:val="hybridMultilevel"/>
    <w:tmpl w:val="EF620A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64420B44"/>
    <w:multiLevelType w:val="hybridMultilevel"/>
    <w:tmpl w:val="183632D0"/>
    <w:lvl w:ilvl="0" w:tplc="A692AD10">
      <w:start w:val="1"/>
      <w:numFmt w:val="bullet"/>
      <w:lvlText w:val="o"/>
      <w:lvlJc w:val="left"/>
      <w:pPr>
        <w:ind w:left="1440" w:hanging="360"/>
      </w:pPr>
      <w:rPr>
        <w:rFonts w:ascii="Courier New" w:hAnsi="Courier New" w:cs="Courier New"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8"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651C3FD1"/>
    <w:multiLevelType w:val="hybridMultilevel"/>
    <w:tmpl w:val="0D700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96F2346"/>
    <w:multiLevelType w:val="hybridMultilevel"/>
    <w:tmpl w:val="D6F2A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15:restartNumberingAfterBreak="0">
    <w:nsid w:val="698017ED"/>
    <w:multiLevelType w:val="hybridMultilevel"/>
    <w:tmpl w:val="0658B7B2"/>
    <w:lvl w:ilvl="0" w:tplc="C13A7DBC">
      <w:start w:val="1"/>
      <w:numFmt w:val="decimal"/>
      <w:lvlText w:val="%1."/>
      <w:lvlJc w:val="left"/>
      <w:pPr>
        <w:ind w:left="864" w:hanging="360"/>
      </w:pPr>
    </w:lvl>
    <w:lvl w:ilvl="1" w:tplc="F266EF46" w:tentative="1">
      <w:start w:val="1"/>
      <w:numFmt w:val="lowerLetter"/>
      <w:lvlText w:val="%2."/>
      <w:lvlJc w:val="left"/>
      <w:pPr>
        <w:ind w:left="1584" w:hanging="360"/>
      </w:pPr>
    </w:lvl>
    <w:lvl w:ilvl="2" w:tplc="FD9A8186" w:tentative="1">
      <w:start w:val="1"/>
      <w:numFmt w:val="lowerRoman"/>
      <w:lvlText w:val="%3."/>
      <w:lvlJc w:val="right"/>
      <w:pPr>
        <w:ind w:left="2304" w:hanging="180"/>
      </w:pPr>
    </w:lvl>
    <w:lvl w:ilvl="3" w:tplc="5DB8E0B6" w:tentative="1">
      <w:start w:val="1"/>
      <w:numFmt w:val="decimal"/>
      <w:lvlText w:val="%4."/>
      <w:lvlJc w:val="left"/>
      <w:pPr>
        <w:ind w:left="3024" w:hanging="360"/>
      </w:pPr>
    </w:lvl>
    <w:lvl w:ilvl="4" w:tplc="416C606C" w:tentative="1">
      <w:start w:val="1"/>
      <w:numFmt w:val="lowerLetter"/>
      <w:lvlText w:val="%5."/>
      <w:lvlJc w:val="left"/>
      <w:pPr>
        <w:ind w:left="3744" w:hanging="360"/>
      </w:pPr>
    </w:lvl>
    <w:lvl w:ilvl="5" w:tplc="681C6398" w:tentative="1">
      <w:start w:val="1"/>
      <w:numFmt w:val="lowerRoman"/>
      <w:lvlText w:val="%6."/>
      <w:lvlJc w:val="right"/>
      <w:pPr>
        <w:ind w:left="4464" w:hanging="180"/>
      </w:pPr>
    </w:lvl>
    <w:lvl w:ilvl="6" w:tplc="285844B4" w:tentative="1">
      <w:start w:val="1"/>
      <w:numFmt w:val="decimal"/>
      <w:lvlText w:val="%7."/>
      <w:lvlJc w:val="left"/>
      <w:pPr>
        <w:ind w:left="5184" w:hanging="360"/>
      </w:pPr>
    </w:lvl>
    <w:lvl w:ilvl="7" w:tplc="144C0074" w:tentative="1">
      <w:start w:val="1"/>
      <w:numFmt w:val="lowerLetter"/>
      <w:lvlText w:val="%8."/>
      <w:lvlJc w:val="left"/>
      <w:pPr>
        <w:ind w:left="5904" w:hanging="360"/>
      </w:pPr>
    </w:lvl>
    <w:lvl w:ilvl="8" w:tplc="CB24B782" w:tentative="1">
      <w:start w:val="1"/>
      <w:numFmt w:val="lowerRoman"/>
      <w:lvlText w:val="%9."/>
      <w:lvlJc w:val="right"/>
      <w:pPr>
        <w:ind w:left="6624" w:hanging="180"/>
      </w:pPr>
    </w:lvl>
  </w:abstractNum>
  <w:abstractNum w:abstractNumId="279"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280"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281"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6EEF03AD"/>
    <w:multiLevelType w:val="hybridMultilevel"/>
    <w:tmpl w:val="504A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6EFF0D43"/>
    <w:multiLevelType w:val="hybridMultilevel"/>
    <w:tmpl w:val="7926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9"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0"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91" w15:restartNumberingAfterBreak="0">
    <w:nsid w:val="6FBE168A"/>
    <w:multiLevelType w:val="hybridMultilevel"/>
    <w:tmpl w:val="D9DA30B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2"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293"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4"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70FC4AE2"/>
    <w:multiLevelType w:val="multilevel"/>
    <w:tmpl w:val="ED1A9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24813BC"/>
    <w:multiLevelType w:val="multilevel"/>
    <w:tmpl w:val="8E6C6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8"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300"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4"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15:restartNumberingAfterBreak="0">
    <w:nsid w:val="782C155F"/>
    <w:multiLevelType w:val="multilevel"/>
    <w:tmpl w:val="15C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8"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0"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5"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330"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337"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08021051">
    <w:abstractNumId w:val="209"/>
  </w:num>
  <w:num w:numId="2" w16cid:durableId="961808561">
    <w:abstractNumId w:val="0"/>
  </w:num>
  <w:num w:numId="3" w16cid:durableId="850610045">
    <w:abstractNumId w:val="183"/>
  </w:num>
  <w:num w:numId="4" w16cid:durableId="1039747393">
    <w:abstractNumId w:val="63"/>
  </w:num>
  <w:num w:numId="5" w16cid:durableId="2003316872">
    <w:abstractNumId w:val="163"/>
  </w:num>
  <w:num w:numId="6" w16cid:durableId="1721635079">
    <w:abstractNumId w:val="221"/>
  </w:num>
  <w:num w:numId="7" w16cid:durableId="938218111">
    <w:abstractNumId w:val="205"/>
  </w:num>
  <w:num w:numId="8" w16cid:durableId="485707375">
    <w:abstractNumId w:val="43"/>
  </w:num>
  <w:num w:numId="9" w16cid:durableId="324212768">
    <w:abstractNumId w:val="47"/>
  </w:num>
  <w:num w:numId="10" w16cid:durableId="1658533981">
    <w:abstractNumId w:val="301"/>
  </w:num>
  <w:num w:numId="11" w16cid:durableId="2071998881">
    <w:abstractNumId w:val="252"/>
  </w:num>
  <w:num w:numId="12" w16cid:durableId="1523712221">
    <w:abstractNumId w:val="59"/>
  </w:num>
  <w:num w:numId="13" w16cid:durableId="94135718">
    <w:abstractNumId w:val="283"/>
  </w:num>
  <w:num w:numId="14" w16cid:durableId="44566400">
    <w:abstractNumId w:val="213"/>
  </w:num>
  <w:num w:numId="15" w16cid:durableId="2112317763">
    <w:abstractNumId w:val="235"/>
  </w:num>
  <w:num w:numId="16" w16cid:durableId="1503739614">
    <w:abstractNumId w:val="221"/>
  </w:num>
  <w:num w:numId="17" w16cid:durableId="1468860666">
    <w:abstractNumId w:val="62"/>
  </w:num>
  <w:num w:numId="18" w16cid:durableId="1970740193">
    <w:abstractNumId w:val="125"/>
  </w:num>
  <w:num w:numId="19" w16cid:durableId="1649088688">
    <w:abstractNumId w:val="162"/>
  </w:num>
  <w:num w:numId="20" w16cid:durableId="784495168">
    <w:abstractNumId w:val="152"/>
  </w:num>
  <w:num w:numId="21" w16cid:durableId="67073513">
    <w:abstractNumId w:val="298"/>
  </w:num>
  <w:num w:numId="22" w16cid:durableId="1531721886">
    <w:abstractNumId w:val="215"/>
  </w:num>
  <w:num w:numId="23" w16cid:durableId="1849831646">
    <w:abstractNumId w:val="7"/>
  </w:num>
  <w:num w:numId="24" w16cid:durableId="854423568">
    <w:abstractNumId w:val="99"/>
  </w:num>
  <w:num w:numId="25" w16cid:durableId="1650403366">
    <w:abstractNumId w:val="307"/>
  </w:num>
  <w:num w:numId="26" w16cid:durableId="708649792">
    <w:abstractNumId w:val="314"/>
  </w:num>
  <w:num w:numId="27" w16cid:durableId="733508808">
    <w:abstractNumId w:val="324"/>
  </w:num>
  <w:num w:numId="28" w16cid:durableId="248512933">
    <w:abstractNumId w:val="86"/>
  </w:num>
  <w:num w:numId="29" w16cid:durableId="2079742393">
    <w:abstractNumId w:val="240"/>
  </w:num>
  <w:num w:numId="30" w16cid:durableId="1960600846">
    <w:abstractNumId w:val="48"/>
  </w:num>
  <w:num w:numId="31" w16cid:durableId="455568181">
    <w:abstractNumId w:val="276"/>
  </w:num>
  <w:num w:numId="32" w16cid:durableId="875191644">
    <w:abstractNumId w:val="289"/>
  </w:num>
  <w:num w:numId="33" w16cid:durableId="38096241">
    <w:abstractNumId w:val="16"/>
  </w:num>
  <w:num w:numId="34" w16cid:durableId="1694380629">
    <w:abstractNumId w:val="171"/>
  </w:num>
  <w:num w:numId="35" w16cid:durableId="1854956192">
    <w:abstractNumId w:val="178"/>
  </w:num>
  <w:num w:numId="36" w16cid:durableId="973023254">
    <w:abstractNumId w:val="52"/>
  </w:num>
  <w:num w:numId="37" w16cid:durableId="1771504384">
    <w:abstractNumId w:val="138"/>
  </w:num>
  <w:num w:numId="38" w16cid:durableId="884946928">
    <w:abstractNumId w:val="330"/>
  </w:num>
  <w:num w:numId="39" w16cid:durableId="2053580014">
    <w:abstractNumId w:val="302"/>
  </w:num>
  <w:num w:numId="40" w16cid:durableId="608198765">
    <w:abstractNumId w:val="11"/>
  </w:num>
  <w:num w:numId="41" w16cid:durableId="133447987">
    <w:abstractNumId w:val="308"/>
  </w:num>
  <w:num w:numId="42" w16cid:durableId="1531842430">
    <w:abstractNumId w:val="28"/>
  </w:num>
  <w:num w:numId="43" w16cid:durableId="1914662190">
    <w:abstractNumId w:val="195"/>
  </w:num>
  <w:num w:numId="44" w16cid:durableId="582879849">
    <w:abstractNumId w:val="71"/>
  </w:num>
  <w:num w:numId="45" w16cid:durableId="1743867110">
    <w:abstractNumId w:val="254"/>
  </w:num>
  <w:num w:numId="46" w16cid:durableId="81532336">
    <w:abstractNumId w:val="186"/>
  </w:num>
  <w:num w:numId="47" w16cid:durableId="1475558284">
    <w:abstractNumId w:val="262"/>
  </w:num>
  <w:num w:numId="48" w16cid:durableId="1852837628">
    <w:abstractNumId w:val="49"/>
  </w:num>
  <w:num w:numId="49" w16cid:durableId="520356449">
    <w:abstractNumId w:val="318"/>
  </w:num>
  <w:num w:numId="50" w16cid:durableId="1843622067">
    <w:abstractNumId w:val="306"/>
  </w:num>
  <w:num w:numId="51" w16cid:durableId="360906797">
    <w:abstractNumId w:val="207"/>
  </w:num>
  <w:num w:numId="52" w16cid:durableId="1270161760">
    <w:abstractNumId w:val="73"/>
  </w:num>
  <w:num w:numId="53" w16cid:durableId="1344892947">
    <w:abstractNumId w:val="159"/>
  </w:num>
  <w:num w:numId="54" w16cid:durableId="1132674629">
    <w:abstractNumId w:val="282"/>
  </w:num>
  <w:num w:numId="55" w16cid:durableId="554703935">
    <w:abstractNumId w:val="219"/>
  </w:num>
  <w:num w:numId="56" w16cid:durableId="631133188">
    <w:abstractNumId w:val="141"/>
  </w:num>
  <w:num w:numId="57" w16cid:durableId="238639136">
    <w:abstractNumId w:val="115"/>
  </w:num>
  <w:num w:numId="58" w16cid:durableId="1397119108">
    <w:abstractNumId w:val="30"/>
  </w:num>
  <w:num w:numId="59" w16cid:durableId="1822966003">
    <w:abstractNumId w:val="230"/>
  </w:num>
  <w:num w:numId="60" w16cid:durableId="524103459">
    <w:abstractNumId w:val="234"/>
  </w:num>
  <w:num w:numId="61" w16cid:durableId="1414670288">
    <w:abstractNumId w:val="304"/>
  </w:num>
  <w:num w:numId="62" w16cid:durableId="200091575">
    <w:abstractNumId w:val="135"/>
  </w:num>
  <w:num w:numId="63" w16cid:durableId="2090542473">
    <w:abstractNumId w:val="121"/>
  </w:num>
  <w:num w:numId="64" w16cid:durableId="1352143298">
    <w:abstractNumId w:val="259"/>
  </w:num>
  <w:num w:numId="65" w16cid:durableId="1423793096">
    <w:abstractNumId w:val="320"/>
  </w:num>
  <w:num w:numId="66" w16cid:durableId="1225721072">
    <w:abstractNumId w:val="202"/>
  </w:num>
  <w:num w:numId="67" w16cid:durableId="95176951">
    <w:abstractNumId w:val="142"/>
  </w:num>
  <w:num w:numId="68" w16cid:durableId="1124889763">
    <w:abstractNumId w:val="286"/>
  </w:num>
  <w:num w:numId="69" w16cid:durableId="670958834">
    <w:abstractNumId w:val="264"/>
  </w:num>
  <w:num w:numId="70" w16cid:durableId="731344031">
    <w:abstractNumId w:val="245"/>
  </w:num>
  <w:num w:numId="71" w16cid:durableId="1704011096">
    <w:abstractNumId w:val="220"/>
  </w:num>
  <w:num w:numId="72" w16cid:durableId="917402829">
    <w:abstractNumId w:val="151"/>
  </w:num>
  <w:num w:numId="73" w16cid:durableId="1148211728">
    <w:abstractNumId w:val="311"/>
  </w:num>
  <w:num w:numId="74" w16cid:durableId="699818530">
    <w:abstractNumId w:val="179"/>
  </w:num>
  <w:num w:numId="75" w16cid:durableId="1155680263">
    <w:abstractNumId w:val="149"/>
  </w:num>
  <w:num w:numId="76" w16cid:durableId="1052073575">
    <w:abstractNumId w:val="310"/>
  </w:num>
  <w:num w:numId="77" w16cid:durableId="293564020">
    <w:abstractNumId w:val="94"/>
  </w:num>
  <w:num w:numId="78" w16cid:durableId="1571114232">
    <w:abstractNumId w:val="200"/>
  </w:num>
  <w:num w:numId="79" w16cid:durableId="1734043624">
    <w:abstractNumId w:val="19"/>
  </w:num>
  <w:num w:numId="80" w16cid:durableId="2121025350">
    <w:abstractNumId w:val="294"/>
  </w:num>
  <w:num w:numId="81" w16cid:durableId="1105152390">
    <w:abstractNumId w:val="242"/>
  </w:num>
  <w:num w:numId="82" w16cid:durableId="1169638401">
    <w:abstractNumId w:val="101"/>
  </w:num>
  <w:num w:numId="83" w16cid:durableId="660355670">
    <w:abstractNumId w:val="113"/>
  </w:num>
  <w:num w:numId="84" w16cid:durableId="695621585">
    <w:abstractNumId w:val="292"/>
  </w:num>
  <w:num w:numId="85" w16cid:durableId="1627806851">
    <w:abstractNumId w:val="214"/>
  </w:num>
  <w:num w:numId="86" w16cid:durableId="576133411">
    <w:abstractNumId w:val="319"/>
  </w:num>
  <w:num w:numId="87" w16cid:durableId="1650940337">
    <w:abstractNumId w:val="157"/>
  </w:num>
  <w:num w:numId="88" w16cid:durableId="473985020">
    <w:abstractNumId w:val="293"/>
  </w:num>
  <w:num w:numId="89" w16cid:durableId="1683623388">
    <w:abstractNumId w:val="224"/>
  </w:num>
  <w:num w:numId="90" w16cid:durableId="1348411731">
    <w:abstractNumId w:val="111"/>
  </w:num>
  <w:num w:numId="91" w16cid:durableId="998190278">
    <w:abstractNumId w:val="248"/>
  </w:num>
  <w:num w:numId="92" w16cid:durableId="2054619933">
    <w:abstractNumId w:val="97"/>
  </w:num>
  <w:num w:numId="93" w16cid:durableId="1571304175">
    <w:abstractNumId w:val="60"/>
  </w:num>
  <w:num w:numId="94" w16cid:durableId="546377438">
    <w:abstractNumId w:val="122"/>
  </w:num>
  <w:num w:numId="95" w16cid:durableId="420416345">
    <w:abstractNumId w:val="281"/>
  </w:num>
  <w:num w:numId="96" w16cid:durableId="786464070">
    <w:abstractNumId w:val="106"/>
  </w:num>
  <w:num w:numId="97" w16cid:durableId="701172851">
    <w:abstractNumId w:val="218"/>
  </w:num>
  <w:num w:numId="98" w16cid:durableId="70781993">
    <w:abstractNumId w:val="84"/>
  </w:num>
  <w:num w:numId="99" w16cid:durableId="1656295532">
    <w:abstractNumId w:val="175"/>
  </w:num>
  <w:num w:numId="100" w16cid:durableId="1272779908">
    <w:abstractNumId w:val="164"/>
  </w:num>
  <w:num w:numId="101" w16cid:durableId="1172600851">
    <w:abstractNumId w:val="134"/>
  </w:num>
  <w:num w:numId="102" w16cid:durableId="1766151370">
    <w:abstractNumId w:val="201"/>
  </w:num>
  <w:num w:numId="103" w16cid:durableId="1634864841">
    <w:abstractNumId w:val="124"/>
  </w:num>
  <w:num w:numId="104" w16cid:durableId="939339041">
    <w:abstractNumId w:val="131"/>
  </w:num>
  <w:num w:numId="105" w16cid:durableId="199510987">
    <w:abstractNumId w:val="36"/>
  </w:num>
  <w:num w:numId="106" w16cid:durableId="461966050">
    <w:abstractNumId w:val="127"/>
  </w:num>
  <w:num w:numId="107" w16cid:durableId="551230287">
    <w:abstractNumId w:val="327"/>
  </w:num>
  <w:num w:numId="108" w16cid:durableId="322860932">
    <w:abstractNumId w:val="249"/>
  </w:num>
  <w:num w:numId="109" w16cid:durableId="132799676">
    <w:abstractNumId w:val="210"/>
  </w:num>
  <w:num w:numId="110" w16cid:durableId="11685208">
    <w:abstractNumId w:val="250"/>
  </w:num>
  <w:num w:numId="111" w16cid:durableId="316812941">
    <w:abstractNumId w:val="9"/>
  </w:num>
  <w:num w:numId="112" w16cid:durableId="970868702">
    <w:abstractNumId w:val="191"/>
  </w:num>
  <w:num w:numId="113" w16cid:durableId="1532839817">
    <w:abstractNumId w:val="78"/>
  </w:num>
  <w:num w:numId="114" w16cid:durableId="1951890711">
    <w:abstractNumId w:val="211"/>
  </w:num>
  <w:num w:numId="115" w16cid:durableId="1586575306">
    <w:abstractNumId w:val="85"/>
  </w:num>
  <w:num w:numId="116" w16cid:durableId="1959603861">
    <w:abstractNumId w:val="65"/>
  </w:num>
  <w:num w:numId="117" w16cid:durableId="420025693">
    <w:abstractNumId w:val="166"/>
  </w:num>
  <w:num w:numId="118" w16cid:durableId="717359803">
    <w:abstractNumId w:val="222"/>
  </w:num>
  <w:num w:numId="119" w16cid:durableId="569271210">
    <w:abstractNumId w:val="126"/>
  </w:num>
  <w:num w:numId="120" w16cid:durableId="707221003">
    <w:abstractNumId w:val="100"/>
  </w:num>
  <w:num w:numId="121" w16cid:durableId="919826826">
    <w:abstractNumId w:val="70"/>
  </w:num>
  <w:num w:numId="122" w16cid:durableId="309753438">
    <w:abstractNumId w:val="323"/>
  </w:num>
  <w:num w:numId="123" w16cid:durableId="857305594">
    <w:abstractNumId w:val="272"/>
  </w:num>
  <w:num w:numId="124" w16cid:durableId="1769036850">
    <w:abstractNumId w:val="89"/>
  </w:num>
  <w:num w:numId="125" w16cid:durableId="1871871479">
    <w:abstractNumId w:val="4"/>
  </w:num>
  <w:num w:numId="126" w16cid:durableId="770322155">
    <w:abstractNumId w:val="150"/>
  </w:num>
  <w:num w:numId="127" w16cid:durableId="884371716">
    <w:abstractNumId w:val="44"/>
  </w:num>
  <w:num w:numId="128" w16cid:durableId="319163284">
    <w:abstractNumId w:val="15"/>
  </w:num>
  <w:num w:numId="129" w16cid:durableId="633825981">
    <w:abstractNumId w:val="110"/>
  </w:num>
  <w:num w:numId="130" w16cid:durableId="1384866199">
    <w:abstractNumId w:val="132"/>
  </w:num>
  <w:num w:numId="131" w16cid:durableId="690305982">
    <w:abstractNumId w:val="154"/>
  </w:num>
  <w:num w:numId="132" w16cid:durableId="1929919437">
    <w:abstractNumId w:val="256"/>
  </w:num>
  <w:num w:numId="133" w16cid:durableId="1751003739">
    <w:abstractNumId w:val="270"/>
  </w:num>
  <w:num w:numId="134" w16cid:durableId="214853907">
    <w:abstractNumId w:val="170"/>
  </w:num>
  <w:num w:numId="135" w16cid:durableId="108937825">
    <w:abstractNumId w:val="226"/>
  </w:num>
  <w:num w:numId="136" w16cid:durableId="1207261">
    <w:abstractNumId w:val="140"/>
  </w:num>
  <w:num w:numId="137" w16cid:durableId="1020738630">
    <w:abstractNumId w:val="217"/>
  </w:num>
  <w:num w:numId="138" w16cid:durableId="1622178263">
    <w:abstractNumId w:val="46"/>
  </w:num>
  <w:num w:numId="139" w16cid:durableId="1459104531">
    <w:abstractNumId w:val="137"/>
  </w:num>
  <w:num w:numId="140" w16cid:durableId="561672305">
    <w:abstractNumId w:val="268"/>
  </w:num>
  <w:num w:numId="141" w16cid:durableId="201405753">
    <w:abstractNumId w:val="57"/>
  </w:num>
  <w:num w:numId="142" w16cid:durableId="1330252468">
    <w:abstractNumId w:val="168"/>
  </w:num>
  <w:num w:numId="143" w16cid:durableId="1449660015">
    <w:abstractNumId w:val="10"/>
  </w:num>
  <w:num w:numId="144" w16cid:durableId="1351222235">
    <w:abstractNumId w:val="172"/>
  </w:num>
  <w:num w:numId="145" w16cid:durableId="2000497853">
    <w:abstractNumId w:val="335"/>
  </w:num>
  <w:num w:numId="146" w16cid:durableId="1433672086">
    <w:abstractNumId w:val="192"/>
  </w:num>
  <w:num w:numId="147" w16cid:durableId="1269236190">
    <w:abstractNumId w:val="280"/>
  </w:num>
  <w:num w:numId="148" w16cid:durableId="1278367732">
    <w:abstractNumId w:val="299"/>
  </w:num>
  <w:num w:numId="149" w16cid:durableId="2040472168">
    <w:abstractNumId w:val="336"/>
  </w:num>
  <w:num w:numId="150" w16cid:durableId="455952957">
    <w:abstractNumId w:val="117"/>
  </w:num>
  <w:num w:numId="151" w16cid:durableId="469323725">
    <w:abstractNumId w:val="144"/>
  </w:num>
  <w:num w:numId="152" w16cid:durableId="370809133">
    <w:abstractNumId w:val="29"/>
  </w:num>
  <w:num w:numId="153" w16cid:durableId="913274602">
    <w:abstractNumId w:val="88"/>
  </w:num>
  <w:num w:numId="154" w16cid:durableId="1046637950">
    <w:abstractNumId w:val="35"/>
  </w:num>
  <w:num w:numId="155" w16cid:durableId="1906448573">
    <w:abstractNumId w:val="328"/>
  </w:num>
  <w:num w:numId="156" w16cid:durableId="1647783450">
    <w:abstractNumId w:val="147"/>
  </w:num>
  <w:num w:numId="157" w16cid:durableId="77682409">
    <w:abstractNumId w:val="68"/>
  </w:num>
  <w:num w:numId="158" w16cid:durableId="1030032833">
    <w:abstractNumId w:val="333"/>
  </w:num>
  <w:num w:numId="159" w16cid:durableId="533663157">
    <w:abstractNumId w:val="309"/>
  </w:num>
  <w:num w:numId="160" w16cid:durableId="520751108">
    <w:abstractNumId w:val="158"/>
  </w:num>
  <w:num w:numId="161" w16cid:durableId="844633476">
    <w:abstractNumId w:val="98"/>
  </w:num>
  <w:num w:numId="162" w16cid:durableId="632951193">
    <w:abstractNumId w:val="241"/>
  </w:num>
  <w:num w:numId="163" w16cid:durableId="938946760">
    <w:abstractNumId w:val="233"/>
  </w:num>
  <w:num w:numId="164" w16cid:durableId="587545227">
    <w:abstractNumId w:val="56"/>
  </w:num>
  <w:num w:numId="165" w16cid:durableId="1547764853">
    <w:abstractNumId w:val="322"/>
  </w:num>
  <w:num w:numId="166" w16cid:durableId="142545689">
    <w:abstractNumId w:val="114"/>
  </w:num>
  <w:num w:numId="167" w16cid:durableId="781614656">
    <w:abstractNumId w:val="208"/>
  </w:num>
  <w:num w:numId="168" w16cid:durableId="332687278">
    <w:abstractNumId w:val="92"/>
  </w:num>
  <w:num w:numId="169" w16cid:durableId="1320379206">
    <w:abstractNumId w:val="239"/>
  </w:num>
  <w:num w:numId="170" w16cid:durableId="1192646412">
    <w:abstractNumId w:val="118"/>
  </w:num>
  <w:num w:numId="171" w16cid:durableId="1272933252">
    <w:abstractNumId w:val="297"/>
  </w:num>
  <w:num w:numId="172" w16cid:durableId="2041323565">
    <w:abstractNumId w:val="96"/>
  </w:num>
  <w:num w:numId="173" w16cid:durableId="1874266300">
    <w:abstractNumId w:val="156"/>
  </w:num>
  <w:num w:numId="174" w16cid:durableId="1808007955">
    <w:abstractNumId w:val="225"/>
  </w:num>
  <w:num w:numId="175" w16cid:durableId="600994644">
    <w:abstractNumId w:val="305"/>
  </w:num>
  <w:num w:numId="176" w16cid:durableId="1026323256">
    <w:abstractNumId w:val="194"/>
  </w:num>
  <w:num w:numId="177" w16cid:durableId="30496453">
    <w:abstractNumId w:val="87"/>
  </w:num>
  <w:num w:numId="178" w16cid:durableId="1179347295">
    <w:abstractNumId w:val="123"/>
  </w:num>
  <w:num w:numId="179" w16cid:durableId="667052245">
    <w:abstractNumId w:val="20"/>
  </w:num>
  <w:num w:numId="180" w16cid:durableId="1095903616">
    <w:abstractNumId w:val="185"/>
  </w:num>
  <w:num w:numId="181" w16cid:durableId="1700279330">
    <w:abstractNumId w:val="193"/>
  </w:num>
  <w:num w:numId="182" w16cid:durableId="1844346857">
    <w:abstractNumId w:val="83"/>
  </w:num>
  <w:num w:numId="183" w16cid:durableId="1634827051">
    <w:abstractNumId w:val="231"/>
  </w:num>
  <w:num w:numId="184" w16cid:durableId="1903783666">
    <w:abstractNumId w:val="55"/>
  </w:num>
  <w:num w:numId="185" w16cid:durableId="419958340">
    <w:abstractNumId w:val="25"/>
  </w:num>
  <w:num w:numId="186" w16cid:durableId="1320577296">
    <w:abstractNumId w:val="182"/>
  </w:num>
  <w:num w:numId="187" w16cid:durableId="1324629887">
    <w:abstractNumId w:val="325"/>
  </w:num>
  <w:num w:numId="188" w16cid:durableId="945504605">
    <w:abstractNumId w:val="33"/>
  </w:num>
  <w:num w:numId="189" w16cid:durableId="402025583">
    <w:abstractNumId w:val="284"/>
  </w:num>
  <w:num w:numId="190" w16cid:durableId="905644434">
    <w:abstractNumId w:val="155"/>
  </w:num>
  <w:num w:numId="191" w16cid:durableId="2105490480">
    <w:abstractNumId w:val="258"/>
  </w:num>
  <w:num w:numId="192" w16cid:durableId="1261644345">
    <w:abstractNumId w:val="139"/>
  </w:num>
  <w:num w:numId="193" w16cid:durableId="596016286">
    <w:abstractNumId w:val="3"/>
  </w:num>
  <w:num w:numId="194" w16cid:durableId="2097821321">
    <w:abstractNumId w:val="24"/>
  </w:num>
  <w:num w:numId="195" w16cid:durableId="591665278">
    <w:abstractNumId w:val="261"/>
  </w:num>
  <w:num w:numId="196" w16cid:durableId="1732651372">
    <w:abstractNumId w:val="204"/>
  </w:num>
  <w:num w:numId="197" w16cid:durableId="89207667">
    <w:abstractNumId w:val="255"/>
  </w:num>
  <w:num w:numId="198" w16cid:durableId="150411670">
    <w:abstractNumId w:val="34"/>
  </w:num>
  <w:num w:numId="199" w16cid:durableId="1011563220">
    <w:abstractNumId w:val="167"/>
  </w:num>
  <w:num w:numId="200" w16cid:durableId="1576621538">
    <w:abstractNumId w:val="80"/>
  </w:num>
  <w:num w:numId="201" w16cid:durableId="2136636942">
    <w:abstractNumId w:val="5"/>
  </w:num>
  <w:num w:numId="202" w16cid:durableId="233785550">
    <w:abstractNumId w:val="107"/>
  </w:num>
  <w:num w:numId="203" w16cid:durableId="1277450244">
    <w:abstractNumId w:val="184"/>
  </w:num>
  <w:num w:numId="204" w16cid:durableId="166793207">
    <w:abstractNumId w:val="223"/>
  </w:num>
  <w:num w:numId="205" w16cid:durableId="156239232">
    <w:abstractNumId w:val="64"/>
  </w:num>
  <w:num w:numId="206" w16cid:durableId="1972175593">
    <w:abstractNumId w:val="112"/>
  </w:num>
  <w:num w:numId="207" w16cid:durableId="1219125657">
    <w:abstractNumId w:val="263"/>
  </w:num>
  <w:num w:numId="208" w16cid:durableId="1421294038">
    <w:abstractNumId w:val="300"/>
  </w:num>
  <w:num w:numId="209" w16cid:durableId="33241762">
    <w:abstractNumId w:val="6"/>
  </w:num>
  <w:num w:numId="210" w16cid:durableId="1973360791">
    <w:abstractNumId w:val="45"/>
  </w:num>
  <w:num w:numId="211" w16cid:durableId="1960915164">
    <w:abstractNumId w:val="17"/>
  </w:num>
  <w:num w:numId="212" w16cid:durableId="563880552">
    <w:abstractNumId w:val="82"/>
  </w:num>
  <w:num w:numId="213" w16cid:durableId="1243182535">
    <w:abstractNumId w:val="81"/>
  </w:num>
  <w:num w:numId="214" w16cid:durableId="194736359">
    <w:abstractNumId w:val="198"/>
  </w:num>
  <w:num w:numId="215" w16cid:durableId="1587612341">
    <w:abstractNumId w:val="238"/>
  </w:num>
  <w:num w:numId="216" w16cid:durableId="2089378900">
    <w:abstractNumId w:val="265"/>
  </w:num>
  <w:num w:numId="217" w16cid:durableId="976448253">
    <w:abstractNumId w:val="146"/>
  </w:num>
  <w:num w:numId="218" w16cid:durableId="1997301922">
    <w:abstractNumId w:val="257"/>
  </w:num>
  <w:num w:numId="219" w16cid:durableId="1050302152">
    <w:abstractNumId w:val="39"/>
  </w:num>
  <w:num w:numId="220" w16cid:durableId="1274362861">
    <w:abstractNumId w:val="120"/>
  </w:num>
  <w:num w:numId="221" w16cid:durableId="635337364">
    <w:abstractNumId w:val="273"/>
  </w:num>
  <w:num w:numId="222" w16cid:durableId="1289705243">
    <w:abstractNumId w:val="260"/>
  </w:num>
  <w:num w:numId="223" w16cid:durableId="336663841">
    <w:abstractNumId w:val="148"/>
  </w:num>
  <w:num w:numId="224" w16cid:durableId="440421978">
    <w:abstractNumId w:val="91"/>
  </w:num>
  <w:num w:numId="225" w16cid:durableId="2009937542">
    <w:abstractNumId w:val="8"/>
  </w:num>
  <w:num w:numId="226" w16cid:durableId="2093575850">
    <w:abstractNumId w:val="326"/>
  </w:num>
  <w:num w:numId="227" w16cid:durableId="1854221180">
    <w:abstractNumId w:val="332"/>
  </w:num>
  <w:num w:numId="228" w16cid:durableId="1830516104">
    <w:abstractNumId w:val="247"/>
  </w:num>
  <w:num w:numId="229" w16cid:durableId="1372343434">
    <w:abstractNumId w:val="104"/>
  </w:num>
  <w:num w:numId="230" w16cid:durableId="1508055261">
    <w:abstractNumId w:val="312"/>
  </w:num>
  <w:num w:numId="231" w16cid:durableId="1320647869">
    <w:abstractNumId w:val="143"/>
  </w:num>
  <w:num w:numId="232" w16cid:durableId="807674788">
    <w:abstractNumId w:val="2"/>
  </w:num>
  <w:num w:numId="233" w16cid:durableId="1589582393">
    <w:abstractNumId w:val="188"/>
  </w:num>
  <w:num w:numId="234" w16cid:durableId="498473227">
    <w:abstractNumId w:val="67"/>
  </w:num>
  <w:num w:numId="235" w16cid:durableId="1194919704">
    <w:abstractNumId w:val="190"/>
  </w:num>
  <w:num w:numId="236" w16cid:durableId="794759652">
    <w:abstractNumId w:val="316"/>
  </w:num>
  <w:num w:numId="237" w16cid:durableId="961157528">
    <w:abstractNumId w:val="72"/>
  </w:num>
  <w:num w:numId="238" w16cid:durableId="854735501">
    <w:abstractNumId w:val="321"/>
  </w:num>
  <w:num w:numId="239" w16cid:durableId="843907428">
    <w:abstractNumId w:val="227"/>
  </w:num>
  <w:num w:numId="240" w16cid:durableId="1685474862">
    <w:abstractNumId w:val="317"/>
  </w:num>
  <w:num w:numId="241" w16cid:durableId="1123698018">
    <w:abstractNumId w:val="303"/>
  </w:num>
  <w:num w:numId="242" w16cid:durableId="717709514">
    <w:abstractNumId w:val="329"/>
  </w:num>
  <w:num w:numId="243" w16cid:durableId="599021614">
    <w:abstractNumId w:val="109"/>
  </w:num>
  <w:num w:numId="244" w16cid:durableId="325135674">
    <w:abstractNumId w:val="181"/>
  </w:num>
  <w:num w:numId="245" w16cid:durableId="772238845">
    <w:abstractNumId w:val="50"/>
  </w:num>
  <w:num w:numId="246" w16cid:durableId="63336578">
    <w:abstractNumId w:val="23"/>
  </w:num>
  <w:num w:numId="247" w16cid:durableId="2123113125">
    <w:abstractNumId w:val="237"/>
  </w:num>
  <w:num w:numId="248" w16cid:durableId="609288879">
    <w:abstractNumId w:val="103"/>
  </w:num>
  <w:num w:numId="249" w16cid:durableId="455366783">
    <w:abstractNumId w:val="145"/>
  </w:num>
  <w:num w:numId="250" w16cid:durableId="1469736710">
    <w:abstractNumId w:val="116"/>
  </w:num>
  <w:num w:numId="251" w16cid:durableId="2115705587">
    <w:abstractNumId w:val="32"/>
  </w:num>
  <w:num w:numId="252" w16cid:durableId="147938479">
    <w:abstractNumId w:val="246"/>
  </w:num>
  <w:num w:numId="253" w16cid:durableId="722488935">
    <w:abstractNumId w:val="51"/>
  </w:num>
  <w:num w:numId="254" w16cid:durableId="468401461">
    <w:abstractNumId w:val="236"/>
  </w:num>
  <w:num w:numId="255" w16cid:durableId="1976181824">
    <w:abstractNumId w:val="197"/>
  </w:num>
  <w:num w:numId="256" w16cid:durableId="1283725996">
    <w:abstractNumId w:val="232"/>
  </w:num>
  <w:num w:numId="257" w16cid:durableId="1932817724">
    <w:abstractNumId w:val="334"/>
  </w:num>
  <w:num w:numId="258" w16cid:durableId="439954506">
    <w:abstractNumId w:val="161"/>
  </w:num>
  <w:num w:numId="259" w16cid:durableId="1058627917">
    <w:abstractNumId w:val="54"/>
  </w:num>
  <w:num w:numId="260" w16cid:durableId="102576134">
    <w:abstractNumId w:val="196"/>
  </w:num>
  <w:num w:numId="261" w16cid:durableId="935482452">
    <w:abstractNumId w:val="160"/>
  </w:num>
  <w:num w:numId="262" w16cid:durableId="539780320">
    <w:abstractNumId w:val="285"/>
  </w:num>
  <w:num w:numId="263" w16cid:durableId="37171545">
    <w:abstractNumId w:val="77"/>
  </w:num>
  <w:num w:numId="264" w16cid:durableId="586773887">
    <w:abstractNumId w:val="228"/>
  </w:num>
  <w:num w:numId="265" w16cid:durableId="315453812">
    <w:abstractNumId w:val="66"/>
  </w:num>
  <w:num w:numId="266" w16cid:durableId="2085950920">
    <w:abstractNumId w:val="136"/>
  </w:num>
  <w:num w:numId="267" w16cid:durableId="1855990960">
    <w:abstractNumId w:val="253"/>
  </w:num>
  <w:num w:numId="268" w16cid:durableId="1227955302">
    <w:abstractNumId w:val="338"/>
  </w:num>
  <w:num w:numId="269" w16cid:durableId="1015688926">
    <w:abstractNumId w:val="279"/>
  </w:num>
  <w:num w:numId="270" w16cid:durableId="1396929531">
    <w:abstractNumId w:val="173"/>
  </w:num>
  <w:num w:numId="271" w16cid:durableId="1558541917">
    <w:abstractNumId w:val="128"/>
  </w:num>
  <w:num w:numId="272" w16cid:durableId="1097795722">
    <w:abstractNumId w:val="93"/>
  </w:num>
  <w:num w:numId="273" w16cid:durableId="1849323413">
    <w:abstractNumId w:val="165"/>
  </w:num>
  <w:num w:numId="274" w16cid:durableId="1317803898">
    <w:abstractNumId w:val="12"/>
  </w:num>
  <w:num w:numId="275" w16cid:durableId="15497849">
    <w:abstractNumId w:val="274"/>
  </w:num>
  <w:num w:numId="276" w16cid:durableId="1349216590">
    <w:abstractNumId w:val="331"/>
  </w:num>
  <w:num w:numId="277" w16cid:durableId="1224759348">
    <w:abstractNumId w:val="105"/>
  </w:num>
  <w:num w:numId="278" w16cid:durableId="125701630">
    <w:abstractNumId w:val="58"/>
  </w:num>
  <w:num w:numId="279" w16cid:durableId="1291783237">
    <w:abstractNumId w:val="290"/>
  </w:num>
  <w:num w:numId="280" w16cid:durableId="1359506606">
    <w:abstractNumId w:val="21"/>
  </w:num>
  <w:num w:numId="281" w16cid:durableId="589314143">
    <w:abstractNumId w:val="31"/>
  </w:num>
  <w:num w:numId="282" w16cid:durableId="227612136">
    <w:abstractNumId w:val="337"/>
  </w:num>
  <w:num w:numId="283" w16cid:durableId="1227760724">
    <w:abstractNumId w:val="129"/>
  </w:num>
  <w:num w:numId="284" w16cid:durableId="1195341505">
    <w:abstractNumId w:val="27"/>
  </w:num>
  <w:num w:numId="285" w16cid:durableId="1598521132">
    <w:abstractNumId w:val="313"/>
  </w:num>
  <w:num w:numId="286" w16cid:durableId="1420062382">
    <w:abstractNumId w:val="244"/>
  </w:num>
  <w:num w:numId="287" w16cid:durableId="1172837000">
    <w:abstractNumId w:val="251"/>
  </w:num>
  <w:num w:numId="288" w16cid:durableId="2118401988">
    <w:abstractNumId w:val="199"/>
  </w:num>
  <w:num w:numId="289" w16cid:durableId="989166422">
    <w:abstractNumId w:val="38"/>
  </w:num>
  <w:num w:numId="290" w16cid:durableId="2040205792">
    <w:abstractNumId w:val="22"/>
  </w:num>
  <w:num w:numId="291" w16cid:durableId="2082560862">
    <w:abstractNumId w:val="275"/>
  </w:num>
  <w:num w:numId="292" w16cid:durableId="1765612406">
    <w:abstractNumId w:val="271"/>
  </w:num>
  <w:num w:numId="293" w16cid:durableId="1550150595">
    <w:abstractNumId w:val="41"/>
  </w:num>
  <w:num w:numId="294" w16cid:durableId="826475063">
    <w:abstractNumId w:val="74"/>
  </w:num>
  <w:num w:numId="295" w16cid:durableId="1277326953">
    <w:abstractNumId w:val="266"/>
  </w:num>
  <w:num w:numId="296" w16cid:durableId="1477381706">
    <w:abstractNumId w:val="291"/>
  </w:num>
  <w:num w:numId="297" w16cid:durableId="969552957">
    <w:abstractNumId w:val="216"/>
  </w:num>
  <w:num w:numId="298" w16cid:durableId="1369835832">
    <w:abstractNumId w:val="119"/>
  </w:num>
  <w:num w:numId="299" w16cid:durableId="1579711974">
    <w:abstractNumId w:val="212"/>
  </w:num>
  <w:num w:numId="300" w16cid:durableId="1954436326">
    <w:abstractNumId w:val="189"/>
  </w:num>
  <w:num w:numId="301" w16cid:durableId="1586762758">
    <w:abstractNumId w:val="287"/>
  </w:num>
  <w:num w:numId="302" w16cid:durableId="1574661330">
    <w:abstractNumId w:val="53"/>
  </w:num>
  <w:num w:numId="303" w16cid:durableId="639922292">
    <w:abstractNumId w:val="278"/>
  </w:num>
  <w:num w:numId="304" w16cid:durableId="1448231087">
    <w:abstractNumId w:val="187"/>
  </w:num>
  <w:num w:numId="305" w16cid:durableId="239603248">
    <w:abstractNumId w:val="288"/>
  </w:num>
  <w:num w:numId="306" w16cid:durableId="448015976">
    <w:abstractNumId w:val="75"/>
  </w:num>
  <w:num w:numId="307" w16cid:durableId="1352148585">
    <w:abstractNumId w:val="13"/>
  </w:num>
  <w:num w:numId="308" w16cid:durableId="848106082">
    <w:abstractNumId w:val="133"/>
  </w:num>
  <w:num w:numId="309" w16cid:durableId="667902779">
    <w:abstractNumId w:val="18"/>
  </w:num>
  <w:num w:numId="310" w16cid:durableId="1373993552">
    <w:abstractNumId w:val="61"/>
  </w:num>
  <w:num w:numId="311" w16cid:durableId="1704938080">
    <w:abstractNumId w:val="69"/>
  </w:num>
  <w:num w:numId="312" w16cid:durableId="157888849">
    <w:abstractNumId w:val="95"/>
  </w:num>
  <w:num w:numId="313" w16cid:durableId="2128114857">
    <w:abstractNumId w:val="206"/>
  </w:num>
  <w:num w:numId="314" w16cid:durableId="1748259872">
    <w:abstractNumId w:val="42"/>
  </w:num>
  <w:num w:numId="315" w16cid:durableId="1123504493">
    <w:abstractNumId w:val="177"/>
  </w:num>
  <w:num w:numId="316" w16cid:durableId="676034083">
    <w:abstractNumId w:val="14"/>
  </w:num>
  <w:num w:numId="317" w16cid:durableId="1812792224">
    <w:abstractNumId w:val="169"/>
  </w:num>
  <w:num w:numId="318" w16cid:durableId="192118143">
    <w:abstractNumId w:val="203"/>
  </w:num>
  <w:num w:numId="319" w16cid:durableId="2142384459">
    <w:abstractNumId w:val="296"/>
  </w:num>
  <w:num w:numId="320" w16cid:durableId="2129737609">
    <w:abstractNumId w:val="130"/>
  </w:num>
  <w:num w:numId="321" w16cid:durableId="692222882">
    <w:abstractNumId w:val="180"/>
  </w:num>
  <w:num w:numId="322" w16cid:durableId="1751389561">
    <w:abstractNumId w:val="269"/>
  </w:num>
  <w:num w:numId="323" w16cid:durableId="1881436301">
    <w:abstractNumId w:val="37"/>
  </w:num>
  <w:num w:numId="324" w16cid:durableId="1027561837">
    <w:abstractNumId w:val="1"/>
  </w:num>
  <w:num w:numId="325" w16cid:durableId="1837308430">
    <w:abstractNumId w:val="315"/>
  </w:num>
  <w:num w:numId="326" w16cid:durableId="1674380510">
    <w:abstractNumId w:val="174"/>
  </w:num>
  <w:num w:numId="327" w16cid:durableId="1533306233">
    <w:abstractNumId w:val="102"/>
  </w:num>
  <w:num w:numId="328" w16cid:durableId="1275088789">
    <w:abstractNumId w:val="153"/>
  </w:num>
  <w:num w:numId="329" w16cid:durableId="1106340908">
    <w:abstractNumId w:val="229"/>
  </w:num>
  <w:num w:numId="330" w16cid:durableId="1941525995">
    <w:abstractNumId w:val="108"/>
  </w:num>
  <w:num w:numId="331" w16cid:durableId="1627735184">
    <w:abstractNumId w:val="295"/>
  </w:num>
  <w:num w:numId="332" w16cid:durableId="815997453">
    <w:abstractNumId w:val="26"/>
  </w:num>
  <w:num w:numId="333" w16cid:durableId="1596862463">
    <w:abstractNumId w:val="90"/>
  </w:num>
  <w:num w:numId="334" w16cid:durableId="1742753604">
    <w:abstractNumId w:val="76"/>
  </w:num>
  <w:num w:numId="335" w16cid:durableId="2140608171">
    <w:abstractNumId w:val="267"/>
  </w:num>
  <w:num w:numId="336" w16cid:durableId="192497932">
    <w:abstractNumId w:val="79"/>
  </w:num>
  <w:num w:numId="337" w16cid:durableId="799492873">
    <w:abstractNumId w:val="277"/>
  </w:num>
  <w:num w:numId="338" w16cid:durableId="52582786">
    <w:abstractNumId w:val="40"/>
  </w:num>
  <w:num w:numId="339" w16cid:durableId="1864248314">
    <w:abstractNumId w:val="176"/>
  </w:num>
  <w:num w:numId="340" w16cid:durableId="839155262">
    <w:abstractNumId w:val="243"/>
  </w:num>
  <w:numIdMacAtCleanup w:val="3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cia Meyer">
    <w15:presenceInfo w15:providerId="AD" w15:userId="S::maricia@etctracking.com::95f2665c-665f-4159-80c3-b1714f7103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12B8"/>
    <w:rsid w:val="000034FE"/>
    <w:rsid w:val="000047DD"/>
    <w:rsid w:val="00005949"/>
    <w:rsid w:val="0000661B"/>
    <w:rsid w:val="000072EC"/>
    <w:rsid w:val="0001346A"/>
    <w:rsid w:val="0001411D"/>
    <w:rsid w:val="00016CD0"/>
    <w:rsid w:val="00022A67"/>
    <w:rsid w:val="00022BF0"/>
    <w:rsid w:val="00023C58"/>
    <w:rsid w:val="00024501"/>
    <w:rsid w:val="000245D8"/>
    <w:rsid w:val="00024A04"/>
    <w:rsid w:val="0002795E"/>
    <w:rsid w:val="000308EA"/>
    <w:rsid w:val="00030C62"/>
    <w:rsid w:val="0003148A"/>
    <w:rsid w:val="000320A7"/>
    <w:rsid w:val="00032303"/>
    <w:rsid w:val="00032870"/>
    <w:rsid w:val="00033069"/>
    <w:rsid w:val="00035686"/>
    <w:rsid w:val="000363E2"/>
    <w:rsid w:val="00036C73"/>
    <w:rsid w:val="000378AB"/>
    <w:rsid w:val="000411F2"/>
    <w:rsid w:val="0004157B"/>
    <w:rsid w:val="00042260"/>
    <w:rsid w:val="000429C2"/>
    <w:rsid w:val="0004462F"/>
    <w:rsid w:val="0004465F"/>
    <w:rsid w:val="000448CB"/>
    <w:rsid w:val="0004551D"/>
    <w:rsid w:val="000462F2"/>
    <w:rsid w:val="00046963"/>
    <w:rsid w:val="00047772"/>
    <w:rsid w:val="000502D1"/>
    <w:rsid w:val="00051A83"/>
    <w:rsid w:val="00052B1B"/>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56D"/>
    <w:rsid w:val="00081C6E"/>
    <w:rsid w:val="00082D95"/>
    <w:rsid w:val="00082F92"/>
    <w:rsid w:val="00083154"/>
    <w:rsid w:val="000832DC"/>
    <w:rsid w:val="00083FA3"/>
    <w:rsid w:val="00084170"/>
    <w:rsid w:val="00085B09"/>
    <w:rsid w:val="000860F2"/>
    <w:rsid w:val="00086C73"/>
    <w:rsid w:val="00087C7A"/>
    <w:rsid w:val="00091415"/>
    <w:rsid w:val="0009155E"/>
    <w:rsid w:val="00092274"/>
    <w:rsid w:val="0009349F"/>
    <w:rsid w:val="000947F6"/>
    <w:rsid w:val="00096077"/>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0E84"/>
    <w:rsid w:val="000C1C64"/>
    <w:rsid w:val="000C3074"/>
    <w:rsid w:val="000C37DB"/>
    <w:rsid w:val="000C3E55"/>
    <w:rsid w:val="000C3F3C"/>
    <w:rsid w:val="000C66F7"/>
    <w:rsid w:val="000C7A9C"/>
    <w:rsid w:val="000D0657"/>
    <w:rsid w:val="000D47FF"/>
    <w:rsid w:val="000D6B61"/>
    <w:rsid w:val="000D71D3"/>
    <w:rsid w:val="000D7723"/>
    <w:rsid w:val="000E0CE5"/>
    <w:rsid w:val="000E0E42"/>
    <w:rsid w:val="000E0F0F"/>
    <w:rsid w:val="000E3F14"/>
    <w:rsid w:val="000E4CA6"/>
    <w:rsid w:val="000E6A4D"/>
    <w:rsid w:val="000F0CAC"/>
    <w:rsid w:val="000F2327"/>
    <w:rsid w:val="000F2654"/>
    <w:rsid w:val="000F2C63"/>
    <w:rsid w:val="000F332E"/>
    <w:rsid w:val="000F4710"/>
    <w:rsid w:val="000F595C"/>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5178"/>
    <w:rsid w:val="00126C2E"/>
    <w:rsid w:val="00127BCE"/>
    <w:rsid w:val="00130EA0"/>
    <w:rsid w:val="00132014"/>
    <w:rsid w:val="00132199"/>
    <w:rsid w:val="0013291C"/>
    <w:rsid w:val="00133E52"/>
    <w:rsid w:val="00136B5D"/>
    <w:rsid w:val="001445D2"/>
    <w:rsid w:val="001452CE"/>
    <w:rsid w:val="00145775"/>
    <w:rsid w:val="0014609A"/>
    <w:rsid w:val="00147F1D"/>
    <w:rsid w:val="00152183"/>
    <w:rsid w:val="00152D3B"/>
    <w:rsid w:val="00152D70"/>
    <w:rsid w:val="0015425E"/>
    <w:rsid w:val="001547D3"/>
    <w:rsid w:val="001551EC"/>
    <w:rsid w:val="001558B8"/>
    <w:rsid w:val="00155FBB"/>
    <w:rsid w:val="00162F9A"/>
    <w:rsid w:val="001634B1"/>
    <w:rsid w:val="00163ACC"/>
    <w:rsid w:val="00163F72"/>
    <w:rsid w:val="00164DD0"/>
    <w:rsid w:val="00165FB6"/>
    <w:rsid w:val="00167278"/>
    <w:rsid w:val="00170A9F"/>
    <w:rsid w:val="001717AB"/>
    <w:rsid w:val="00171B2A"/>
    <w:rsid w:val="00171B73"/>
    <w:rsid w:val="00172963"/>
    <w:rsid w:val="00174123"/>
    <w:rsid w:val="00174AB9"/>
    <w:rsid w:val="0017529D"/>
    <w:rsid w:val="001762BC"/>
    <w:rsid w:val="00176BAC"/>
    <w:rsid w:val="00176D45"/>
    <w:rsid w:val="001827F7"/>
    <w:rsid w:val="00184D72"/>
    <w:rsid w:val="0018571B"/>
    <w:rsid w:val="00187F12"/>
    <w:rsid w:val="00190A89"/>
    <w:rsid w:val="001931A2"/>
    <w:rsid w:val="00193B33"/>
    <w:rsid w:val="001940D8"/>
    <w:rsid w:val="00194611"/>
    <w:rsid w:val="00194DFB"/>
    <w:rsid w:val="001958C6"/>
    <w:rsid w:val="00195C77"/>
    <w:rsid w:val="00197050"/>
    <w:rsid w:val="001A0739"/>
    <w:rsid w:val="001A1AAB"/>
    <w:rsid w:val="001A1C02"/>
    <w:rsid w:val="001A2C87"/>
    <w:rsid w:val="001A331F"/>
    <w:rsid w:val="001A4860"/>
    <w:rsid w:val="001A513A"/>
    <w:rsid w:val="001A580B"/>
    <w:rsid w:val="001A5ABD"/>
    <w:rsid w:val="001A6EB2"/>
    <w:rsid w:val="001A7F3F"/>
    <w:rsid w:val="001B36F0"/>
    <w:rsid w:val="001B4B2D"/>
    <w:rsid w:val="001B4C7A"/>
    <w:rsid w:val="001B4C98"/>
    <w:rsid w:val="001B7DD5"/>
    <w:rsid w:val="001C088A"/>
    <w:rsid w:val="001C1293"/>
    <w:rsid w:val="001C3484"/>
    <w:rsid w:val="001C3833"/>
    <w:rsid w:val="001C48D1"/>
    <w:rsid w:val="001C4F6A"/>
    <w:rsid w:val="001C5311"/>
    <w:rsid w:val="001C5C45"/>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43A5"/>
    <w:rsid w:val="001E4D2D"/>
    <w:rsid w:val="001E57AD"/>
    <w:rsid w:val="001E64A5"/>
    <w:rsid w:val="001E6549"/>
    <w:rsid w:val="001F0C86"/>
    <w:rsid w:val="001F3144"/>
    <w:rsid w:val="001F63FB"/>
    <w:rsid w:val="001F71E4"/>
    <w:rsid w:val="002006C2"/>
    <w:rsid w:val="0020395B"/>
    <w:rsid w:val="00203AC8"/>
    <w:rsid w:val="0020529E"/>
    <w:rsid w:val="0020556A"/>
    <w:rsid w:val="00206FFB"/>
    <w:rsid w:val="00207171"/>
    <w:rsid w:val="002107C5"/>
    <w:rsid w:val="002109AB"/>
    <w:rsid w:val="00212441"/>
    <w:rsid w:val="00212741"/>
    <w:rsid w:val="00213EB3"/>
    <w:rsid w:val="00214CBE"/>
    <w:rsid w:val="002150C8"/>
    <w:rsid w:val="00215FBC"/>
    <w:rsid w:val="00216787"/>
    <w:rsid w:val="00216D09"/>
    <w:rsid w:val="00217064"/>
    <w:rsid w:val="00220C9A"/>
    <w:rsid w:val="00221F05"/>
    <w:rsid w:val="00222E9D"/>
    <w:rsid w:val="002233EE"/>
    <w:rsid w:val="002242FA"/>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4F6"/>
    <w:rsid w:val="002728C0"/>
    <w:rsid w:val="0027463E"/>
    <w:rsid w:val="00274B82"/>
    <w:rsid w:val="00274D31"/>
    <w:rsid w:val="00275107"/>
    <w:rsid w:val="002756C0"/>
    <w:rsid w:val="00275725"/>
    <w:rsid w:val="002761FD"/>
    <w:rsid w:val="0027745A"/>
    <w:rsid w:val="00277925"/>
    <w:rsid w:val="00277A2A"/>
    <w:rsid w:val="0028006A"/>
    <w:rsid w:val="0028144F"/>
    <w:rsid w:val="00281FA7"/>
    <w:rsid w:val="0028213B"/>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5B35"/>
    <w:rsid w:val="002B6E6C"/>
    <w:rsid w:val="002B773B"/>
    <w:rsid w:val="002B774C"/>
    <w:rsid w:val="002B7D26"/>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1F"/>
    <w:rsid w:val="002C7082"/>
    <w:rsid w:val="002D0358"/>
    <w:rsid w:val="002D0A23"/>
    <w:rsid w:val="002D2246"/>
    <w:rsid w:val="002D3BE5"/>
    <w:rsid w:val="002D4267"/>
    <w:rsid w:val="002D4DF9"/>
    <w:rsid w:val="002D5B74"/>
    <w:rsid w:val="002D5DFF"/>
    <w:rsid w:val="002D70CC"/>
    <w:rsid w:val="002E041D"/>
    <w:rsid w:val="002E0845"/>
    <w:rsid w:val="002E10BD"/>
    <w:rsid w:val="002E1513"/>
    <w:rsid w:val="002E1773"/>
    <w:rsid w:val="002E2030"/>
    <w:rsid w:val="002E2305"/>
    <w:rsid w:val="002E265F"/>
    <w:rsid w:val="002E3545"/>
    <w:rsid w:val="002E3FAB"/>
    <w:rsid w:val="002E4255"/>
    <w:rsid w:val="002E62E2"/>
    <w:rsid w:val="002E78A4"/>
    <w:rsid w:val="002E7C4F"/>
    <w:rsid w:val="002F08B9"/>
    <w:rsid w:val="002F428A"/>
    <w:rsid w:val="002F61C8"/>
    <w:rsid w:val="002F6A9D"/>
    <w:rsid w:val="00302DF9"/>
    <w:rsid w:val="0030546E"/>
    <w:rsid w:val="00305681"/>
    <w:rsid w:val="00305AA2"/>
    <w:rsid w:val="00305AF0"/>
    <w:rsid w:val="00306314"/>
    <w:rsid w:val="0030680B"/>
    <w:rsid w:val="00306DC7"/>
    <w:rsid w:val="003072D2"/>
    <w:rsid w:val="0031050B"/>
    <w:rsid w:val="003119AD"/>
    <w:rsid w:val="0031310A"/>
    <w:rsid w:val="00314371"/>
    <w:rsid w:val="003151B5"/>
    <w:rsid w:val="00315787"/>
    <w:rsid w:val="00316842"/>
    <w:rsid w:val="00317218"/>
    <w:rsid w:val="003202AF"/>
    <w:rsid w:val="00320544"/>
    <w:rsid w:val="0032086A"/>
    <w:rsid w:val="0032160E"/>
    <w:rsid w:val="00322C14"/>
    <w:rsid w:val="00323382"/>
    <w:rsid w:val="00323A55"/>
    <w:rsid w:val="00324401"/>
    <w:rsid w:val="003250E4"/>
    <w:rsid w:val="00330117"/>
    <w:rsid w:val="0033029F"/>
    <w:rsid w:val="00330462"/>
    <w:rsid w:val="00331187"/>
    <w:rsid w:val="00331204"/>
    <w:rsid w:val="003324C4"/>
    <w:rsid w:val="00334253"/>
    <w:rsid w:val="00335C08"/>
    <w:rsid w:val="00337917"/>
    <w:rsid w:val="003413DC"/>
    <w:rsid w:val="00342253"/>
    <w:rsid w:val="00344030"/>
    <w:rsid w:val="0034423D"/>
    <w:rsid w:val="00344D2E"/>
    <w:rsid w:val="00344E50"/>
    <w:rsid w:val="003451CF"/>
    <w:rsid w:val="00345531"/>
    <w:rsid w:val="003471D6"/>
    <w:rsid w:val="00352FCF"/>
    <w:rsid w:val="00353410"/>
    <w:rsid w:val="0035344A"/>
    <w:rsid w:val="00353C3B"/>
    <w:rsid w:val="0035404F"/>
    <w:rsid w:val="0035506C"/>
    <w:rsid w:val="0035733D"/>
    <w:rsid w:val="003573E3"/>
    <w:rsid w:val="00357923"/>
    <w:rsid w:val="003607A4"/>
    <w:rsid w:val="00360D1C"/>
    <w:rsid w:val="00360D3E"/>
    <w:rsid w:val="00361482"/>
    <w:rsid w:val="00361FEB"/>
    <w:rsid w:val="00363B4D"/>
    <w:rsid w:val="0036492C"/>
    <w:rsid w:val="00364B7E"/>
    <w:rsid w:val="00365952"/>
    <w:rsid w:val="00370E16"/>
    <w:rsid w:val="00371681"/>
    <w:rsid w:val="00373BDD"/>
    <w:rsid w:val="00374610"/>
    <w:rsid w:val="00376D7A"/>
    <w:rsid w:val="003818FF"/>
    <w:rsid w:val="003845E5"/>
    <w:rsid w:val="00387364"/>
    <w:rsid w:val="00387385"/>
    <w:rsid w:val="003915CF"/>
    <w:rsid w:val="00392CD8"/>
    <w:rsid w:val="003943AE"/>
    <w:rsid w:val="0039489E"/>
    <w:rsid w:val="00394E7E"/>
    <w:rsid w:val="003A0536"/>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41EF"/>
    <w:rsid w:val="003B50E9"/>
    <w:rsid w:val="003B56C1"/>
    <w:rsid w:val="003B5859"/>
    <w:rsid w:val="003B7BFB"/>
    <w:rsid w:val="003B7BFE"/>
    <w:rsid w:val="003C215C"/>
    <w:rsid w:val="003C30E5"/>
    <w:rsid w:val="003C383C"/>
    <w:rsid w:val="003C5566"/>
    <w:rsid w:val="003C55C4"/>
    <w:rsid w:val="003C5969"/>
    <w:rsid w:val="003C5E20"/>
    <w:rsid w:val="003C62F4"/>
    <w:rsid w:val="003C6728"/>
    <w:rsid w:val="003C6BFB"/>
    <w:rsid w:val="003C789C"/>
    <w:rsid w:val="003D0021"/>
    <w:rsid w:val="003D0CE0"/>
    <w:rsid w:val="003D23F8"/>
    <w:rsid w:val="003D31A5"/>
    <w:rsid w:val="003D43D8"/>
    <w:rsid w:val="003D603A"/>
    <w:rsid w:val="003E0AC1"/>
    <w:rsid w:val="003E3795"/>
    <w:rsid w:val="003E5495"/>
    <w:rsid w:val="003E6260"/>
    <w:rsid w:val="003E785C"/>
    <w:rsid w:val="003F126E"/>
    <w:rsid w:val="003F1840"/>
    <w:rsid w:val="003F2288"/>
    <w:rsid w:val="003F46D6"/>
    <w:rsid w:val="003F4C08"/>
    <w:rsid w:val="003F4CD8"/>
    <w:rsid w:val="003F4E3D"/>
    <w:rsid w:val="003F5C37"/>
    <w:rsid w:val="00400188"/>
    <w:rsid w:val="0040018A"/>
    <w:rsid w:val="004014B8"/>
    <w:rsid w:val="0040292C"/>
    <w:rsid w:val="00402F96"/>
    <w:rsid w:val="00403A7F"/>
    <w:rsid w:val="004065C1"/>
    <w:rsid w:val="00406B06"/>
    <w:rsid w:val="00407ABD"/>
    <w:rsid w:val="00412726"/>
    <w:rsid w:val="00412959"/>
    <w:rsid w:val="004134E7"/>
    <w:rsid w:val="00413653"/>
    <w:rsid w:val="004142EF"/>
    <w:rsid w:val="004177C7"/>
    <w:rsid w:val="00417F77"/>
    <w:rsid w:val="004205AB"/>
    <w:rsid w:val="00422253"/>
    <w:rsid w:val="00422CE4"/>
    <w:rsid w:val="00423E21"/>
    <w:rsid w:val="00424AC2"/>
    <w:rsid w:val="00425344"/>
    <w:rsid w:val="00425516"/>
    <w:rsid w:val="00427CA7"/>
    <w:rsid w:val="00431135"/>
    <w:rsid w:val="004319DE"/>
    <w:rsid w:val="00434AFC"/>
    <w:rsid w:val="004352FF"/>
    <w:rsid w:val="00436D46"/>
    <w:rsid w:val="0044160D"/>
    <w:rsid w:val="00441BDC"/>
    <w:rsid w:val="00441D0D"/>
    <w:rsid w:val="00444BE0"/>
    <w:rsid w:val="00445195"/>
    <w:rsid w:val="004451D2"/>
    <w:rsid w:val="0044719A"/>
    <w:rsid w:val="004478CF"/>
    <w:rsid w:val="00450C8C"/>
    <w:rsid w:val="00450F9B"/>
    <w:rsid w:val="00451936"/>
    <w:rsid w:val="004546C8"/>
    <w:rsid w:val="0045481C"/>
    <w:rsid w:val="0045680F"/>
    <w:rsid w:val="004578C2"/>
    <w:rsid w:val="004603F0"/>
    <w:rsid w:val="00460978"/>
    <w:rsid w:val="00460E3E"/>
    <w:rsid w:val="00462706"/>
    <w:rsid w:val="00463291"/>
    <w:rsid w:val="00464269"/>
    <w:rsid w:val="00470C34"/>
    <w:rsid w:val="004711BB"/>
    <w:rsid w:val="00472E17"/>
    <w:rsid w:val="00474E01"/>
    <w:rsid w:val="00474EA7"/>
    <w:rsid w:val="0047707C"/>
    <w:rsid w:val="00480CA2"/>
    <w:rsid w:val="004811AC"/>
    <w:rsid w:val="00483888"/>
    <w:rsid w:val="004841B3"/>
    <w:rsid w:val="00484AAC"/>
    <w:rsid w:val="00486B28"/>
    <w:rsid w:val="0048789F"/>
    <w:rsid w:val="0049228A"/>
    <w:rsid w:val="004929E0"/>
    <w:rsid w:val="00493354"/>
    <w:rsid w:val="0049549C"/>
    <w:rsid w:val="004957E4"/>
    <w:rsid w:val="00496BE1"/>
    <w:rsid w:val="00496C1B"/>
    <w:rsid w:val="00497159"/>
    <w:rsid w:val="00497AA1"/>
    <w:rsid w:val="00497BA6"/>
    <w:rsid w:val="004A1AE0"/>
    <w:rsid w:val="004A1BDA"/>
    <w:rsid w:val="004A3912"/>
    <w:rsid w:val="004A3AD9"/>
    <w:rsid w:val="004A6B5E"/>
    <w:rsid w:val="004A6DB9"/>
    <w:rsid w:val="004A7D25"/>
    <w:rsid w:val="004B0654"/>
    <w:rsid w:val="004B0811"/>
    <w:rsid w:val="004B55B1"/>
    <w:rsid w:val="004B620F"/>
    <w:rsid w:val="004B7569"/>
    <w:rsid w:val="004B7855"/>
    <w:rsid w:val="004C0274"/>
    <w:rsid w:val="004C229D"/>
    <w:rsid w:val="004C2927"/>
    <w:rsid w:val="004C35C0"/>
    <w:rsid w:val="004C4168"/>
    <w:rsid w:val="004C429A"/>
    <w:rsid w:val="004C4943"/>
    <w:rsid w:val="004C49B9"/>
    <w:rsid w:val="004C7E4E"/>
    <w:rsid w:val="004D0FA9"/>
    <w:rsid w:val="004D185D"/>
    <w:rsid w:val="004D517B"/>
    <w:rsid w:val="004D693B"/>
    <w:rsid w:val="004D6B49"/>
    <w:rsid w:val="004D7CC8"/>
    <w:rsid w:val="004E0ED1"/>
    <w:rsid w:val="004E1C33"/>
    <w:rsid w:val="004E4635"/>
    <w:rsid w:val="004E47B4"/>
    <w:rsid w:val="004E5A95"/>
    <w:rsid w:val="004E6904"/>
    <w:rsid w:val="004E6D42"/>
    <w:rsid w:val="004F0E4B"/>
    <w:rsid w:val="004F11ED"/>
    <w:rsid w:val="004F4801"/>
    <w:rsid w:val="004F5CF8"/>
    <w:rsid w:val="004F6380"/>
    <w:rsid w:val="004F7093"/>
    <w:rsid w:val="004F7326"/>
    <w:rsid w:val="004F7EBE"/>
    <w:rsid w:val="00500773"/>
    <w:rsid w:val="0050269C"/>
    <w:rsid w:val="005036BF"/>
    <w:rsid w:val="00503E90"/>
    <w:rsid w:val="00503F70"/>
    <w:rsid w:val="005045ED"/>
    <w:rsid w:val="00504846"/>
    <w:rsid w:val="005050FA"/>
    <w:rsid w:val="00505D49"/>
    <w:rsid w:val="005066A2"/>
    <w:rsid w:val="00506FF7"/>
    <w:rsid w:val="005077E9"/>
    <w:rsid w:val="00507980"/>
    <w:rsid w:val="00511ABA"/>
    <w:rsid w:val="00512480"/>
    <w:rsid w:val="00514DD1"/>
    <w:rsid w:val="00517220"/>
    <w:rsid w:val="00517AF6"/>
    <w:rsid w:val="00520551"/>
    <w:rsid w:val="00520677"/>
    <w:rsid w:val="005206B6"/>
    <w:rsid w:val="00520C9D"/>
    <w:rsid w:val="00520DD9"/>
    <w:rsid w:val="005211ED"/>
    <w:rsid w:val="00521C2E"/>
    <w:rsid w:val="00521FD4"/>
    <w:rsid w:val="00526F6C"/>
    <w:rsid w:val="005272AC"/>
    <w:rsid w:val="00527B4D"/>
    <w:rsid w:val="0053441A"/>
    <w:rsid w:val="0053463D"/>
    <w:rsid w:val="0053555B"/>
    <w:rsid w:val="0053678D"/>
    <w:rsid w:val="005374D5"/>
    <w:rsid w:val="005414A4"/>
    <w:rsid w:val="0054168A"/>
    <w:rsid w:val="00541A1D"/>
    <w:rsid w:val="005441D8"/>
    <w:rsid w:val="0054477A"/>
    <w:rsid w:val="00544C80"/>
    <w:rsid w:val="00545D68"/>
    <w:rsid w:val="00546A31"/>
    <w:rsid w:val="005475F6"/>
    <w:rsid w:val="005478A4"/>
    <w:rsid w:val="005505F7"/>
    <w:rsid w:val="00550AB1"/>
    <w:rsid w:val="00550AD3"/>
    <w:rsid w:val="00550B47"/>
    <w:rsid w:val="005531B1"/>
    <w:rsid w:val="00553A80"/>
    <w:rsid w:val="00553E6D"/>
    <w:rsid w:val="00557052"/>
    <w:rsid w:val="00560704"/>
    <w:rsid w:val="00560A7C"/>
    <w:rsid w:val="00562811"/>
    <w:rsid w:val="0056395C"/>
    <w:rsid w:val="005639B2"/>
    <w:rsid w:val="00564DB4"/>
    <w:rsid w:val="00564E52"/>
    <w:rsid w:val="00565310"/>
    <w:rsid w:val="00566C9F"/>
    <w:rsid w:val="0056787C"/>
    <w:rsid w:val="00570B2E"/>
    <w:rsid w:val="00572253"/>
    <w:rsid w:val="00572C14"/>
    <w:rsid w:val="005748BC"/>
    <w:rsid w:val="00576BA4"/>
    <w:rsid w:val="00580D1E"/>
    <w:rsid w:val="005812E7"/>
    <w:rsid w:val="005844BC"/>
    <w:rsid w:val="00584C3C"/>
    <w:rsid w:val="00584DFD"/>
    <w:rsid w:val="00585B16"/>
    <w:rsid w:val="00586D2E"/>
    <w:rsid w:val="00587283"/>
    <w:rsid w:val="00590EB9"/>
    <w:rsid w:val="00590FA6"/>
    <w:rsid w:val="00591EA6"/>
    <w:rsid w:val="0059210A"/>
    <w:rsid w:val="005927E0"/>
    <w:rsid w:val="00594856"/>
    <w:rsid w:val="00595974"/>
    <w:rsid w:val="005973C5"/>
    <w:rsid w:val="005A061B"/>
    <w:rsid w:val="005A2879"/>
    <w:rsid w:val="005A3704"/>
    <w:rsid w:val="005A44E9"/>
    <w:rsid w:val="005A497D"/>
    <w:rsid w:val="005A4E11"/>
    <w:rsid w:val="005A4F81"/>
    <w:rsid w:val="005A501F"/>
    <w:rsid w:val="005A5179"/>
    <w:rsid w:val="005A555F"/>
    <w:rsid w:val="005A55D3"/>
    <w:rsid w:val="005A61B0"/>
    <w:rsid w:val="005A6AE8"/>
    <w:rsid w:val="005A6DB9"/>
    <w:rsid w:val="005A74B6"/>
    <w:rsid w:val="005B0049"/>
    <w:rsid w:val="005B033C"/>
    <w:rsid w:val="005B0979"/>
    <w:rsid w:val="005B27EC"/>
    <w:rsid w:val="005B2B0E"/>
    <w:rsid w:val="005B3352"/>
    <w:rsid w:val="005B4022"/>
    <w:rsid w:val="005B54B6"/>
    <w:rsid w:val="005B6886"/>
    <w:rsid w:val="005B76AC"/>
    <w:rsid w:val="005B7DCB"/>
    <w:rsid w:val="005B7E58"/>
    <w:rsid w:val="005C0763"/>
    <w:rsid w:val="005C1023"/>
    <w:rsid w:val="005C12F0"/>
    <w:rsid w:val="005C1B82"/>
    <w:rsid w:val="005C2532"/>
    <w:rsid w:val="005C31E9"/>
    <w:rsid w:val="005C390F"/>
    <w:rsid w:val="005C4077"/>
    <w:rsid w:val="005C4BF7"/>
    <w:rsid w:val="005C4C84"/>
    <w:rsid w:val="005C4DDB"/>
    <w:rsid w:val="005C5C26"/>
    <w:rsid w:val="005C5ED8"/>
    <w:rsid w:val="005C6DB5"/>
    <w:rsid w:val="005C773D"/>
    <w:rsid w:val="005D0304"/>
    <w:rsid w:val="005D0FC3"/>
    <w:rsid w:val="005D348E"/>
    <w:rsid w:val="005D3B53"/>
    <w:rsid w:val="005D3C19"/>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1C66"/>
    <w:rsid w:val="00601D3C"/>
    <w:rsid w:val="006022BA"/>
    <w:rsid w:val="006025F7"/>
    <w:rsid w:val="00602AA1"/>
    <w:rsid w:val="0060302B"/>
    <w:rsid w:val="006032CF"/>
    <w:rsid w:val="00603F2C"/>
    <w:rsid w:val="006057CD"/>
    <w:rsid w:val="00605C0E"/>
    <w:rsid w:val="006067D6"/>
    <w:rsid w:val="006104ED"/>
    <w:rsid w:val="00610D04"/>
    <w:rsid w:val="00610FA2"/>
    <w:rsid w:val="00612B45"/>
    <w:rsid w:val="006170CC"/>
    <w:rsid w:val="00617199"/>
    <w:rsid w:val="006208B6"/>
    <w:rsid w:val="006209C2"/>
    <w:rsid w:val="00620B30"/>
    <w:rsid w:val="00621201"/>
    <w:rsid w:val="00622734"/>
    <w:rsid w:val="00622CED"/>
    <w:rsid w:val="00623D2E"/>
    <w:rsid w:val="006242BE"/>
    <w:rsid w:val="00624EF3"/>
    <w:rsid w:val="00625397"/>
    <w:rsid w:val="00625DB4"/>
    <w:rsid w:val="00625E5D"/>
    <w:rsid w:val="00626C2E"/>
    <w:rsid w:val="0063169A"/>
    <w:rsid w:val="00631971"/>
    <w:rsid w:val="00631DB4"/>
    <w:rsid w:val="00631F97"/>
    <w:rsid w:val="00632423"/>
    <w:rsid w:val="00632DE8"/>
    <w:rsid w:val="00636C21"/>
    <w:rsid w:val="00641323"/>
    <w:rsid w:val="00641515"/>
    <w:rsid w:val="006417D6"/>
    <w:rsid w:val="006422BF"/>
    <w:rsid w:val="00642500"/>
    <w:rsid w:val="00642589"/>
    <w:rsid w:val="00644D9E"/>
    <w:rsid w:val="00645761"/>
    <w:rsid w:val="00645892"/>
    <w:rsid w:val="00646562"/>
    <w:rsid w:val="00647F32"/>
    <w:rsid w:val="006503D8"/>
    <w:rsid w:val="00650440"/>
    <w:rsid w:val="00652337"/>
    <w:rsid w:val="0065401F"/>
    <w:rsid w:val="006559B0"/>
    <w:rsid w:val="00656523"/>
    <w:rsid w:val="00656601"/>
    <w:rsid w:val="00657965"/>
    <w:rsid w:val="00660A2F"/>
    <w:rsid w:val="00661A8F"/>
    <w:rsid w:val="00662F2D"/>
    <w:rsid w:val="00665884"/>
    <w:rsid w:val="00667E20"/>
    <w:rsid w:val="00667FBA"/>
    <w:rsid w:val="00670DE7"/>
    <w:rsid w:val="00672E46"/>
    <w:rsid w:val="00674D1B"/>
    <w:rsid w:val="00675A4F"/>
    <w:rsid w:val="006761A4"/>
    <w:rsid w:val="00676358"/>
    <w:rsid w:val="00681B9A"/>
    <w:rsid w:val="0068410C"/>
    <w:rsid w:val="00685A82"/>
    <w:rsid w:val="00685EF8"/>
    <w:rsid w:val="00686764"/>
    <w:rsid w:val="00687423"/>
    <w:rsid w:val="00687A7C"/>
    <w:rsid w:val="00690139"/>
    <w:rsid w:val="00691193"/>
    <w:rsid w:val="00692015"/>
    <w:rsid w:val="006923C5"/>
    <w:rsid w:val="00693AC1"/>
    <w:rsid w:val="00693CE5"/>
    <w:rsid w:val="00693CFC"/>
    <w:rsid w:val="00694361"/>
    <w:rsid w:val="00694B93"/>
    <w:rsid w:val="006952B1"/>
    <w:rsid w:val="006961BE"/>
    <w:rsid w:val="00696339"/>
    <w:rsid w:val="006968D5"/>
    <w:rsid w:val="00696F10"/>
    <w:rsid w:val="006A0271"/>
    <w:rsid w:val="006A0353"/>
    <w:rsid w:val="006A09A8"/>
    <w:rsid w:val="006A0AA7"/>
    <w:rsid w:val="006A0C8C"/>
    <w:rsid w:val="006A29DE"/>
    <w:rsid w:val="006A34B8"/>
    <w:rsid w:val="006A4976"/>
    <w:rsid w:val="006A4C26"/>
    <w:rsid w:val="006A4D88"/>
    <w:rsid w:val="006A6593"/>
    <w:rsid w:val="006A6955"/>
    <w:rsid w:val="006B51A2"/>
    <w:rsid w:val="006B5A6A"/>
    <w:rsid w:val="006B73DC"/>
    <w:rsid w:val="006B7657"/>
    <w:rsid w:val="006B7B61"/>
    <w:rsid w:val="006B7CEC"/>
    <w:rsid w:val="006B7DAF"/>
    <w:rsid w:val="006C04F1"/>
    <w:rsid w:val="006C21E4"/>
    <w:rsid w:val="006C2527"/>
    <w:rsid w:val="006C2AEF"/>
    <w:rsid w:val="006C401B"/>
    <w:rsid w:val="006C4CA7"/>
    <w:rsid w:val="006C66AA"/>
    <w:rsid w:val="006C66EF"/>
    <w:rsid w:val="006C775B"/>
    <w:rsid w:val="006C7E15"/>
    <w:rsid w:val="006D0481"/>
    <w:rsid w:val="006D0E85"/>
    <w:rsid w:val="006D23EA"/>
    <w:rsid w:val="006D2E38"/>
    <w:rsid w:val="006D4177"/>
    <w:rsid w:val="006D72B1"/>
    <w:rsid w:val="006E03FD"/>
    <w:rsid w:val="006E1B24"/>
    <w:rsid w:val="006E2C40"/>
    <w:rsid w:val="006E457D"/>
    <w:rsid w:val="006E6E5D"/>
    <w:rsid w:val="006E7235"/>
    <w:rsid w:val="006F0BCA"/>
    <w:rsid w:val="006F103C"/>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05C3A"/>
    <w:rsid w:val="00706B1C"/>
    <w:rsid w:val="00707CB2"/>
    <w:rsid w:val="0071000E"/>
    <w:rsid w:val="00713B2D"/>
    <w:rsid w:val="00713DF3"/>
    <w:rsid w:val="00713FDB"/>
    <w:rsid w:val="007154E8"/>
    <w:rsid w:val="00715BB3"/>
    <w:rsid w:val="007170FA"/>
    <w:rsid w:val="00720A34"/>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C08"/>
    <w:rsid w:val="00743DF8"/>
    <w:rsid w:val="00744C87"/>
    <w:rsid w:val="0074543A"/>
    <w:rsid w:val="00745F80"/>
    <w:rsid w:val="00746F77"/>
    <w:rsid w:val="00747788"/>
    <w:rsid w:val="00747803"/>
    <w:rsid w:val="0074786B"/>
    <w:rsid w:val="007501EE"/>
    <w:rsid w:val="00750950"/>
    <w:rsid w:val="00750D8B"/>
    <w:rsid w:val="00750FE0"/>
    <w:rsid w:val="00751234"/>
    <w:rsid w:val="00753B9A"/>
    <w:rsid w:val="007555BC"/>
    <w:rsid w:val="00755C90"/>
    <w:rsid w:val="00755EFA"/>
    <w:rsid w:val="0075686B"/>
    <w:rsid w:val="00757053"/>
    <w:rsid w:val="00757443"/>
    <w:rsid w:val="0076365B"/>
    <w:rsid w:val="00765D8F"/>
    <w:rsid w:val="0076708F"/>
    <w:rsid w:val="0076730E"/>
    <w:rsid w:val="007711C3"/>
    <w:rsid w:val="00771595"/>
    <w:rsid w:val="00772675"/>
    <w:rsid w:val="0077371C"/>
    <w:rsid w:val="00774DA0"/>
    <w:rsid w:val="00777A25"/>
    <w:rsid w:val="00777DAB"/>
    <w:rsid w:val="00783743"/>
    <w:rsid w:val="00784009"/>
    <w:rsid w:val="0078404B"/>
    <w:rsid w:val="00784E6F"/>
    <w:rsid w:val="00786554"/>
    <w:rsid w:val="00787FC8"/>
    <w:rsid w:val="0079050D"/>
    <w:rsid w:val="00790BD8"/>
    <w:rsid w:val="00792644"/>
    <w:rsid w:val="00793194"/>
    <w:rsid w:val="00794BDD"/>
    <w:rsid w:val="00795358"/>
    <w:rsid w:val="0079543F"/>
    <w:rsid w:val="00795C0B"/>
    <w:rsid w:val="007A03B8"/>
    <w:rsid w:val="007A1185"/>
    <w:rsid w:val="007A1F76"/>
    <w:rsid w:val="007A2A07"/>
    <w:rsid w:val="007A382F"/>
    <w:rsid w:val="007A3FC7"/>
    <w:rsid w:val="007A4FF7"/>
    <w:rsid w:val="007A6367"/>
    <w:rsid w:val="007A6483"/>
    <w:rsid w:val="007A6558"/>
    <w:rsid w:val="007A7E58"/>
    <w:rsid w:val="007B0A28"/>
    <w:rsid w:val="007B1970"/>
    <w:rsid w:val="007B3FF0"/>
    <w:rsid w:val="007B4D3C"/>
    <w:rsid w:val="007B4D9A"/>
    <w:rsid w:val="007B75E5"/>
    <w:rsid w:val="007C12CD"/>
    <w:rsid w:val="007C3025"/>
    <w:rsid w:val="007C343E"/>
    <w:rsid w:val="007C4045"/>
    <w:rsid w:val="007C5376"/>
    <w:rsid w:val="007C5B9F"/>
    <w:rsid w:val="007C5D49"/>
    <w:rsid w:val="007C5FB7"/>
    <w:rsid w:val="007D01D3"/>
    <w:rsid w:val="007D0B93"/>
    <w:rsid w:val="007D15B7"/>
    <w:rsid w:val="007D164E"/>
    <w:rsid w:val="007D1B60"/>
    <w:rsid w:val="007D4D13"/>
    <w:rsid w:val="007D5DFC"/>
    <w:rsid w:val="007D7823"/>
    <w:rsid w:val="007D7D44"/>
    <w:rsid w:val="007E0135"/>
    <w:rsid w:val="007E0AA9"/>
    <w:rsid w:val="007E1554"/>
    <w:rsid w:val="007E1EB5"/>
    <w:rsid w:val="007E44DC"/>
    <w:rsid w:val="007E57B7"/>
    <w:rsid w:val="007E6167"/>
    <w:rsid w:val="007E69CA"/>
    <w:rsid w:val="007F039D"/>
    <w:rsid w:val="007F1C36"/>
    <w:rsid w:val="007F34C8"/>
    <w:rsid w:val="007F7544"/>
    <w:rsid w:val="007F7F37"/>
    <w:rsid w:val="00800942"/>
    <w:rsid w:val="00802268"/>
    <w:rsid w:val="00804287"/>
    <w:rsid w:val="008045F4"/>
    <w:rsid w:val="008067B2"/>
    <w:rsid w:val="00810511"/>
    <w:rsid w:val="008107F1"/>
    <w:rsid w:val="0081302C"/>
    <w:rsid w:val="00813AC0"/>
    <w:rsid w:val="00814B70"/>
    <w:rsid w:val="008151E2"/>
    <w:rsid w:val="008167F5"/>
    <w:rsid w:val="00822140"/>
    <w:rsid w:val="00822DFF"/>
    <w:rsid w:val="008273A7"/>
    <w:rsid w:val="0083205C"/>
    <w:rsid w:val="00832362"/>
    <w:rsid w:val="008329D4"/>
    <w:rsid w:val="00832A90"/>
    <w:rsid w:val="00833FCE"/>
    <w:rsid w:val="00834F37"/>
    <w:rsid w:val="00834FC3"/>
    <w:rsid w:val="008368E0"/>
    <w:rsid w:val="00837139"/>
    <w:rsid w:val="0084069E"/>
    <w:rsid w:val="00840BA6"/>
    <w:rsid w:val="00842C0E"/>
    <w:rsid w:val="00846504"/>
    <w:rsid w:val="00847198"/>
    <w:rsid w:val="00847484"/>
    <w:rsid w:val="00850DCC"/>
    <w:rsid w:val="00851837"/>
    <w:rsid w:val="00851982"/>
    <w:rsid w:val="0085462C"/>
    <w:rsid w:val="00854D39"/>
    <w:rsid w:val="008561D0"/>
    <w:rsid w:val="00857AF4"/>
    <w:rsid w:val="0086081F"/>
    <w:rsid w:val="008631FB"/>
    <w:rsid w:val="00864A4D"/>
    <w:rsid w:val="0086685D"/>
    <w:rsid w:val="008700FC"/>
    <w:rsid w:val="00871C4F"/>
    <w:rsid w:val="00872712"/>
    <w:rsid w:val="00872B3D"/>
    <w:rsid w:val="00874F95"/>
    <w:rsid w:val="00875BEC"/>
    <w:rsid w:val="0087798E"/>
    <w:rsid w:val="00880670"/>
    <w:rsid w:val="00883CEA"/>
    <w:rsid w:val="00886298"/>
    <w:rsid w:val="00887B68"/>
    <w:rsid w:val="00890B49"/>
    <w:rsid w:val="0089291F"/>
    <w:rsid w:val="00893079"/>
    <w:rsid w:val="00893126"/>
    <w:rsid w:val="00894524"/>
    <w:rsid w:val="00895B89"/>
    <w:rsid w:val="00896AE2"/>
    <w:rsid w:val="00896E8B"/>
    <w:rsid w:val="008A00BC"/>
    <w:rsid w:val="008A00DE"/>
    <w:rsid w:val="008A1E7B"/>
    <w:rsid w:val="008A39AE"/>
    <w:rsid w:val="008A47B9"/>
    <w:rsid w:val="008A6B0A"/>
    <w:rsid w:val="008B0CE2"/>
    <w:rsid w:val="008B1150"/>
    <w:rsid w:val="008B1A18"/>
    <w:rsid w:val="008B2DA5"/>
    <w:rsid w:val="008B4A8D"/>
    <w:rsid w:val="008B4DCC"/>
    <w:rsid w:val="008B508A"/>
    <w:rsid w:val="008B6F09"/>
    <w:rsid w:val="008B76B5"/>
    <w:rsid w:val="008B7ABB"/>
    <w:rsid w:val="008C0FB9"/>
    <w:rsid w:val="008C12F1"/>
    <w:rsid w:val="008C1B6D"/>
    <w:rsid w:val="008C2FCD"/>
    <w:rsid w:val="008C3908"/>
    <w:rsid w:val="008C614C"/>
    <w:rsid w:val="008C61E3"/>
    <w:rsid w:val="008C6649"/>
    <w:rsid w:val="008D014B"/>
    <w:rsid w:val="008D0559"/>
    <w:rsid w:val="008D149F"/>
    <w:rsid w:val="008D479A"/>
    <w:rsid w:val="008D6343"/>
    <w:rsid w:val="008D715B"/>
    <w:rsid w:val="008E0AFA"/>
    <w:rsid w:val="008E4C97"/>
    <w:rsid w:val="008E664C"/>
    <w:rsid w:val="008E6A49"/>
    <w:rsid w:val="008E6E4E"/>
    <w:rsid w:val="008E7FE3"/>
    <w:rsid w:val="008F0AA9"/>
    <w:rsid w:val="008F11F9"/>
    <w:rsid w:val="008F45FD"/>
    <w:rsid w:val="008F584F"/>
    <w:rsid w:val="008F5D50"/>
    <w:rsid w:val="008F633D"/>
    <w:rsid w:val="008F6481"/>
    <w:rsid w:val="008F6A4F"/>
    <w:rsid w:val="008F7360"/>
    <w:rsid w:val="00900BF6"/>
    <w:rsid w:val="0090227E"/>
    <w:rsid w:val="00903DDE"/>
    <w:rsid w:val="009040C5"/>
    <w:rsid w:val="00904423"/>
    <w:rsid w:val="00905696"/>
    <w:rsid w:val="00906C4C"/>
    <w:rsid w:val="00912924"/>
    <w:rsid w:val="00913D72"/>
    <w:rsid w:val="00915389"/>
    <w:rsid w:val="00915451"/>
    <w:rsid w:val="0091585E"/>
    <w:rsid w:val="00916413"/>
    <w:rsid w:val="00920ABE"/>
    <w:rsid w:val="009214DA"/>
    <w:rsid w:val="0092218C"/>
    <w:rsid w:val="00923A06"/>
    <w:rsid w:val="00925059"/>
    <w:rsid w:val="009253E4"/>
    <w:rsid w:val="00925C40"/>
    <w:rsid w:val="00925F5D"/>
    <w:rsid w:val="009261A6"/>
    <w:rsid w:val="009307B7"/>
    <w:rsid w:val="00930829"/>
    <w:rsid w:val="0093086F"/>
    <w:rsid w:val="00932DA8"/>
    <w:rsid w:val="009350B4"/>
    <w:rsid w:val="009373A9"/>
    <w:rsid w:val="009377B6"/>
    <w:rsid w:val="00940227"/>
    <w:rsid w:val="00940F4A"/>
    <w:rsid w:val="009411B7"/>
    <w:rsid w:val="00941617"/>
    <w:rsid w:val="00941AFB"/>
    <w:rsid w:val="00941BFD"/>
    <w:rsid w:val="0094214E"/>
    <w:rsid w:val="00943075"/>
    <w:rsid w:val="00943E24"/>
    <w:rsid w:val="0094524E"/>
    <w:rsid w:val="00945754"/>
    <w:rsid w:val="009457A4"/>
    <w:rsid w:val="00946A29"/>
    <w:rsid w:val="0095107A"/>
    <w:rsid w:val="0095144D"/>
    <w:rsid w:val="00951559"/>
    <w:rsid w:val="00952198"/>
    <w:rsid w:val="009525FD"/>
    <w:rsid w:val="00952759"/>
    <w:rsid w:val="0095556C"/>
    <w:rsid w:val="0095607A"/>
    <w:rsid w:val="00956CCD"/>
    <w:rsid w:val="0095771D"/>
    <w:rsid w:val="00957D66"/>
    <w:rsid w:val="00960E9C"/>
    <w:rsid w:val="00961AA1"/>
    <w:rsid w:val="00962BDB"/>
    <w:rsid w:val="00963321"/>
    <w:rsid w:val="009633E3"/>
    <w:rsid w:val="009641E4"/>
    <w:rsid w:val="0096449A"/>
    <w:rsid w:val="009664DA"/>
    <w:rsid w:val="00967C16"/>
    <w:rsid w:val="00972484"/>
    <w:rsid w:val="0097450B"/>
    <w:rsid w:val="00975429"/>
    <w:rsid w:val="00975B6E"/>
    <w:rsid w:val="0097600D"/>
    <w:rsid w:val="0097746B"/>
    <w:rsid w:val="00980E1A"/>
    <w:rsid w:val="00981D00"/>
    <w:rsid w:val="00982A74"/>
    <w:rsid w:val="00983654"/>
    <w:rsid w:val="0098383D"/>
    <w:rsid w:val="009848BE"/>
    <w:rsid w:val="009859A0"/>
    <w:rsid w:val="00986159"/>
    <w:rsid w:val="009869A8"/>
    <w:rsid w:val="00987929"/>
    <w:rsid w:val="009918F1"/>
    <w:rsid w:val="00991A30"/>
    <w:rsid w:val="009962E5"/>
    <w:rsid w:val="009977C2"/>
    <w:rsid w:val="00997DBE"/>
    <w:rsid w:val="009A0471"/>
    <w:rsid w:val="009A2DAF"/>
    <w:rsid w:val="009A459C"/>
    <w:rsid w:val="009A58E9"/>
    <w:rsid w:val="009A58F7"/>
    <w:rsid w:val="009A5B51"/>
    <w:rsid w:val="009B146F"/>
    <w:rsid w:val="009B28CA"/>
    <w:rsid w:val="009B31F7"/>
    <w:rsid w:val="009B451D"/>
    <w:rsid w:val="009B4FCA"/>
    <w:rsid w:val="009B5D14"/>
    <w:rsid w:val="009C0036"/>
    <w:rsid w:val="009C3171"/>
    <w:rsid w:val="009C5CB5"/>
    <w:rsid w:val="009C7E0F"/>
    <w:rsid w:val="009D1DAE"/>
    <w:rsid w:val="009D1F57"/>
    <w:rsid w:val="009D438A"/>
    <w:rsid w:val="009D5684"/>
    <w:rsid w:val="009D7C7E"/>
    <w:rsid w:val="009D7DAA"/>
    <w:rsid w:val="009E026F"/>
    <w:rsid w:val="009E1511"/>
    <w:rsid w:val="009E1517"/>
    <w:rsid w:val="009E2B0E"/>
    <w:rsid w:val="009E63A8"/>
    <w:rsid w:val="009E6654"/>
    <w:rsid w:val="009E6E1A"/>
    <w:rsid w:val="009E6FDE"/>
    <w:rsid w:val="009E741A"/>
    <w:rsid w:val="009E7E4C"/>
    <w:rsid w:val="009F0A09"/>
    <w:rsid w:val="009F43DA"/>
    <w:rsid w:val="009F6265"/>
    <w:rsid w:val="009F7793"/>
    <w:rsid w:val="009F7E31"/>
    <w:rsid w:val="00A00E0E"/>
    <w:rsid w:val="00A017AE"/>
    <w:rsid w:val="00A03081"/>
    <w:rsid w:val="00A03ECA"/>
    <w:rsid w:val="00A05765"/>
    <w:rsid w:val="00A061C5"/>
    <w:rsid w:val="00A06514"/>
    <w:rsid w:val="00A06688"/>
    <w:rsid w:val="00A073EA"/>
    <w:rsid w:val="00A11573"/>
    <w:rsid w:val="00A122A7"/>
    <w:rsid w:val="00A147FE"/>
    <w:rsid w:val="00A14BEC"/>
    <w:rsid w:val="00A15120"/>
    <w:rsid w:val="00A15372"/>
    <w:rsid w:val="00A15457"/>
    <w:rsid w:val="00A154D2"/>
    <w:rsid w:val="00A1574A"/>
    <w:rsid w:val="00A15FFF"/>
    <w:rsid w:val="00A160CB"/>
    <w:rsid w:val="00A16FB7"/>
    <w:rsid w:val="00A1765B"/>
    <w:rsid w:val="00A17D77"/>
    <w:rsid w:val="00A20B1F"/>
    <w:rsid w:val="00A20B44"/>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55FB9"/>
    <w:rsid w:val="00A60E99"/>
    <w:rsid w:val="00A615D0"/>
    <w:rsid w:val="00A61AE8"/>
    <w:rsid w:val="00A61FFF"/>
    <w:rsid w:val="00A63EEC"/>
    <w:rsid w:val="00A64BF3"/>
    <w:rsid w:val="00A64F2D"/>
    <w:rsid w:val="00A67962"/>
    <w:rsid w:val="00A709CE"/>
    <w:rsid w:val="00A72D0A"/>
    <w:rsid w:val="00A732D9"/>
    <w:rsid w:val="00A73748"/>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44BD"/>
    <w:rsid w:val="00A9583E"/>
    <w:rsid w:val="00A978AC"/>
    <w:rsid w:val="00AA3209"/>
    <w:rsid w:val="00AA56BE"/>
    <w:rsid w:val="00AA6284"/>
    <w:rsid w:val="00AA7DF7"/>
    <w:rsid w:val="00AB1F3A"/>
    <w:rsid w:val="00AB48D2"/>
    <w:rsid w:val="00AB5BE1"/>
    <w:rsid w:val="00AB65EB"/>
    <w:rsid w:val="00AB6B1F"/>
    <w:rsid w:val="00AC3531"/>
    <w:rsid w:val="00AC4BF4"/>
    <w:rsid w:val="00AC583C"/>
    <w:rsid w:val="00AC5E05"/>
    <w:rsid w:val="00AC6E89"/>
    <w:rsid w:val="00AC7CBF"/>
    <w:rsid w:val="00AD07AD"/>
    <w:rsid w:val="00AD0BA6"/>
    <w:rsid w:val="00AD171B"/>
    <w:rsid w:val="00AD1874"/>
    <w:rsid w:val="00AD257E"/>
    <w:rsid w:val="00AD320A"/>
    <w:rsid w:val="00AD4A8E"/>
    <w:rsid w:val="00AD650D"/>
    <w:rsid w:val="00AD67A8"/>
    <w:rsid w:val="00AD75E7"/>
    <w:rsid w:val="00AE0365"/>
    <w:rsid w:val="00AE03D4"/>
    <w:rsid w:val="00AE093C"/>
    <w:rsid w:val="00AE15FD"/>
    <w:rsid w:val="00AE1BAD"/>
    <w:rsid w:val="00AE2BBC"/>
    <w:rsid w:val="00AE320F"/>
    <w:rsid w:val="00AE3A65"/>
    <w:rsid w:val="00AE5A26"/>
    <w:rsid w:val="00AF05A6"/>
    <w:rsid w:val="00AF1E23"/>
    <w:rsid w:val="00AF2729"/>
    <w:rsid w:val="00AF4347"/>
    <w:rsid w:val="00AF46FA"/>
    <w:rsid w:val="00AF4CFD"/>
    <w:rsid w:val="00AF4ED7"/>
    <w:rsid w:val="00AF56FA"/>
    <w:rsid w:val="00AF5954"/>
    <w:rsid w:val="00AF5EE4"/>
    <w:rsid w:val="00AF5F62"/>
    <w:rsid w:val="00AF681C"/>
    <w:rsid w:val="00AF6D90"/>
    <w:rsid w:val="00AF748E"/>
    <w:rsid w:val="00B00182"/>
    <w:rsid w:val="00B01476"/>
    <w:rsid w:val="00B01E3D"/>
    <w:rsid w:val="00B02E99"/>
    <w:rsid w:val="00B03A9C"/>
    <w:rsid w:val="00B04D66"/>
    <w:rsid w:val="00B05D93"/>
    <w:rsid w:val="00B06DBE"/>
    <w:rsid w:val="00B06EF0"/>
    <w:rsid w:val="00B07F32"/>
    <w:rsid w:val="00B10905"/>
    <w:rsid w:val="00B10C58"/>
    <w:rsid w:val="00B10D2F"/>
    <w:rsid w:val="00B12D09"/>
    <w:rsid w:val="00B133DE"/>
    <w:rsid w:val="00B15363"/>
    <w:rsid w:val="00B15752"/>
    <w:rsid w:val="00B15BA1"/>
    <w:rsid w:val="00B20E35"/>
    <w:rsid w:val="00B21A3E"/>
    <w:rsid w:val="00B2282B"/>
    <w:rsid w:val="00B22B5D"/>
    <w:rsid w:val="00B22CE2"/>
    <w:rsid w:val="00B23FE9"/>
    <w:rsid w:val="00B2410E"/>
    <w:rsid w:val="00B24711"/>
    <w:rsid w:val="00B26EFE"/>
    <w:rsid w:val="00B3038C"/>
    <w:rsid w:val="00B32166"/>
    <w:rsid w:val="00B32565"/>
    <w:rsid w:val="00B32963"/>
    <w:rsid w:val="00B32A03"/>
    <w:rsid w:val="00B33506"/>
    <w:rsid w:val="00B35A51"/>
    <w:rsid w:val="00B3607D"/>
    <w:rsid w:val="00B372B1"/>
    <w:rsid w:val="00B40E3B"/>
    <w:rsid w:val="00B40EF7"/>
    <w:rsid w:val="00B410C9"/>
    <w:rsid w:val="00B42C57"/>
    <w:rsid w:val="00B435C5"/>
    <w:rsid w:val="00B44444"/>
    <w:rsid w:val="00B46928"/>
    <w:rsid w:val="00B4767F"/>
    <w:rsid w:val="00B47BC7"/>
    <w:rsid w:val="00B507C0"/>
    <w:rsid w:val="00B50B9A"/>
    <w:rsid w:val="00B531EE"/>
    <w:rsid w:val="00B53287"/>
    <w:rsid w:val="00B532F8"/>
    <w:rsid w:val="00B5345E"/>
    <w:rsid w:val="00B54711"/>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B7F"/>
    <w:rsid w:val="00B83C53"/>
    <w:rsid w:val="00B87CE2"/>
    <w:rsid w:val="00B87E5E"/>
    <w:rsid w:val="00B904C5"/>
    <w:rsid w:val="00B91285"/>
    <w:rsid w:val="00B939E8"/>
    <w:rsid w:val="00B93DFA"/>
    <w:rsid w:val="00B947DD"/>
    <w:rsid w:val="00B97A8C"/>
    <w:rsid w:val="00B97B69"/>
    <w:rsid w:val="00BA0C38"/>
    <w:rsid w:val="00BA0F26"/>
    <w:rsid w:val="00BA14F6"/>
    <w:rsid w:val="00BA2B89"/>
    <w:rsid w:val="00BA32F0"/>
    <w:rsid w:val="00BA3881"/>
    <w:rsid w:val="00BA49DF"/>
    <w:rsid w:val="00BA5F2B"/>
    <w:rsid w:val="00BA70EF"/>
    <w:rsid w:val="00BB2002"/>
    <w:rsid w:val="00BB3AFE"/>
    <w:rsid w:val="00BB4530"/>
    <w:rsid w:val="00BB534B"/>
    <w:rsid w:val="00BB6482"/>
    <w:rsid w:val="00BB6AC6"/>
    <w:rsid w:val="00BB6CC3"/>
    <w:rsid w:val="00BB6F69"/>
    <w:rsid w:val="00BB77C6"/>
    <w:rsid w:val="00BC016F"/>
    <w:rsid w:val="00BC08A5"/>
    <w:rsid w:val="00BC1699"/>
    <w:rsid w:val="00BC1FB2"/>
    <w:rsid w:val="00BC2995"/>
    <w:rsid w:val="00BC2F21"/>
    <w:rsid w:val="00BC2F49"/>
    <w:rsid w:val="00BC360C"/>
    <w:rsid w:val="00BC4562"/>
    <w:rsid w:val="00BC5E2E"/>
    <w:rsid w:val="00BC66B1"/>
    <w:rsid w:val="00BC78F1"/>
    <w:rsid w:val="00BD0192"/>
    <w:rsid w:val="00BD18A9"/>
    <w:rsid w:val="00BD18B0"/>
    <w:rsid w:val="00BD24B6"/>
    <w:rsid w:val="00BD3247"/>
    <w:rsid w:val="00BD445F"/>
    <w:rsid w:val="00BD4B9F"/>
    <w:rsid w:val="00BD55C5"/>
    <w:rsid w:val="00BD69DF"/>
    <w:rsid w:val="00BD78E9"/>
    <w:rsid w:val="00BE1607"/>
    <w:rsid w:val="00BE2E16"/>
    <w:rsid w:val="00BE3719"/>
    <w:rsid w:val="00BE3945"/>
    <w:rsid w:val="00BE3F34"/>
    <w:rsid w:val="00BE4586"/>
    <w:rsid w:val="00BE45C9"/>
    <w:rsid w:val="00BE4AEF"/>
    <w:rsid w:val="00BE6BB7"/>
    <w:rsid w:val="00BE7154"/>
    <w:rsid w:val="00BE7F90"/>
    <w:rsid w:val="00BF063B"/>
    <w:rsid w:val="00BF0E54"/>
    <w:rsid w:val="00BF388B"/>
    <w:rsid w:val="00BF4121"/>
    <w:rsid w:val="00BF4CB9"/>
    <w:rsid w:val="00BF4F1F"/>
    <w:rsid w:val="00BF556F"/>
    <w:rsid w:val="00C00023"/>
    <w:rsid w:val="00C011B8"/>
    <w:rsid w:val="00C02AB2"/>
    <w:rsid w:val="00C04FC0"/>
    <w:rsid w:val="00C0532A"/>
    <w:rsid w:val="00C058AC"/>
    <w:rsid w:val="00C05A2E"/>
    <w:rsid w:val="00C05E99"/>
    <w:rsid w:val="00C06318"/>
    <w:rsid w:val="00C071E6"/>
    <w:rsid w:val="00C1172B"/>
    <w:rsid w:val="00C160AF"/>
    <w:rsid w:val="00C16563"/>
    <w:rsid w:val="00C1664A"/>
    <w:rsid w:val="00C16DCC"/>
    <w:rsid w:val="00C1703A"/>
    <w:rsid w:val="00C202FC"/>
    <w:rsid w:val="00C2099D"/>
    <w:rsid w:val="00C22D19"/>
    <w:rsid w:val="00C23934"/>
    <w:rsid w:val="00C24425"/>
    <w:rsid w:val="00C2479D"/>
    <w:rsid w:val="00C26DE9"/>
    <w:rsid w:val="00C31001"/>
    <w:rsid w:val="00C3102E"/>
    <w:rsid w:val="00C31FC5"/>
    <w:rsid w:val="00C33304"/>
    <w:rsid w:val="00C35941"/>
    <w:rsid w:val="00C3643D"/>
    <w:rsid w:val="00C36E7E"/>
    <w:rsid w:val="00C406D8"/>
    <w:rsid w:val="00C43A3A"/>
    <w:rsid w:val="00C4571D"/>
    <w:rsid w:val="00C472EF"/>
    <w:rsid w:val="00C5007B"/>
    <w:rsid w:val="00C52FB4"/>
    <w:rsid w:val="00C53E33"/>
    <w:rsid w:val="00C54149"/>
    <w:rsid w:val="00C54E14"/>
    <w:rsid w:val="00C55769"/>
    <w:rsid w:val="00C55A40"/>
    <w:rsid w:val="00C6122D"/>
    <w:rsid w:val="00C62F3D"/>
    <w:rsid w:val="00C64374"/>
    <w:rsid w:val="00C649F8"/>
    <w:rsid w:val="00C64E17"/>
    <w:rsid w:val="00C66160"/>
    <w:rsid w:val="00C665E8"/>
    <w:rsid w:val="00C675D9"/>
    <w:rsid w:val="00C70FBB"/>
    <w:rsid w:val="00C718FC"/>
    <w:rsid w:val="00C72522"/>
    <w:rsid w:val="00C72EBE"/>
    <w:rsid w:val="00C742E8"/>
    <w:rsid w:val="00C74435"/>
    <w:rsid w:val="00C74637"/>
    <w:rsid w:val="00C74989"/>
    <w:rsid w:val="00C757F9"/>
    <w:rsid w:val="00C777E2"/>
    <w:rsid w:val="00C77EF5"/>
    <w:rsid w:val="00C82E4C"/>
    <w:rsid w:val="00C83D16"/>
    <w:rsid w:val="00C91AEA"/>
    <w:rsid w:val="00C9309B"/>
    <w:rsid w:val="00CA05EA"/>
    <w:rsid w:val="00CA0D74"/>
    <w:rsid w:val="00CA1F9E"/>
    <w:rsid w:val="00CA2744"/>
    <w:rsid w:val="00CA32E9"/>
    <w:rsid w:val="00CA360C"/>
    <w:rsid w:val="00CA4934"/>
    <w:rsid w:val="00CA57B4"/>
    <w:rsid w:val="00CA67A5"/>
    <w:rsid w:val="00CB0B67"/>
    <w:rsid w:val="00CB213A"/>
    <w:rsid w:val="00CB39EB"/>
    <w:rsid w:val="00CB4133"/>
    <w:rsid w:val="00CB457A"/>
    <w:rsid w:val="00CB7A59"/>
    <w:rsid w:val="00CC033B"/>
    <w:rsid w:val="00CC08D4"/>
    <w:rsid w:val="00CC1B06"/>
    <w:rsid w:val="00CC2313"/>
    <w:rsid w:val="00CC2EE9"/>
    <w:rsid w:val="00CC3ABE"/>
    <w:rsid w:val="00CC5EC1"/>
    <w:rsid w:val="00CC6723"/>
    <w:rsid w:val="00CC6E4A"/>
    <w:rsid w:val="00CC72C7"/>
    <w:rsid w:val="00CC7A57"/>
    <w:rsid w:val="00CD3CC8"/>
    <w:rsid w:val="00CD4C46"/>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19CB"/>
    <w:rsid w:val="00D02912"/>
    <w:rsid w:val="00D0396C"/>
    <w:rsid w:val="00D04D54"/>
    <w:rsid w:val="00D05606"/>
    <w:rsid w:val="00D06E5B"/>
    <w:rsid w:val="00D10BBF"/>
    <w:rsid w:val="00D11B2D"/>
    <w:rsid w:val="00D11F7B"/>
    <w:rsid w:val="00D14D70"/>
    <w:rsid w:val="00D15798"/>
    <w:rsid w:val="00D159F2"/>
    <w:rsid w:val="00D179FA"/>
    <w:rsid w:val="00D2085E"/>
    <w:rsid w:val="00D22205"/>
    <w:rsid w:val="00D22F2A"/>
    <w:rsid w:val="00D246BF"/>
    <w:rsid w:val="00D257E0"/>
    <w:rsid w:val="00D26BF1"/>
    <w:rsid w:val="00D275F1"/>
    <w:rsid w:val="00D30C8D"/>
    <w:rsid w:val="00D30DF3"/>
    <w:rsid w:val="00D326EC"/>
    <w:rsid w:val="00D35614"/>
    <w:rsid w:val="00D3585C"/>
    <w:rsid w:val="00D4266B"/>
    <w:rsid w:val="00D42C42"/>
    <w:rsid w:val="00D42FC2"/>
    <w:rsid w:val="00D43128"/>
    <w:rsid w:val="00D44739"/>
    <w:rsid w:val="00D45395"/>
    <w:rsid w:val="00D47A7C"/>
    <w:rsid w:val="00D47B12"/>
    <w:rsid w:val="00D51B33"/>
    <w:rsid w:val="00D53FFF"/>
    <w:rsid w:val="00D54883"/>
    <w:rsid w:val="00D573F9"/>
    <w:rsid w:val="00D57A26"/>
    <w:rsid w:val="00D62A5D"/>
    <w:rsid w:val="00D631D3"/>
    <w:rsid w:val="00D66B68"/>
    <w:rsid w:val="00D67F4B"/>
    <w:rsid w:val="00D70989"/>
    <w:rsid w:val="00D730DD"/>
    <w:rsid w:val="00D73690"/>
    <w:rsid w:val="00D74100"/>
    <w:rsid w:val="00D744E8"/>
    <w:rsid w:val="00D76C88"/>
    <w:rsid w:val="00D7723B"/>
    <w:rsid w:val="00D77D19"/>
    <w:rsid w:val="00D803B6"/>
    <w:rsid w:val="00D8177D"/>
    <w:rsid w:val="00D81793"/>
    <w:rsid w:val="00D844F9"/>
    <w:rsid w:val="00D85B41"/>
    <w:rsid w:val="00D87308"/>
    <w:rsid w:val="00D8750E"/>
    <w:rsid w:val="00D921A1"/>
    <w:rsid w:val="00D937B5"/>
    <w:rsid w:val="00D93967"/>
    <w:rsid w:val="00D94907"/>
    <w:rsid w:val="00D963F8"/>
    <w:rsid w:val="00D96F62"/>
    <w:rsid w:val="00DA1F8F"/>
    <w:rsid w:val="00DA30B3"/>
    <w:rsid w:val="00DA444A"/>
    <w:rsid w:val="00DA52D7"/>
    <w:rsid w:val="00DA581D"/>
    <w:rsid w:val="00DA74AD"/>
    <w:rsid w:val="00DA7C7B"/>
    <w:rsid w:val="00DB226B"/>
    <w:rsid w:val="00DB2AB2"/>
    <w:rsid w:val="00DB649F"/>
    <w:rsid w:val="00DB650C"/>
    <w:rsid w:val="00DC0CD1"/>
    <w:rsid w:val="00DC15B4"/>
    <w:rsid w:val="00DC2707"/>
    <w:rsid w:val="00DC2DF7"/>
    <w:rsid w:val="00DC617F"/>
    <w:rsid w:val="00DC61E9"/>
    <w:rsid w:val="00DD1269"/>
    <w:rsid w:val="00DD2348"/>
    <w:rsid w:val="00DD2431"/>
    <w:rsid w:val="00DD3FCA"/>
    <w:rsid w:val="00DD4892"/>
    <w:rsid w:val="00DD4D29"/>
    <w:rsid w:val="00DD7BD1"/>
    <w:rsid w:val="00DE1617"/>
    <w:rsid w:val="00DE2818"/>
    <w:rsid w:val="00DE5112"/>
    <w:rsid w:val="00DE591F"/>
    <w:rsid w:val="00DE5B95"/>
    <w:rsid w:val="00DE7920"/>
    <w:rsid w:val="00DF18D6"/>
    <w:rsid w:val="00DF1DC8"/>
    <w:rsid w:val="00DF25B4"/>
    <w:rsid w:val="00DF3822"/>
    <w:rsid w:val="00DF4094"/>
    <w:rsid w:val="00DF62D2"/>
    <w:rsid w:val="00DF7522"/>
    <w:rsid w:val="00E0077D"/>
    <w:rsid w:val="00E02C88"/>
    <w:rsid w:val="00E04DC0"/>
    <w:rsid w:val="00E0564B"/>
    <w:rsid w:val="00E07A37"/>
    <w:rsid w:val="00E10A87"/>
    <w:rsid w:val="00E135E8"/>
    <w:rsid w:val="00E153EF"/>
    <w:rsid w:val="00E15BD5"/>
    <w:rsid w:val="00E162C3"/>
    <w:rsid w:val="00E16C5F"/>
    <w:rsid w:val="00E174C1"/>
    <w:rsid w:val="00E17641"/>
    <w:rsid w:val="00E225CC"/>
    <w:rsid w:val="00E22E30"/>
    <w:rsid w:val="00E24F00"/>
    <w:rsid w:val="00E267B1"/>
    <w:rsid w:val="00E32470"/>
    <w:rsid w:val="00E3610D"/>
    <w:rsid w:val="00E42FB4"/>
    <w:rsid w:val="00E43124"/>
    <w:rsid w:val="00E432A2"/>
    <w:rsid w:val="00E43496"/>
    <w:rsid w:val="00E4463D"/>
    <w:rsid w:val="00E4565E"/>
    <w:rsid w:val="00E461A3"/>
    <w:rsid w:val="00E46989"/>
    <w:rsid w:val="00E4729E"/>
    <w:rsid w:val="00E4784A"/>
    <w:rsid w:val="00E479BB"/>
    <w:rsid w:val="00E55EB5"/>
    <w:rsid w:val="00E60A4E"/>
    <w:rsid w:val="00E6151D"/>
    <w:rsid w:val="00E6323F"/>
    <w:rsid w:val="00E64BF9"/>
    <w:rsid w:val="00E66579"/>
    <w:rsid w:val="00E704B9"/>
    <w:rsid w:val="00E70C1D"/>
    <w:rsid w:val="00E72B9B"/>
    <w:rsid w:val="00E732BB"/>
    <w:rsid w:val="00E74FE7"/>
    <w:rsid w:val="00E76B18"/>
    <w:rsid w:val="00E77A14"/>
    <w:rsid w:val="00E80A54"/>
    <w:rsid w:val="00E818D9"/>
    <w:rsid w:val="00E8388E"/>
    <w:rsid w:val="00E83E83"/>
    <w:rsid w:val="00E8542A"/>
    <w:rsid w:val="00E868C3"/>
    <w:rsid w:val="00E87473"/>
    <w:rsid w:val="00E908EB"/>
    <w:rsid w:val="00E910DA"/>
    <w:rsid w:val="00E925A0"/>
    <w:rsid w:val="00E929F0"/>
    <w:rsid w:val="00E931DF"/>
    <w:rsid w:val="00E94412"/>
    <w:rsid w:val="00E946C2"/>
    <w:rsid w:val="00E94ACB"/>
    <w:rsid w:val="00E94B38"/>
    <w:rsid w:val="00E94C05"/>
    <w:rsid w:val="00E96844"/>
    <w:rsid w:val="00E96F96"/>
    <w:rsid w:val="00EA10F0"/>
    <w:rsid w:val="00EA2A2C"/>
    <w:rsid w:val="00EA41DC"/>
    <w:rsid w:val="00EA4355"/>
    <w:rsid w:val="00EA4AEA"/>
    <w:rsid w:val="00EA4EA1"/>
    <w:rsid w:val="00EA4ECE"/>
    <w:rsid w:val="00EA52CC"/>
    <w:rsid w:val="00EA5EFD"/>
    <w:rsid w:val="00EA62C9"/>
    <w:rsid w:val="00EA6688"/>
    <w:rsid w:val="00EA7D3D"/>
    <w:rsid w:val="00EB0078"/>
    <w:rsid w:val="00EB409D"/>
    <w:rsid w:val="00EB4ABB"/>
    <w:rsid w:val="00EB68D0"/>
    <w:rsid w:val="00EB6934"/>
    <w:rsid w:val="00EB6A13"/>
    <w:rsid w:val="00EB6B84"/>
    <w:rsid w:val="00EB6E38"/>
    <w:rsid w:val="00EB7F93"/>
    <w:rsid w:val="00EC0387"/>
    <w:rsid w:val="00EC13A4"/>
    <w:rsid w:val="00EC172A"/>
    <w:rsid w:val="00EC23F8"/>
    <w:rsid w:val="00EC2A47"/>
    <w:rsid w:val="00EC4476"/>
    <w:rsid w:val="00EC511D"/>
    <w:rsid w:val="00EC5D37"/>
    <w:rsid w:val="00EC627C"/>
    <w:rsid w:val="00ED00E2"/>
    <w:rsid w:val="00ED3130"/>
    <w:rsid w:val="00ED3A4B"/>
    <w:rsid w:val="00ED3E75"/>
    <w:rsid w:val="00ED4076"/>
    <w:rsid w:val="00ED501D"/>
    <w:rsid w:val="00ED5801"/>
    <w:rsid w:val="00ED58D7"/>
    <w:rsid w:val="00ED6400"/>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7A7"/>
    <w:rsid w:val="00F05937"/>
    <w:rsid w:val="00F06730"/>
    <w:rsid w:val="00F0712F"/>
    <w:rsid w:val="00F10CC7"/>
    <w:rsid w:val="00F1293A"/>
    <w:rsid w:val="00F12BFC"/>
    <w:rsid w:val="00F13718"/>
    <w:rsid w:val="00F1415F"/>
    <w:rsid w:val="00F1646C"/>
    <w:rsid w:val="00F17B01"/>
    <w:rsid w:val="00F221B8"/>
    <w:rsid w:val="00F22DD9"/>
    <w:rsid w:val="00F2333D"/>
    <w:rsid w:val="00F23A3A"/>
    <w:rsid w:val="00F259FD"/>
    <w:rsid w:val="00F2638E"/>
    <w:rsid w:val="00F26D01"/>
    <w:rsid w:val="00F26EA6"/>
    <w:rsid w:val="00F2703D"/>
    <w:rsid w:val="00F31142"/>
    <w:rsid w:val="00F3158F"/>
    <w:rsid w:val="00F316DB"/>
    <w:rsid w:val="00F32A20"/>
    <w:rsid w:val="00F33544"/>
    <w:rsid w:val="00F3600F"/>
    <w:rsid w:val="00F360B8"/>
    <w:rsid w:val="00F40F92"/>
    <w:rsid w:val="00F41A39"/>
    <w:rsid w:val="00F42B29"/>
    <w:rsid w:val="00F4342D"/>
    <w:rsid w:val="00F44611"/>
    <w:rsid w:val="00F45DC7"/>
    <w:rsid w:val="00F45F26"/>
    <w:rsid w:val="00F465F8"/>
    <w:rsid w:val="00F5300A"/>
    <w:rsid w:val="00F53FDD"/>
    <w:rsid w:val="00F54971"/>
    <w:rsid w:val="00F56F40"/>
    <w:rsid w:val="00F57536"/>
    <w:rsid w:val="00F60C81"/>
    <w:rsid w:val="00F62314"/>
    <w:rsid w:val="00F64384"/>
    <w:rsid w:val="00F65431"/>
    <w:rsid w:val="00F6549C"/>
    <w:rsid w:val="00F67B7C"/>
    <w:rsid w:val="00F70CCE"/>
    <w:rsid w:val="00F71DEF"/>
    <w:rsid w:val="00F73E8C"/>
    <w:rsid w:val="00F76406"/>
    <w:rsid w:val="00F77483"/>
    <w:rsid w:val="00F80698"/>
    <w:rsid w:val="00F825DC"/>
    <w:rsid w:val="00F84927"/>
    <w:rsid w:val="00F8512F"/>
    <w:rsid w:val="00F85B67"/>
    <w:rsid w:val="00F91681"/>
    <w:rsid w:val="00F917CB"/>
    <w:rsid w:val="00F91E71"/>
    <w:rsid w:val="00F93D62"/>
    <w:rsid w:val="00F942C1"/>
    <w:rsid w:val="00F94938"/>
    <w:rsid w:val="00F949D7"/>
    <w:rsid w:val="00F95071"/>
    <w:rsid w:val="00F9575D"/>
    <w:rsid w:val="00F965BF"/>
    <w:rsid w:val="00F972F4"/>
    <w:rsid w:val="00F97C8D"/>
    <w:rsid w:val="00F97D19"/>
    <w:rsid w:val="00FA03A8"/>
    <w:rsid w:val="00FA04E4"/>
    <w:rsid w:val="00FA05EA"/>
    <w:rsid w:val="00FA1173"/>
    <w:rsid w:val="00FA4062"/>
    <w:rsid w:val="00FA7AD8"/>
    <w:rsid w:val="00FB0D84"/>
    <w:rsid w:val="00FB1840"/>
    <w:rsid w:val="00FB1880"/>
    <w:rsid w:val="00FB2D67"/>
    <w:rsid w:val="00FB39B5"/>
    <w:rsid w:val="00FB3B37"/>
    <w:rsid w:val="00FB465A"/>
    <w:rsid w:val="00FB491E"/>
    <w:rsid w:val="00FB51A6"/>
    <w:rsid w:val="00FB5D20"/>
    <w:rsid w:val="00FB772B"/>
    <w:rsid w:val="00FC38AC"/>
    <w:rsid w:val="00FC5E7E"/>
    <w:rsid w:val="00FC645F"/>
    <w:rsid w:val="00FC763B"/>
    <w:rsid w:val="00FD0A5D"/>
    <w:rsid w:val="00FD0C2A"/>
    <w:rsid w:val="00FD1A35"/>
    <w:rsid w:val="00FD1AE6"/>
    <w:rsid w:val="00FD2692"/>
    <w:rsid w:val="00FD279A"/>
    <w:rsid w:val="00FD3270"/>
    <w:rsid w:val="00FD5D21"/>
    <w:rsid w:val="00FD6225"/>
    <w:rsid w:val="00FD69C7"/>
    <w:rsid w:val="00FD799F"/>
    <w:rsid w:val="00FE0AC6"/>
    <w:rsid w:val="00FE2E1A"/>
    <w:rsid w:val="00FE2FF7"/>
    <w:rsid w:val="00FE47BC"/>
    <w:rsid w:val="00FE503A"/>
    <w:rsid w:val="00FE7E2E"/>
    <w:rsid w:val="00FE7F53"/>
    <w:rsid w:val="00FF07DF"/>
    <w:rsid w:val="00FF2E8E"/>
    <w:rsid w:val="00FF2F7E"/>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
    <w:basedOn w:val="Normal"/>
    <w:link w:val="ListParagraphChar"/>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 w:type="character" w:customStyle="1" w:styleId="ListParagraphChar">
    <w:name w:val="List Paragraph Char"/>
    <w:aliases w:val="List Paragraph 1 Char"/>
    <w:basedOn w:val="DefaultParagraphFont"/>
    <w:link w:val="ListParagraph"/>
    <w:uiPriority w:val="8"/>
    <w:rsid w:val="00CC3ABE"/>
  </w:style>
  <w:style w:type="paragraph" w:customStyle="1" w:styleId="PostBulletList">
    <w:name w:val="Post Bullet List"/>
    <w:basedOn w:val="Normal"/>
    <w:link w:val="PostBulletListChar"/>
    <w:qFormat/>
    <w:rsid w:val="00EB6E38"/>
    <w:pPr>
      <w:spacing w:before="200" w:after="200" w:line="264" w:lineRule="auto"/>
      <w:jc w:val="both"/>
    </w:pPr>
    <w:rPr>
      <w:kern w:val="2"/>
      <w:sz w:val="21"/>
      <w:szCs w:val="24"/>
      <w14:ligatures w14:val="standardContextual"/>
    </w:rPr>
  </w:style>
  <w:style w:type="character" w:customStyle="1" w:styleId="PostBulletListChar">
    <w:name w:val="Post Bullet List Char"/>
    <w:basedOn w:val="DefaultParagraphFont"/>
    <w:link w:val="PostBulletList"/>
    <w:rsid w:val="00EB6E38"/>
    <w:rPr>
      <w:kern w:val="2"/>
      <w:sz w:val="21"/>
      <w:szCs w:val="24"/>
      <w14:ligatures w14:val="standardContextual"/>
    </w:rPr>
  </w:style>
  <w:style w:type="paragraph" w:customStyle="1" w:styleId="ListParagraph2">
    <w:name w:val="List Paragraph 2"/>
    <w:basedOn w:val="ListParagraph"/>
    <w:link w:val="ListParagraph2Char"/>
    <w:uiPriority w:val="9"/>
    <w:qFormat/>
    <w:rsid w:val="00EB6E38"/>
    <w:pPr>
      <w:numPr>
        <w:numId w:val="304"/>
      </w:numPr>
      <w:tabs>
        <w:tab w:val="left" w:pos="288"/>
      </w:tabs>
      <w:spacing w:after="100" w:line="264" w:lineRule="auto"/>
      <w:ind w:left="590" w:hanging="302"/>
      <w:contextualSpacing w:val="0"/>
    </w:pPr>
    <w:rPr>
      <w:rFonts w:ascii="Times New Roman" w:eastAsia="Times New Roman" w:hAnsi="Times New Roman" w:cs="Times New Roman"/>
      <w:kern w:val="2"/>
      <w:sz w:val="21"/>
      <w:szCs w:val="24"/>
      <w14:ligatures w14:val="standardContextual"/>
    </w:rPr>
  </w:style>
  <w:style w:type="character" w:customStyle="1" w:styleId="ListParagraph2Char">
    <w:name w:val="List Paragraph 2 Char"/>
    <w:basedOn w:val="ListParagraphChar"/>
    <w:link w:val="ListParagraph2"/>
    <w:uiPriority w:val="9"/>
    <w:rsid w:val="00EB6E38"/>
    <w:rPr>
      <w:rFonts w:ascii="Times New Roman" w:eastAsia="Times New Roman" w:hAnsi="Times New Roman" w:cs="Times New Roman"/>
      <w:kern w:val="2"/>
      <w:sz w:val="21"/>
      <w:szCs w:val="24"/>
      <w14:ligatures w14:val="standardContextual"/>
    </w:rPr>
  </w:style>
  <w:style w:type="character" w:styleId="BookTitle">
    <w:name w:val="Book Title"/>
    <w:basedOn w:val="DefaultParagraphFont"/>
    <w:uiPriority w:val="33"/>
    <w:rsid w:val="00EB6E38"/>
    <w:rPr>
      <w:b/>
      <w:bCs/>
      <w:i/>
      <w:iCs/>
      <w:spacing w:val="5"/>
    </w:rPr>
  </w:style>
  <w:style w:type="character" w:customStyle="1" w:styleId="t286pc">
    <w:name w:val="t286pc"/>
    <w:basedOn w:val="DefaultParagraphFont"/>
    <w:rsid w:val="008F45FD"/>
  </w:style>
  <w:style w:type="character" w:customStyle="1" w:styleId="vkekvd">
    <w:name w:val="vkekvd"/>
    <w:basedOn w:val="DefaultParagraphFont"/>
    <w:rsid w:val="008F45FD"/>
  </w:style>
  <w:style w:type="paragraph" w:customStyle="1" w:styleId="MainSectionHead">
    <w:name w:val="Main Section Head"/>
    <w:basedOn w:val="Heading2"/>
    <w:link w:val="MainSectionHeadChar"/>
    <w:qFormat/>
    <w:rsid w:val="008F584F"/>
    <w:pPr>
      <w:keepNext w:val="0"/>
      <w:keepLines w:val="0"/>
      <w:spacing w:before="240" w:after="60" w:line="276" w:lineRule="auto"/>
    </w:pPr>
    <w:rPr>
      <w:rFonts w:ascii="Calibri" w:eastAsiaTheme="minorEastAsia" w:hAnsi="Calibri" w:cs="Calibri"/>
      <w:b/>
      <w:bCs/>
      <w:noProof/>
      <w:color w:val="0E425C"/>
      <w:sz w:val="28"/>
      <w:szCs w:val="28"/>
    </w:rPr>
  </w:style>
  <w:style w:type="character" w:customStyle="1" w:styleId="MainSectionHeadChar">
    <w:name w:val="Main Section Head Char"/>
    <w:basedOn w:val="Heading2Char"/>
    <w:link w:val="MainSectionHead"/>
    <w:rsid w:val="008F584F"/>
    <w:rPr>
      <w:rFonts w:ascii="Calibri" w:eastAsiaTheme="minorEastAsia" w:hAnsi="Calibri" w:cs="Calibri"/>
      <w:b/>
      <w:bCs/>
      <w:noProof/>
      <w:color w:val="0E425C"/>
      <w:sz w:val="28"/>
      <w:szCs w:val="28"/>
    </w:rPr>
  </w:style>
  <w:style w:type="character" w:styleId="IntenseEmphasis">
    <w:name w:val="Intense Emphasis"/>
    <w:basedOn w:val="DefaultParagraphFont"/>
    <w:uiPriority w:val="21"/>
    <w:qFormat/>
    <w:rsid w:val="00906C4C"/>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ni.wa.gov/forms-publications/F242-191-909.pdf" TargetMode="External"/><Relationship Id="rId671" Type="http://schemas.openxmlformats.org/officeDocument/2006/relationships/hyperlink" Target="https://labor.illinois.gov/laws-rules/fls/child-labor-law.html" TargetMode="External"/><Relationship Id="rId769" Type="http://schemas.openxmlformats.org/officeDocument/2006/relationships/hyperlink" Target="https://legislature.mi.gov/documents/2025-2026/billenrolled/House/pdf/2025-HNB-4002.pdf" TargetMode="External"/><Relationship Id="rId976" Type="http://schemas.openxmlformats.org/officeDocument/2006/relationships/hyperlink" Target="https://lawfilesext.leg.wa.gov/biennium/2025-26/Pdf/Bills/House%20Passed%20Legislature/2345-S2.PL.pdf" TargetMode="External"/><Relationship Id="rId21" Type="http://schemas.openxmlformats.org/officeDocument/2006/relationships/hyperlink" Target="https://www.maine.gov/paidleave/employers/index.shtml" TargetMode="External"/><Relationship Id="rId324" Type="http://schemas.openxmlformats.org/officeDocument/2006/relationships/hyperlink" Target="https://fincen.gov/boi" TargetMode="External"/><Relationship Id="rId531" Type="http://schemas.openxmlformats.org/officeDocument/2006/relationships/hyperlink" Target="https://leginfo.legislature.ca.gov/faces/billNavClient.xhtml?bill_id=202520260SB261" TargetMode="External"/><Relationship Id="rId629" Type="http://schemas.openxmlformats.org/officeDocument/2006/relationships/hyperlink" Target="https://code.dccouncil.gov/us/dc/council/code/titles/32/chapters/5/subchapters/IV" TargetMode="External"/><Relationship Id="rId170"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836" Type="http://schemas.openxmlformats.org/officeDocument/2006/relationships/hyperlink" Target="https://www.njoag.gov/about/divisions-and-offices/division-on-civil-rights-home/njfla-faq/" TargetMode="External"/><Relationship Id="rId268" Type="http://schemas.openxmlformats.org/officeDocument/2006/relationships/hyperlink" Target="https://www.irs.gov/affordable-care-act/patient-centered-outreach-research-institute-filing-due-dates-and-applicable-rates" TargetMode="External"/><Relationship Id="rId475" Type="http://schemas.openxmlformats.org/officeDocument/2006/relationships/hyperlink" Target="https://labor.alaska.gov/lss/ballot-1-faq-2025.html" TargetMode="External"/><Relationship Id="rId682"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903" Type="http://schemas.openxmlformats.org/officeDocument/2006/relationships/hyperlink" Target="https://olis.oregonlegislature.gov/liz/2025R1/Downloads/MeasureDocument/SB906/Enrolled" TargetMode="External"/><Relationship Id="rId32" Type="http://schemas.openxmlformats.org/officeDocument/2006/relationships/hyperlink" Target="https://www.dir.ca.gov/dlse/Know-Your-Rights-Notice/Know-Your-Rights-Notice-English.pdf" TargetMode="External"/><Relationship Id="rId128" Type="http://schemas.openxmlformats.org/officeDocument/2006/relationships/hyperlink" Target="https://dcpaidfamilyleave.dc.gov/announcements/2025-employee-notice-is-now-available/" TargetMode="External"/><Relationship Id="rId335" Type="http://schemas.openxmlformats.org/officeDocument/2006/relationships/hyperlink" Target="https://www.irs.gov/affordable-care-act/questions-and-answers-on-information-reporting-by-health-coverage-providers-section-6055" TargetMode="External"/><Relationship Id="rId542"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987" Type="http://schemas.openxmlformats.org/officeDocument/2006/relationships/hyperlink" Target="https://app.leg.wa.gov/RCW/default.aspx?cite=49.12" TargetMode="External"/><Relationship Id="rId181" Type="http://schemas.openxmlformats.org/officeDocument/2006/relationships/hyperlink" Target="https://www.irs.gov/instructions/i109495c" TargetMode="External"/><Relationship Id="rId402"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847" Type="http://schemas.openxmlformats.org/officeDocument/2006/relationships/hyperlink" Target="https://www.osha.gov/laws-regs/regulations/standardnumber/1910/1910.151" TargetMode="External"/><Relationship Id="rId279" Type="http://schemas.openxmlformats.org/officeDocument/2006/relationships/hyperlink" Target="https://www.federalregister.gov/public-inspection/2024-20612/requirements-related-to-the-mental-health-parity-and-addiction-equity-act" TargetMode="External"/><Relationship Id="rId486" Type="http://schemas.openxmlformats.org/officeDocument/2006/relationships/hyperlink" Target="https://www.dir.ca.gov/dlse/Publications/Paid_Sick_Days_Poster_Template_(11_2014).pdf" TargetMode="External"/><Relationship Id="rId693" Type="http://schemas.openxmlformats.org/officeDocument/2006/relationships/hyperlink" Target="https://iga.in.gov/pdf-documents/124/2026/senate/bills/SB0076/SB0076.08.ENRH.pdf" TargetMode="External"/><Relationship Id="rId707" Type="http://schemas.openxmlformats.org/officeDocument/2006/relationships/hyperlink" Target="https://regs.maryland.gov/us/md/exec/comar/09.42" TargetMode="External"/><Relationship Id="rId914" Type="http://schemas.openxmlformats.org/officeDocument/2006/relationships/hyperlink" Target="https://paidleave.oregon.gov/" TargetMode="External"/><Relationship Id="rId43" Type="http://schemas.openxmlformats.org/officeDocument/2006/relationships/hyperlink" Target="https://www.nj.gov/labor/wageandhour/assets/PDFs/minimumwage_postcard.pdf" TargetMode="External"/><Relationship Id="rId139" Type="http://schemas.openxmlformats.org/officeDocument/2006/relationships/hyperlink" Target="https://labor.illinois.gov/content/dam/soi/en/web/idol/employers/posters/pay-transparency/Pay%20Transparency%20Updates%20to%20the%20Illinois%20Equal%20Pay%20Act%20of%202003.pdf" TargetMode="External"/><Relationship Id="rId346" Type="http://schemas.openxmlformats.org/officeDocument/2006/relationships/hyperlink" Target="https://elections.cdn.sos.ca.gov/pdfs/tov-english.pdf" TargetMode="External"/><Relationship Id="rId553" Type="http://schemas.openxmlformats.org/officeDocument/2006/relationships/hyperlink" Target="https://bosagenda.sandiegocounty.gov/cobservice/cosd/cob/content?id=0901127e8110d91d" TargetMode="External"/><Relationship Id="rId760" Type="http://schemas.openxmlformats.org/officeDocument/2006/relationships/hyperlink" Target="https://www.mass.gov/info-details/paid-family-and-medical-leave-pfml-overview-and-benefits" TargetMode="External"/><Relationship Id="rId998" Type="http://schemas.openxmlformats.org/officeDocument/2006/relationships/hyperlink" Target="https://paidleave.wa.gov/updates/" TargetMode="External"/><Relationship Id="rId192" Type="http://schemas.openxmlformats.org/officeDocument/2006/relationships/hyperlink" Target="https://www.oregon.gov/boli/employers/pages/noncompetition-agreements.aspx" TargetMode="External"/><Relationship Id="rId206" Type="http://schemas.openxmlformats.org/officeDocument/2006/relationships/hyperlink" Target="https://s3.documentcloud.org/documents/25944538/us-dis-txnd-2-24cv173-d211711029e3152-memorandum-opinion-and-order-re-29-motion-for-summ.pdf" TargetMode="External"/><Relationship Id="rId413" Type="http://schemas.openxmlformats.org/officeDocument/2006/relationships/hyperlink" Target="https://www.dol.gov/sites/dolgov/files/WHD/fab/fab2024_1.pdf" TargetMode="External"/><Relationship Id="rId858" Type="http://schemas.openxmlformats.org/officeDocument/2006/relationships/hyperlink" Target="https://legiscan.com/NY/text/S08034/2025" TargetMode="External"/><Relationship Id="rId497" Type="http://schemas.openxmlformats.org/officeDocument/2006/relationships/hyperlink" Target="https://www.dir.ca.gov/dlse/minimum_wage.htm" TargetMode="External"/><Relationship Id="rId620" Type="http://schemas.openxmlformats.org/officeDocument/2006/relationships/hyperlink" Target="https://portal.ct.gov/dol/-/media/dol/2022-new-design-system/divisions/wage-and-workplace-standards/psl-faqs-effective-1-1-25.pdf" TargetMode="External"/><Relationship Id="rId718" Type="http://schemas.openxmlformats.org/officeDocument/2006/relationships/hyperlink" Target="https://mgaleg.maryland.gov/2025RS/Chapters_noln/CH_296_sb0785t.pdf" TargetMode="External"/><Relationship Id="rId925" Type="http://schemas.openxmlformats.org/officeDocument/2006/relationships/hyperlink" Target="https://www.legis.state.pa.us/WU01/LI/LI/US/HTM/2024/0/0033..HTM?39" TargetMode="External"/><Relationship Id="rId357" Type="http://schemas.openxmlformats.org/officeDocument/2006/relationships/hyperlink" Target="https://www.irs.gov/affordable-care-act/employers/information-reporting-by-providers-of-minimum-essential-coverage" TargetMode="External"/><Relationship Id="rId54" Type="http://schemas.openxmlformats.org/officeDocument/2006/relationships/hyperlink" Target="https://www.dli.mn.gov/sites/default/files/pdf/minwage_poster_2026.pdf" TargetMode="External"/><Relationship Id="rId217" Type="http://schemas.openxmlformats.org/officeDocument/2006/relationships/hyperlink" Target="https://u4664138.ct.sendgrid.net/ls/click?upn=u001.-2BvR921dwSdNdTO8WsXTOoFCxVP-2FiAjNxrri6PJmieif0mKf34ibda7xzq9UWTbFyE1znf6kqTmhZ2ZQsQFCpTKbzY6chP-2FyV25yrbEuOhlP9iMhA0mTvH3uoXwTMzz7ik2fs_pZjfBIpLjMFCpu6xHFn7DWABExhsgTHcqiJ060gTkgzEATmBUNXNmW3P5SmbWvnmbIYQfDkrS-2FJBocqEoJt5MEoWZxGI0LRXVt0xU-2BuFEWwV-2BT6MbvjKR5JZ-2FzhD8mdyFS2ouefR-2FB23ue870WSv1BTxPT5cC4YJwpECcJGmoKVQ9YYqPPzhrf4ezH9DMwguwXULpTgXGZ3j20IGtIbwvP4WIcz1GcCE8AwS7OW0ZfkLAVRw1xeoa53mdCHGBjIkZYC53DvROgc-2BOH4Bl65rLg-3D-3D" TargetMode="External"/><Relationship Id="rId564" Type="http://schemas.openxmlformats.org/officeDocument/2006/relationships/hyperlink" Target="https://leginfo.legislature.ca.gov/faces/billCompareClient.xhtml?bill_id=202320240SB1340&amp;showamends=false" TargetMode="External"/><Relationship Id="rId771"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869" Type="http://schemas.openxmlformats.org/officeDocument/2006/relationships/hyperlink" Target="https://www.nyc.gov/assets/cchr/downloads/pdf/publications/Pregnancy_InterpretiveGuide_2021.pdf" TargetMode="External"/><Relationship Id="rId42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631" Type="http://schemas.openxmlformats.org/officeDocument/2006/relationships/hyperlink" Target="https://lims.dccouncil.gov/downloads/LIMS/52488/Signed_Act/B25-0194-Signed_Act.pdf?Id=183410" TargetMode="External"/><Relationship Id="rId729" Type="http://schemas.openxmlformats.org/officeDocument/2006/relationships/hyperlink" Target="https://mgaleg.maryland.gov/mgawebsite/Legislation/Details/hb0238" TargetMode="External"/><Relationship Id="rId270" Type="http://schemas.openxmlformats.org/officeDocument/2006/relationships/hyperlink" Target="https://www.irs.gov/affordable-care-act/patient-centered-outreach-research-institute-filing-due-dates-and-applicable-rates" TargetMode="External"/><Relationship Id="rId936" Type="http://schemas.openxmlformats.org/officeDocument/2006/relationships/hyperlink" Target="https://legiscan.com/RI/bill/S2045/2024" TargetMode="External"/><Relationship Id="rId65" Type="http://schemas.openxmlformats.org/officeDocument/2006/relationships/hyperlink" Target="https://labor.vermont.gov/document/workers-compensation-form-31-english" TargetMode="External"/><Relationship Id="rId130" Type="http://schemas.openxmlformats.org/officeDocument/2006/relationships/hyperlink" Target="https://www.mass.gov/doc/earned-sick-time-notice-of-employee-rights-english-0/download" TargetMode="External"/><Relationship Id="rId368" Type="http://schemas.openxmlformats.org/officeDocument/2006/relationships/hyperlink" Target="https://www.hhs.gov/hipaa/for-professionals/special-topics/reproductive-health/final-rule-fact-sheet/index.html" TargetMode="External"/><Relationship Id="rId575" Type="http://schemas.openxmlformats.org/officeDocument/2006/relationships/hyperlink" Target="https://leginfo.legislature.ca.gov/faces/billNavClient.xhtml?bill_id=202320240SB428" TargetMode="External"/><Relationship Id="rId782" Type="http://schemas.openxmlformats.org/officeDocument/2006/relationships/hyperlink" Target="https://mn.gov/deed/assets/paid-leave-notice-equivalent_tcm1045-707784.docx" TargetMode="External"/><Relationship Id="rId228" Type="http://schemas.openxmlformats.org/officeDocument/2006/relationships/hyperlink" Target="https://www.irs.gov/pub/irs-drop/n-25-62.pdf" TargetMode="External"/><Relationship Id="rId435" Type="http://schemas.openxmlformats.org/officeDocument/2006/relationships/hyperlink" Target="https://www.eeoc.gov/summary-key-provisions-eeocs-final-rule-implement-pregnant-workers-fairness-act-pwfa" TargetMode="External"/><Relationship Id="rId642" Type="http://schemas.openxmlformats.org/officeDocument/2006/relationships/hyperlink" Target="https://www.ilga.gov/legislation/PublicActs/View/104-0076" TargetMode="External"/><Relationship Id="rId281" Type="http://schemas.openxmlformats.org/officeDocument/2006/relationships/hyperlink" Target="https://www.dol.gov/newsroom/releases/whd/whd20250501" TargetMode="External"/><Relationship Id="rId502" Type="http://schemas.openxmlformats.org/officeDocument/2006/relationships/hyperlink" Target="https://leginfo.legislature.ca.gov/faces/billCompareClient.xhtml?bill_id=202520260AB692&amp;showamends=false" TargetMode="External"/><Relationship Id="rId947" Type="http://schemas.openxmlformats.org/officeDocument/2006/relationships/hyperlink" Target="https://le.utah.gov/~2024/bills/static/HB0055.html" TargetMode="External"/><Relationship Id="rId76" Type="http://schemas.openxmlformats.org/officeDocument/2006/relationships/hyperlink" Target="https://mn.gov/deed/assets/paid-leave-mandatory-employer-poster-acc_tcm1045-700342.pdf" TargetMode="External"/><Relationship Id="rId141" Type="http://schemas.openxmlformats.org/officeDocument/2006/relationships/hyperlink" Target="https://dol.nebraska.gov/LaborStandards/Compliance/RequiredPosters" TargetMode="External"/><Relationship Id="rId379" Type="http://schemas.openxmlformats.org/officeDocument/2006/relationships/hyperlink" Target="https://www.osha.gov/severe-injury-reports" TargetMode="External"/><Relationship Id="rId586" Type="http://schemas.openxmlformats.org/officeDocument/2006/relationships/hyperlink" Target="https://www.sf.gov/sites/default/files/2024-04/2024%20HCSO%20poster%20updated%208.5x14_April2024.pdf" TargetMode="External"/><Relationship Id="rId793" Type="http://schemas.openxmlformats.org/officeDocument/2006/relationships/hyperlink" Target="https://www.revisor.mn.gov/laws/2025/1/Session+Law/Chapter/6/" TargetMode="External"/><Relationship Id="rId807"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7" Type="http://schemas.openxmlformats.org/officeDocument/2006/relationships/endnotes" Target="endnotes.xml"/><Relationship Id="rId239"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446" Type="http://schemas.openxmlformats.org/officeDocument/2006/relationships/hyperlink" Target="https://lims.dccouncil.gov/Legislation/B25-0194" TargetMode="External"/><Relationship Id="rId653" Type="http://schemas.openxmlformats.org/officeDocument/2006/relationships/hyperlink" Target="https://www.govinfo.gov/app/details/USCODE-2010-title26/USCODE-2010-title26-subtitleA-chap1-subchapB-partV-sec152" TargetMode="External"/><Relationship Id="rId292" Type="http://schemas.openxmlformats.org/officeDocument/2006/relationships/hyperlink" Target="https://www.eeoc.gov/what-do-if-you-experience-discrimination-related-dei-work" TargetMode="External"/><Relationship Id="rId306" Type="http://schemas.openxmlformats.org/officeDocument/2006/relationships/hyperlink" Target="https://www.osha.gov/injuryreporting/" TargetMode="External"/><Relationship Id="rId860"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958" Type="http://schemas.openxmlformats.org/officeDocument/2006/relationships/hyperlink" Target="https://lis.blob.core.windows.net/files/1198795.PDF" TargetMode="External"/><Relationship Id="rId87" Type="http://schemas.openxmlformats.org/officeDocument/2006/relationships/hyperlink" Target="https://dlt.ri.gov/employers/required-workplace-posters" TargetMode="External"/><Relationship Id="rId513" Type="http://schemas.openxmlformats.org/officeDocument/2006/relationships/hyperlink" Target="https://www.dir.ca.gov/dlse/minimum_wage.htm" TargetMode="External"/><Relationship Id="rId597" Type="http://schemas.openxmlformats.org/officeDocument/2006/relationships/hyperlink" Target="https://lacounty.gov/2024/02/06/la-county-introduces-the-fair-chance-ordinance-to-give-system-impacted-individuals-an-equal-opportunity-to-be-employed/" TargetMode="External"/><Relationship Id="rId720" Type="http://schemas.openxmlformats.org/officeDocument/2006/relationships/hyperlink" Target="https://mgaleg.maryland.gov/2024RS/Chapters_noln/CH_271_hb0649t.pdf" TargetMode="External"/><Relationship Id="rId818" Type="http://schemas.openxmlformats.org/officeDocument/2006/relationships/hyperlink" Target="https://www.leg.state.nv.us/App/NELIS/REL/82nd2023/Bill/10184/Text" TargetMode="External"/><Relationship Id="rId152" Type="http://schemas.openxmlformats.org/officeDocument/2006/relationships/hyperlink" Target="https://www.congress.gov/bill/119th-congress/house-bill/1/text/eas" TargetMode="External"/><Relationship Id="rId457" Type="http://schemas.openxmlformats.org/officeDocument/2006/relationships/hyperlink" Target="https://public-inspection.federalregister.gov/2024-00067.pdf" TargetMode="External"/><Relationship Id="rId1003" Type="http://schemas.openxmlformats.org/officeDocument/2006/relationships/hyperlink" Target="https://www.littler.com/publication-press/publication/washington-state-legislative-updates" TargetMode="External"/><Relationship Id="rId664" Type="http://schemas.openxmlformats.org/officeDocument/2006/relationships/hyperlink" Target="https://www.ilga.gov/legislation/fulltext.asp?DocName=10300HB3129lv&amp;SessionID=112&amp;GA=103&amp;DocTypeID=HB&amp;DocNum=3129&amp;print=true" TargetMode="External"/><Relationship Id="rId871" Type="http://schemas.openxmlformats.org/officeDocument/2006/relationships/hyperlink" Target="https://www.nyc.gov/assets/cchr/downloads/pdf/materials/Pregnancy_Notice-Sp.pdf" TargetMode="External"/><Relationship Id="rId969" Type="http://schemas.openxmlformats.org/officeDocument/2006/relationships/hyperlink" Target="https://www.retirepathva.com/" TargetMode="External"/><Relationship Id="rId14" Type="http://schemas.openxmlformats.org/officeDocument/2006/relationships/hyperlink" Target="https://www.uscis.gov/sites/default/files/document/forms/i-9.pdf" TargetMode="External"/><Relationship Id="rId317" Type="http://schemas.openxmlformats.org/officeDocument/2006/relationships/hyperlink" Target="https://www.federalregister.gov/public-inspection/2024-29798/tip-regulations-under-the-fair-labor-standards-act-restoration-of-regulatory-language" TargetMode="External"/><Relationship Id="rId524"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31" Type="http://schemas.openxmlformats.org/officeDocument/2006/relationships/hyperlink" Target="https://www.montgomerycountymd.gov/humanrights/min-wage.html" TargetMode="External"/><Relationship Id="rId98" Type="http://schemas.openxmlformats.org/officeDocument/2006/relationships/hyperlink" Target="https://labor.nv.gov/uploadedFiles/labornvgov/content/Employer/25.06.23%20Annual%20Bulletin%20-%20Daily%20Overtime.pdf" TargetMode="External"/><Relationship Id="rId163" Type="http://schemas.openxmlformats.org/officeDocument/2006/relationships/hyperlink" Target="https://www.hhs.gov/hipaa/for-professionals/privacy/guidance/model-notices-privacy-practices/index.html" TargetMode="External"/><Relationship Id="rId370" Type="http://schemas.openxmlformats.org/officeDocument/2006/relationships/hyperlink" Target="https://www.dol.gov/agencies/ebsa/key-topics/retirement-benefits/cybersecurity/compliance-assistance-release-2024-01" TargetMode="External"/><Relationship Id="rId829" Type="http://schemas.openxmlformats.org/officeDocument/2006/relationships/hyperlink" Target="https://pub.njleg.state.nj.us/Bills/2024/A3500/3451_R2.PDF" TargetMode="External"/><Relationship Id="rId230" Type="http://schemas.openxmlformats.org/officeDocument/2006/relationships/hyperlink" Target="https://www.federalregister.gov/documents/2025/09/22/2025-18278/occupations-that-customarily-and-regularly-received-tips-definition-of-qualified-tips" TargetMode="External"/><Relationship Id="rId468" Type="http://schemas.openxmlformats.org/officeDocument/2006/relationships/hyperlink" Target="https://www.federalregister.gov/documents/2023/03/20/2023-05216/agency-contact-information" TargetMode="External"/><Relationship Id="rId675" Type="http://schemas.openxmlformats.org/officeDocument/2006/relationships/hyperlink" Target="https://www.ilga.gov/legislation/publicacts/fulltext.asp?Name=103-0804" TargetMode="External"/><Relationship Id="rId882" Type="http://schemas.openxmlformats.org/officeDocument/2006/relationships/hyperlink" Target="https://www.nysenate.gov/legislation/bills/2023/A3710" TargetMode="External"/><Relationship Id="rId25" Type="http://schemas.openxmlformats.org/officeDocument/2006/relationships/hyperlink" Target="https://www.dir.ca.gov/IWC/MW-2026.pdf" TargetMode="External"/><Relationship Id="rId328" Type="http://schemas.openxmlformats.org/officeDocument/2006/relationships/hyperlink" Target="https://hios.cms.gov/HIOS-GCPCA-UI" TargetMode="External"/><Relationship Id="rId535"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742" Type="http://schemas.openxmlformats.org/officeDocument/2006/relationships/hyperlink" Target="https://www.mass.gov/doc/2026-pfml-mandatory-workplace-poster-english/download" TargetMode="External"/><Relationship Id="rId174" Type="http://schemas.openxmlformats.org/officeDocument/2006/relationships/hyperlink" Target="https://www.ca4.uscourts.gov/opinions/251189.P.pdf?benlswxhdhu" TargetMode="External"/><Relationship Id="rId381" Type="http://schemas.openxmlformats.org/officeDocument/2006/relationships/hyperlink" Target="https://www.uscis.gov/i-9-central/form-i-9-related-news/uscis-extends-form-i-9-expiration-date" TargetMode="External"/><Relationship Id="rId602" Type="http://schemas.openxmlformats.org/officeDocument/2006/relationships/hyperlink" Target="https://calcivilrights.ca.gov/wp-content/uploads/sites/32/2023/03/Fair-Chance-Act-Sample-Forms-Packet.pdf" TargetMode="External"/><Relationship Id="rId241" Type="http://schemas.openxmlformats.org/officeDocument/2006/relationships/hyperlink" Target="https://www.cms.gov/newsroom/fact-sheets/final-cy-2026-part-d-redesign-program-instructions" TargetMode="External"/><Relationship Id="rId479"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86" Type="http://schemas.openxmlformats.org/officeDocument/2006/relationships/hyperlink" Target="https://ides.illinois.gov/employer-resources/taxes-reporting/new-hires.html" TargetMode="External"/><Relationship Id="rId893" Type="http://schemas.openxmlformats.org/officeDocument/2006/relationships/hyperlink" Target="https://apps.oregonlegislature.gov/liz/2026R1/Downloads/MeasureDocument/HB4111/Enrolled" TargetMode="External"/><Relationship Id="rId907" Type="http://schemas.openxmlformats.org/officeDocument/2006/relationships/hyperlink" Target="https://www.oregon.gov/boli/employers/Pages/required-worksite-postings.aspx" TargetMode="External"/><Relationship Id="rId36" Type="http://schemas.openxmlformats.org/officeDocument/2006/relationships/hyperlink" Target="https://cdle.colorado.gov/sites/cdle/files/2026_comps_order_poster_english_%5Baccessible%5D.pdf" TargetMode="External"/><Relationship Id="rId339" Type="http://schemas.openxmlformats.org/officeDocument/2006/relationships/hyperlink" Target="https://www.irs.gov/pub/irs-drop/rp-24-35.pdf" TargetMode="External"/><Relationship Id="rId546"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753" Type="http://schemas.openxmlformats.org/officeDocument/2006/relationships/hyperlink" Target="https://www.mass.gov/info-details/pfml-workplace-poster-notices-and-rate-sheets-for-massachusetts-employers" TargetMode="External"/><Relationship Id="rId101" Type="http://schemas.openxmlformats.org/officeDocument/2006/relationships/hyperlink" Target="https://labor.vermont.gov/document/meals-and-lodging-poster-2025" TargetMode="External"/><Relationship Id="rId185" Type="http://schemas.openxmlformats.org/officeDocument/2006/relationships/hyperlink" Target="https://www.leg.state.fl.us/statutes/index.cfm?App_mode=Display_Statute&amp;URL=0500-0599/0542/0542.html" TargetMode="External"/><Relationship Id="rId406" Type="http://schemas.openxmlformats.org/officeDocument/2006/relationships/hyperlink" Target="https://www.fincen.gov/sites/default/files/shared/BOI-Informational-Brochure-April-2024.pdf" TargetMode="External"/><Relationship Id="rId960" Type="http://schemas.openxmlformats.org/officeDocument/2006/relationships/hyperlink" Target="https://lis.blob.core.windows.net/files/1213726.PDF" TargetMode="External"/><Relationship Id="rId392" Type="http://schemas.openxmlformats.org/officeDocument/2006/relationships/hyperlink" Target="https://www.eeocdata.org/pdfs/FAILURE_TO_FILE.pdf" TargetMode="External"/><Relationship Id="rId613" Type="http://schemas.openxmlformats.org/officeDocument/2006/relationships/hyperlink" Target="https://drive.google.com/file/d/1SXYNOOmCNYMq46RENTmb7yG2q9lCc2W4/view" TargetMode="External"/><Relationship Id="rId697" Type="http://schemas.openxmlformats.org/officeDocument/2006/relationships/hyperlink" Target="https://legis.la.gov/legis/BillInfo.aspx?s=24RS&amp;b=HB156&amp;sbi=y" TargetMode="External"/><Relationship Id="rId820" Type="http://schemas.openxmlformats.org/officeDocument/2006/relationships/hyperlink" Target="https://www.leg.state.nv.us/Register/2024Register/R131-24AP.pdf" TargetMode="External"/><Relationship Id="rId918" Type="http://schemas.openxmlformats.org/officeDocument/2006/relationships/hyperlink" Target="https://phila.legistar.com/LegislationDetail.aspx?ID=7354278&amp;GUID=E36DCB86-DBEE-4B29-A5A6-F88BFD9A3912&amp;Options=ID%7cText%7c&amp;Search=250373-A&amp;FullText=1" TargetMode="External"/><Relationship Id="rId252" Type="http://schemas.openxmlformats.org/officeDocument/2006/relationships/hyperlink" Target="https://www.congress.gov/crs-product/R42713" TargetMode="External"/><Relationship Id="rId47" Type="http://schemas.openxmlformats.org/officeDocument/2006/relationships/hyperlink" Target="https://www.azica.gov/sites/default/files/2025-09/2026%20THE%20FAIR%20WAGES%20AND%20HEALTHY%20FAMILIES%20ACT_1.pdf" TargetMode="External"/><Relationship Id="rId112" Type="http://schemas.openxmlformats.org/officeDocument/2006/relationships/hyperlink" Target="https://www.oregon.gov/boli/employers/Documents/BOLI_Printable_SHDVP.pdf" TargetMode="External"/><Relationship Id="rId557" Type="http://schemas.openxmlformats.org/officeDocument/2006/relationships/hyperlink" Target="https://www.dir.ca.gov/dlse/Health-Care-Worker-Minimum-Wage-FAQ.htm" TargetMode="External"/><Relationship Id="rId764" Type="http://schemas.openxmlformats.org/officeDocument/2006/relationships/hyperlink" Target="https://legislature.mi.gov/documents/2025-2026/billenrolled/Senate/pdf/2025-SNB-0008.pdf" TargetMode="External"/><Relationship Id="rId971" Type="http://schemas.openxmlformats.org/officeDocument/2006/relationships/hyperlink" Target="https://www.retirepathva.com/employers" TargetMode="External"/><Relationship Id="rId196" Type="http://schemas.openxmlformats.org/officeDocument/2006/relationships/hyperlink" Target="https://www.federalregister.gov/documents/2025/01/17/2025-01377/annual-update-of-the-hhs-poverty-guidelines" TargetMode="External"/><Relationship Id="rId417" Type="http://schemas.openxmlformats.org/officeDocument/2006/relationships/hyperlink" Target="https://www.cms.gov/files/document/2025-papi-parameters-guidance-2023-11-15.pdf" TargetMode="External"/><Relationship Id="rId624" Type="http://schemas.openxmlformats.org/officeDocument/2006/relationships/hyperlink" Target="https://www.legis.delaware.gov/json/BillDetail/GenerateHtmlDocument?legislationId=142429&amp;legislationTypeId=6&amp;docTypeId=2&amp;legislationName=HS2forHB105" TargetMode="External"/><Relationship Id="rId831" Type="http://schemas.openxmlformats.org/officeDocument/2006/relationships/hyperlink" Target="https://www.nj.gov/labor/ea/employer-services/register-update/employeraccess.shtml" TargetMode="External"/><Relationship Id="rId263" Type="http://schemas.openxmlformats.org/officeDocument/2006/relationships/hyperlink" Target="https://www.semafor.com/article/06/12/2025/trump-will-target-us-employers-in-next-phase-of-immigration-crackdown-homan-says" TargetMode="External"/><Relationship Id="rId470" Type="http://schemas.openxmlformats.org/officeDocument/2006/relationships/hyperlink" Target="https://www.irs.gov/pub/irs-drop/rp-23-34.pdf" TargetMode="External"/><Relationship Id="rId929" Type="http://schemas.openxmlformats.org/officeDocument/2006/relationships/hyperlink" Target="https://rules.sos.ri.gov/Regulations/part/260-30-05-2" TargetMode="External"/><Relationship Id="rId58" Type="http://schemas.openxmlformats.org/officeDocument/2006/relationships/hyperlink" Target="https://www.pa.gov/content/dam/copapwp-pagov/en/dli/documents/individuals/labor-management-relations/llc/veteran%20benefits%20and%20services_october%202025.pdf" TargetMode="External"/><Relationship Id="rId123" Type="http://schemas.openxmlformats.org/officeDocument/2006/relationships/hyperlink" Target="https://www.nyc.gov/assets/cchr/downloads/pdf/publications/Pregnancy_Poster_2017.pdf" TargetMode="External"/><Relationship Id="rId330" Type="http://schemas.openxmlformats.org/officeDocument/2006/relationships/hyperlink" Target="https://boiefiling.fincen.gov/fileboir" TargetMode="External"/><Relationship Id="rId568" Type="http://schemas.openxmlformats.org/officeDocument/2006/relationships/hyperlink" Target="https://leginfo.legislature.ca.gov/faces/billTextClient.xhtml?bill_id=202320240AB2499" TargetMode="External"/><Relationship Id="rId775"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982" Type="http://schemas.openxmlformats.org/officeDocument/2006/relationships/hyperlink" Target="https://lawfilesext.leg.wa.gov/biennium/2025-26/Pdf/Bills/House%20Passed%20Legislature/1524-S2.PL.pdf?q=20251217095910" TargetMode="External"/><Relationship Id="rId428" Type="http://schemas.openxmlformats.org/officeDocument/2006/relationships/hyperlink" Target="https://www.irs.gov/pub/irs-drop/rp-24-14.pdf" TargetMode="External"/><Relationship Id="rId635" Type="http://schemas.openxmlformats.org/officeDocument/2006/relationships/hyperlink" Target="https://data.capitol.hawaii.gov/sessions/session2024/bills/SB2715_CD1_.htm" TargetMode="External"/><Relationship Id="rId842" Type="http://schemas.openxmlformats.org/officeDocument/2006/relationships/hyperlink" Target="https://legislation.nysenate.gov/pdf/bills/2025/S3072" TargetMode="External"/><Relationship Id="rId274" Type="http://schemas.openxmlformats.org/officeDocument/2006/relationships/hyperlink" Target="https://regtap.cms.gov/reg_librarye.php?i=3860" TargetMode="External"/><Relationship Id="rId481" Type="http://schemas.openxmlformats.org/officeDocument/2006/relationships/hyperlink" Target="https://www.dir.ca.gov/dlse/Know-Your-Rights-Notice/Know-Your-Rights-Notice-English.pdf" TargetMode="External"/><Relationship Id="rId702" Type="http://schemas.openxmlformats.org/officeDocument/2006/relationships/hyperlink" Target="https://www.maine.gov/paidleave/" TargetMode="External"/><Relationship Id="rId69" Type="http://schemas.openxmlformats.org/officeDocument/2006/relationships/hyperlink" Target="https://labor.vermont.gov/document/workplace-safety-records-notice-poster" TargetMode="External"/><Relationship Id="rId134" Type="http://schemas.openxmlformats.org/officeDocument/2006/relationships/hyperlink" Target="https://labor.nv.gov/Employer/Employer_Posters/" TargetMode="External"/><Relationship Id="rId579" Type="http://schemas.openxmlformats.org/officeDocument/2006/relationships/hyperlink" Target="https://www.labor.ca.gov/resources/paga/paga-faqs/" TargetMode="External"/><Relationship Id="rId786" Type="http://schemas.openxmlformats.org/officeDocument/2006/relationships/hyperlink" Target="https://www.dli.mn.gov/sick-leave" TargetMode="External"/><Relationship Id="rId993" Type="http://schemas.openxmlformats.org/officeDocument/2006/relationships/hyperlink" Target="https://lawfilesext.leg.wa.gov/biennium/2025-26/htm/Bills/House%20Passed%20Legislature/1747.PL.htm?q=20250422091254" TargetMode="External"/><Relationship Id="rId341" Type="http://schemas.openxmlformats.org/officeDocument/2006/relationships/hyperlink" Target="https://www.hhs.gov/sites/default/files/model-attestation.pdf" TargetMode="External"/><Relationship Id="rId439" Type="http://schemas.openxmlformats.org/officeDocument/2006/relationships/hyperlink" Target="https://le.utah.gov/~2024/bills/static/HB0111.html" TargetMode="External"/><Relationship Id="rId646" Type="http://schemas.openxmlformats.org/officeDocument/2006/relationships/hyperlink" Target="https://www.morganlewis.com/pubs/2025/08/illinois-workplace-transparency-act-amendments-expand-limitations-employee-protections-regarding-certain-contract-provisions" TargetMode="External"/><Relationship Id="rId201" Type="http://schemas.openxmlformats.org/officeDocument/2006/relationships/hyperlink" Target="https://www.youtube.com/playlist?list=PLY-LCLcsLXVFbB9OsVIiW2t5R9tyvIorx" TargetMode="External"/><Relationship Id="rId243" Type="http://schemas.openxmlformats.org/officeDocument/2006/relationships/hyperlink" Target="https://home.treasury.gov/system/files/136/Tipped-Occupations-Detailed-8-27-2025.pdf?cxu5e4j5okk" TargetMode="External"/><Relationship Id="rId285" Type="http://schemas.openxmlformats.org/officeDocument/2006/relationships/hyperlink" Target="https://ww3.ca2.uscourts.gov/decisions/isysquery/059b42af-2a54-48a5-96ae-4881228286fc/5/doc/23-665_opn.pdf" TargetMode="External"/><Relationship Id="rId450" Type="http://schemas.openxmlformats.org/officeDocument/2006/relationships/hyperlink" Target="https://www.morganlewis.com/pubs/2024/03/nlrb-blocked-from-implementing-expansive-joint-employer-rule" TargetMode="External"/><Relationship Id="rId506" Type="http://schemas.openxmlformats.org/officeDocument/2006/relationships/hyperlink" Target="https://leginfo.legislature.ca.gov/faces/billTextClient.xhtml?bill_id=202520260SB294" TargetMode="External"/><Relationship Id="rId688" Type="http://schemas.openxmlformats.org/officeDocument/2006/relationships/hyperlink" Target="https://www.ilga.gov/legislation/publicacts/fulltext.asp?Name=103-0282&amp;GA=103" TargetMode="External"/><Relationship Id="rId853" Type="http://schemas.openxmlformats.org/officeDocument/2006/relationships/hyperlink" Target="https://legistar.council.nyc.gov/LegislationDetail.aspx?ID=6788474&amp;GUID=4100A3E1-33A0-4CC7-B431-E27984179902&amp;Options=ID%7cText%7c&amp;Search=int.+982" TargetMode="External"/><Relationship Id="rId895" Type="http://schemas.openxmlformats.org/officeDocument/2006/relationships/hyperlink" Target="https://www.oregon.gov/boli/workers/pages/minimum-wage.aspx" TargetMode="External"/><Relationship Id="rId909" Type="http://schemas.openxmlformats.org/officeDocument/2006/relationships/hyperlink" Target="https://olis.oregonlegislature.gov/liz/2024R1/Downloads/MeasureDocument/HB4127/Enrolled" TargetMode="External"/><Relationship Id="rId38" Type="http://schemas.openxmlformats.org/officeDocument/2006/relationships/hyperlink" Target="https://dcpaidfamilyleave.dc.gov/announcements/2026-employee-notice-is-now-available/" TargetMode="External"/><Relationship Id="rId103" Type="http://schemas.openxmlformats.org/officeDocument/2006/relationships/hyperlink" Target="https://drive.google.com/file/d/1AZKBT_JCGnKI4zW8VNjw6b1-Oqhnsdjv/view" TargetMode="External"/><Relationship Id="rId310" Type="http://schemas.openxmlformats.org/officeDocument/2006/relationships/hyperlink" Target="https://www.dol.gov/sites/dolgov/files/WHD/opinion-letters/FMLA/2025_1_14_1_FMLA.pdf" TargetMode="External"/><Relationship Id="rId49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48" Type="http://schemas.openxmlformats.org/officeDocument/2006/relationships/hyperlink" Target="https://leginfo.legislature.ca.gov/faces/codes_displaySection.xhtml?sectionNum=246.5.&amp;nodeTreePath=3.1.1.2&amp;lawCode=LAB" TargetMode="External"/><Relationship Id="rId713" Type="http://schemas.openxmlformats.org/officeDocument/2006/relationships/hyperlink" Target="https://govt.westlaw.com/mdc/Browse/Home/Maryland/MarylandCodeCourtRules?guid=N9F08D9209CC111DB9BCF9DAC28345A2A&amp;transitionType=Default&amp;contextData=%28sc.Default%29" TargetMode="External"/><Relationship Id="rId755" Type="http://schemas.openxmlformats.org/officeDocument/2006/relationships/hyperlink" Target="https://www.mass.gov/doc/2025-pfml-mandatory-workplace-poster-english/download" TargetMode="External"/><Relationship Id="rId797" Type="http://schemas.openxmlformats.org/officeDocument/2006/relationships/hyperlink" Target="https://www.littler.com/news-analysis/asap/minneapolis-minnesota-amends-its-anti-discrimination-ordinance" TargetMode="External"/><Relationship Id="rId920" Type="http://schemas.openxmlformats.org/officeDocument/2006/relationships/hyperlink" Target="https://codelibrary.amlegal.com/codes/philadelphia/latest/philadelphia_pa/0-0-0-280496" TargetMode="External"/><Relationship Id="rId962" Type="http://schemas.openxmlformats.org/officeDocument/2006/relationships/hyperlink" Target="https://law.lis.virginia.gov/vacode/60.2-528.1/" TargetMode="External"/><Relationship Id="rId91" Type="http://schemas.openxmlformats.org/officeDocument/2006/relationships/hyperlink" Target="https://www.lni.wa.gov/forms-publications/F416-081-909.pdf" TargetMode="External"/><Relationship Id="rId145" Type="http://schemas.openxmlformats.org/officeDocument/2006/relationships/hyperlink" Target="https://www.irs.gov/irb/2025-45_IRB" TargetMode="External"/><Relationship Id="rId187" Type="http://schemas.openxmlformats.org/officeDocument/2006/relationships/hyperlink" Target="https://legislature.maine.gov/statutes/26/title26sec599-A.html" TargetMode="External"/><Relationship Id="rId352" Type="http://schemas.openxmlformats.org/officeDocument/2006/relationships/hyperlink" Target="https://www.irs.gov/pub/irs-dft/f1095b--dft.pdf" TargetMode="External"/><Relationship Id="rId394" Type="http://schemas.openxmlformats.org/officeDocument/2006/relationships/hyperlink" Target="https://www.hhs.gov/hipaa/for-professionals/special-topics/change-healthcare-cybersecurity-incident-frequently-asked-questions/index.html" TargetMode="External"/><Relationship Id="rId408" Type="http://schemas.openxmlformats.org/officeDocument/2006/relationships/hyperlink" Target="https://www.fincen.gov/sites/default/files/shared/BOI_Small_Compliance_Guide.v1.1-FINAL.pdf" TargetMode="External"/><Relationship Id="rId615"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822" Type="http://schemas.openxmlformats.org/officeDocument/2006/relationships/hyperlink" Target="https://www.leg.state.nv.us/Register/2024Register/R131-24AP.pdf" TargetMode="External"/><Relationship Id="rId212"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254" Type="http://schemas.openxmlformats.org/officeDocument/2006/relationships/hyperlink" Target="https://www.nlrb.gov/about-nlrb/rights-we-protect/the-law/interfering-with-employee-rights-section-7-8a1" TargetMode="External"/><Relationship Id="rId657" Type="http://schemas.openxmlformats.org/officeDocument/2006/relationships/hyperlink" Target="https://www.jacksonlewis.com/sites/default/files/2025-04/IL-Mercado-v-S_C-Electric-2025-129526.pdf" TargetMode="External"/><Relationship Id="rId699" Type="http://schemas.openxmlformats.org/officeDocument/2006/relationships/hyperlink" Target="https://www.mainelegislature.org/legis/bills/getPDF.asp?paper=HP0025&amp;item=3&amp;snum=132" TargetMode="External"/><Relationship Id="rId864"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49" Type="http://schemas.openxmlformats.org/officeDocument/2006/relationships/hyperlink" Target="https://www.tucsonaz.gov/files/sharedassets/public/v/1/bsd/documents/minimum-wage-materials/cot_minimum_wage_eng_2026.pdf" TargetMode="External"/><Relationship Id="rId114" Type="http://schemas.openxmlformats.org/officeDocument/2006/relationships/hyperlink" Target="https://www.mass.gov/doc/mcad-fair-employment-law-poster-0/download" TargetMode="External"/><Relationship Id="rId296" Type="http://schemas.openxmlformats.org/officeDocument/2006/relationships/hyperlink" Target="https://home.treasury.gov/news/press-releases/sb0038" TargetMode="External"/><Relationship Id="rId461" Type="http://schemas.openxmlformats.org/officeDocument/2006/relationships/hyperlink" Target="https://apps.nlrb.gov/link/document.aspx/09031d4583c4ba43" TargetMode="External"/><Relationship Id="rId517" Type="http://schemas.openxmlformats.org/officeDocument/2006/relationships/hyperlink" Target="https://leginfo.legislature.ca.gov/faces/billCompareClient.xhtml?bill_id=202520260SB642&amp;showamends=false" TargetMode="External"/><Relationship Id="rId559" Type="http://schemas.openxmlformats.org/officeDocument/2006/relationships/hyperlink" Target="https://leginfo.legislature.ca.gov/faces/billCompareClient.xhtml?bill_id=202320240SB1137&amp;showamends=false" TargetMode="External"/><Relationship Id="rId724" Type="http://schemas.openxmlformats.org/officeDocument/2006/relationships/hyperlink" Target="https://mgaleg.maryland.gov/2024RS/Chapters_noln/CH_377_hb1397e.pdf" TargetMode="External"/><Relationship Id="rId766"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931" Type="http://schemas.openxmlformats.org/officeDocument/2006/relationships/hyperlink" Target="https://legiscan.com/RI/text/H6161/2025" TargetMode="External"/><Relationship Id="rId60" Type="http://schemas.openxmlformats.org/officeDocument/2006/relationships/hyperlink" Target="https://labor.vermont.gov/sites/labor/files/documents/Min%20Wage%20Poster%202026.pdf" TargetMode="External"/><Relationship Id="rId156" Type="http://schemas.microsoft.com/office/2011/relationships/commentsExtended" Target="commentsExtended.xml"/><Relationship Id="rId198" Type="http://schemas.openxmlformats.org/officeDocument/2006/relationships/hyperlink" Target="https://enforcedata.dol.gov/views/data_catalogs.php" TargetMode="External"/><Relationship Id="rId321" Type="http://schemas.openxmlformats.org/officeDocument/2006/relationships/hyperlink" Target="https://www.irs.gov/irb/2024-49_IRB" TargetMode="External"/><Relationship Id="rId363" Type="http://schemas.openxmlformats.org/officeDocument/2006/relationships/image" Target="media/image2.png"/><Relationship Id="rId419" Type="http://schemas.openxmlformats.org/officeDocument/2006/relationships/hyperlink" Target="https://www.cms.gov/CCIIO/Programs-and-Initiatives/Other-Insurance-Protections/Prescription-Drug-Data-Collection" TargetMode="External"/><Relationship Id="rId570" Type="http://schemas.openxmlformats.org/officeDocument/2006/relationships/hyperlink" Target="https://leginfo.legislature.ca.gov/faces/billCompareClient.xhtml?bill_id=202320240SB399&amp;showamends=false" TargetMode="External"/><Relationship Id="rId626" Type="http://schemas.openxmlformats.org/officeDocument/2006/relationships/hyperlink" Target="https://labor.delaware.gov/delaware-paid-leave-is-coming/" TargetMode="External"/><Relationship Id="rId973" Type="http://schemas.openxmlformats.org/officeDocument/2006/relationships/hyperlink" Target="https://www.retirepathva.com/resources/faqs" TargetMode="External"/><Relationship Id="rId1007" Type="http://schemas.openxmlformats.org/officeDocument/2006/relationships/footer" Target="footer1.xml"/><Relationship Id="rId223" Type="http://schemas.openxmlformats.org/officeDocument/2006/relationships/hyperlink" Target="https://www.whitehouse.gov/presidential-actions/2025/12/eliminating-state-law-obstruction-of-national-artificial-intelligence-policy/" TargetMode="External"/><Relationship Id="rId430" Type="http://schemas.openxmlformats.org/officeDocument/2006/relationships/hyperlink" Target="https://www.irs.gov/affordable-care-act/employers/types-of-employer-payments-and-how-they-are-calculated" TargetMode="External"/><Relationship Id="rId668" Type="http://schemas.openxmlformats.org/officeDocument/2006/relationships/hyperlink" Target="https://www.cookcountyil.gov/sites/g/files/ywwepo161/files/documents/2024-10/2024%2010%2016_ProceduralRules_PaidLeaveOrdinance.pdf" TargetMode="External"/><Relationship Id="rId833" Type="http://schemas.openxmlformats.org/officeDocument/2006/relationships/hyperlink" Target="https://www.nj.gov/labor/myworkrights/wages/pay-transparency/" TargetMode="External"/><Relationship Id="rId875"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18" Type="http://schemas.openxmlformats.org/officeDocument/2006/relationships/hyperlink" Target="https://labor.alaska.gov/lss/forms/child-labor-law-summary.pdf?q=032426" TargetMode="External"/><Relationship Id="rId265" Type="http://schemas.openxmlformats.org/officeDocument/2006/relationships/hyperlink" Target="https://www.miamiherald.com/news/local/immigration/article307453871.html" TargetMode="External"/><Relationship Id="rId472" Type="http://schemas.openxmlformats.org/officeDocument/2006/relationships/hyperlink" Target="https://www.dol.gov/agencies/ebsa/laws-and-regulations/laws/affordable-care-act/for-employers-and-advisers/coverage-options-notice" TargetMode="External"/><Relationship Id="rId528" Type="http://schemas.openxmlformats.org/officeDocument/2006/relationships/hyperlink" Target="https://leginfo.legislature.ca.gov/faces/billCompareClient.xhtml?bill_id=202520260SB642&amp;showamends=false" TargetMode="External"/><Relationship Id="rId735" Type="http://schemas.openxmlformats.org/officeDocument/2006/relationships/hyperlink" Target="https://www.mass.gov/info-details/pay-transparency-in-massachusetts?_gl=1*tkmvzm*_ga*NTUyNjAxMTIyLjE3NjE0NzkzMDg.*_ga_MCLPEGW7WM*czE3NjgyMzc0NjIkbzEkZzAkdDE3NjgyMzc0NjIkajYwJGwwJGgw" TargetMode="External"/><Relationship Id="rId900" Type="http://schemas.openxmlformats.org/officeDocument/2006/relationships/hyperlink" Target="https://olis.oregonlegislature.gov/liz/2025R1/Measures/Overview/SB69" TargetMode="External"/><Relationship Id="rId942" Type="http://schemas.openxmlformats.org/officeDocument/2006/relationships/hyperlink" Target="https://www.mpp.org/news/press/texas-becomes-40th-state-to-legalize-medical-cannabis/" TargetMode="External"/><Relationship Id="rId125"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67" Type="http://schemas.openxmlformats.org/officeDocument/2006/relationships/hyperlink" Target="https://www.irs.gov/newsroom/questions-and-answers-about-the-new-deduction-for-qualified-overtime-compensation" TargetMode="External"/><Relationship Id="rId332" Type="http://schemas.openxmlformats.org/officeDocument/2006/relationships/hyperlink" Target="https://www.irs.gov/pub/irs-drop/n-24-80.pdf" TargetMode="External"/><Relationship Id="rId374" Type="http://schemas.openxmlformats.org/officeDocument/2006/relationships/hyperlink" Target="https://405d.hhs.gov/Documents/HICP-Main-508.pdf" TargetMode="External"/><Relationship Id="rId581" Type="http://schemas.openxmlformats.org/officeDocument/2006/relationships/hyperlink" Target="https://www.dir.ca.gov/dlse/" TargetMode="External"/><Relationship Id="rId777" Type="http://schemas.openxmlformats.org/officeDocument/2006/relationships/hyperlink" Target="http://www.legislature.mi.gov/(S(0jrxjwf43f2ohimqzwrfflnu))/mileg.aspx?page=GetObject&amp;objectname=mcl-act-338-of-2018" TargetMode="External"/><Relationship Id="rId984" Type="http://schemas.openxmlformats.org/officeDocument/2006/relationships/hyperlink" Target="https://secureaccess.wa.gov/myAccess/saw/select.do" TargetMode="External"/><Relationship Id="rId71" Type="http://schemas.openxmlformats.org/officeDocument/2006/relationships/hyperlink" Target="https://labor.vermont.gov/document/earned-sick-time-poster-english" TargetMode="External"/><Relationship Id="rId234" Type="http://schemas.openxmlformats.org/officeDocument/2006/relationships/hyperlink" Target="https://www.dol.gov/sites/dolgov/files/EBSA/about-ebsa/our-activities/resource-center/faqs/aca-part-57.pdf" TargetMode="External"/><Relationship Id="rId637" Type="http://schemas.openxmlformats.org/officeDocument/2006/relationships/hyperlink" Target="https://labor.illinois.gov/laws-rules/conmed/eprc-faqs.html" TargetMode="External"/><Relationship Id="rId679" Type="http://schemas.openxmlformats.org/officeDocument/2006/relationships/hyperlink" Target="https://www.chicago.gov/city/en/depts/bacp/supp_info/paidsickleaveinfo.html" TargetMode="External"/><Relationship Id="rId802" Type="http://schemas.openxmlformats.org/officeDocument/2006/relationships/hyperlink" Target="https://www.revisor.mn.gov/laws/2024/0/Session+Law/Chapter/127/" TargetMode="External"/><Relationship Id="rId844" Type="http://schemas.openxmlformats.org/officeDocument/2006/relationships/hyperlink" Target="https://paidfamilyleave.ny.gov/" TargetMode="External"/><Relationship Id="rId886" Type="http://schemas.openxmlformats.org/officeDocument/2006/relationships/hyperlink" Target="https://nyassembly.gov/leg/?default_fld=&amp;leg_video=&amp;bn=A08947&amp;term=2023&amp;Summary=Y&amp;Actions=Y&amp;Committee%26nbspVotes=Y&amp;Floor%26nbspVotes=Y&amp;Memo=Y&amp;Text=Y" TargetMode="External"/><Relationship Id="rId2" Type="http://schemas.openxmlformats.org/officeDocument/2006/relationships/numbering" Target="numbering.xml"/><Relationship Id="rId29" Type="http://schemas.openxmlformats.org/officeDocument/2006/relationships/hyperlink" Target="https://paidleave.wa.gov/app/uploads/2026/01/Job-Protection-Employer-Notice_Job-Protection-Rights-2026.01.14.pdf" TargetMode="External"/><Relationship Id="rId276" Type="http://schemas.openxmlformats.org/officeDocument/2006/relationships/hyperlink" Target="https://www.whitehouse.gov/presidential-actions/2025/05/delivering-most-favored-nation-prescription-drug-pricing-to-american-patients/" TargetMode="External"/><Relationship Id="rId441" Type="http://schemas.openxmlformats.org/officeDocument/2006/relationships/hyperlink" Target="https://www.skadden.com/-/media/files/publications/2024/03/insights-special-edition/hb-158.pdf?rev=8d4078ff3dae4fb095b1ae5ab2b01b82&amp;hash=A37F1ADD1526BDB2EF55ED623ECA19EF" TargetMode="External"/><Relationship Id="rId483" Type="http://schemas.openxmlformats.org/officeDocument/2006/relationships/hyperlink" Target="https://sf.gov/information/health-care-security-ordinance" TargetMode="External"/><Relationship Id="rId539" Type="http://schemas.openxmlformats.org/officeDocument/2006/relationships/image" Target="media/image3.png"/><Relationship Id="rId690" Type="http://schemas.openxmlformats.org/officeDocument/2006/relationships/hyperlink" Target="https://labor.illinois.gov/laws-rules/conmed/eprc.html" TargetMode="External"/><Relationship Id="rId704" Type="http://schemas.openxmlformats.org/officeDocument/2006/relationships/hyperlink" Target="https://www.maine.gov/paidleave/" TargetMode="External"/><Relationship Id="rId746" Type="http://schemas.openxmlformats.org/officeDocument/2006/relationships/hyperlink" Target="https://www.mass.gov/doc/earned-sick-time-faqs/download" TargetMode="External"/><Relationship Id="rId911"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40" Type="http://schemas.openxmlformats.org/officeDocument/2006/relationships/hyperlink" Target="https://labor.illinois.gov/content/dam/soi/en/web/idol/employers/posters/vessa/2026/26_VESSA_English_NewLogo.pdf" TargetMode="External"/><Relationship Id="rId136" Type="http://schemas.openxmlformats.org/officeDocument/2006/relationships/hyperlink" Target="https://dir.nv.gov/uploadedFiles/dirnvgov/content/Governance/NV%20OSHA%20Poster%20-%20English%20(9-2024).pdf" TargetMode="External"/><Relationship Id="rId178" Type="http://schemas.openxmlformats.org/officeDocument/2006/relationships/hyperlink" Target="https://www.federalregister.gov/documents/2014/02/20/2014-03805/establishing-a-minimum-wage-for-contractors" TargetMode="External"/><Relationship Id="rId301" Type="http://schemas.openxmlformats.org/officeDocument/2006/relationships/hyperlink" Target="https://www.agg.com/news-insights/publications/federal-government-contractors-may-no-longer-have-90-days-to-comply-with-trump-administrations-dei-executive-order/" TargetMode="External"/><Relationship Id="rId343" Type="http://schemas.openxmlformats.org/officeDocument/2006/relationships/hyperlink" Target="http://www.cms.gov/Medicare/Prescription-Drug-Coverage/CreditableCoverage/Downloads/ModelCreditableCoverageDisclosureNotice051711.pdf" TargetMode="External"/><Relationship Id="rId550" Type="http://schemas.openxmlformats.org/officeDocument/2006/relationships/hyperlink" Target="https://leginfo.legislature.ca.gov/faces/billNavClient.xhtml?bill_id=202320240AB636" TargetMode="External"/><Relationship Id="rId788" Type="http://schemas.openxmlformats.org/officeDocument/2006/relationships/hyperlink" Target="https://stpaul.legistar.com/LegislationDetail.aspx?ID=7663970&amp;GUID=8CE66840-E156-4D30-AFB3-FB8FBABC2592&amp;Options=&amp;Search=" TargetMode="External"/><Relationship Id="rId953" Type="http://schemas.openxmlformats.org/officeDocument/2006/relationships/image" Target="media/image6.png"/><Relationship Id="rId995" Type="http://schemas.openxmlformats.org/officeDocument/2006/relationships/hyperlink" Target="https://app.leg.wa.gov/billsummary?BillNumber=5408&amp;Year=2025&amp;Initiative=false" TargetMode="External"/><Relationship Id="rId82" Type="http://schemas.openxmlformats.org/officeDocument/2006/relationships/hyperlink" Target="https://dol.nebraska.gov/webdocs/Resources/Items/Paid%20Sick%20Time%20Notice%20(2).pdf" TargetMode="External"/><Relationship Id="rId203" Type="http://schemas.openxmlformats.org/officeDocument/2006/relationships/hyperlink" Target="https://www.dol.gov/agencies/whd/paid" TargetMode="External"/><Relationship Id="rId385" Type="http://schemas.openxmlformats.org/officeDocument/2006/relationships/hyperlink" Target="https://www.osha.gov/sites/default/files/Heat-NPRM-Final-Reg-Text.pdf" TargetMode="External"/><Relationship Id="rId592" Type="http://schemas.openxmlformats.org/officeDocument/2006/relationships/hyperlink" Target="https://calcivilrights.ca.gov/paydatareporting/faqs/" TargetMode="External"/><Relationship Id="rId606" Type="http://schemas.openxmlformats.org/officeDocument/2006/relationships/hyperlink" Target="https://sender9.zohoinsights.com/ck1/2d6f.327230a/7fbf4e00-f337-11f0-ae1b-525400d4bb1c/1de535ef35ea09f234ffaa16751649fb7dd14cf9/2?e=IxS38A9WQut25K%2FVurCHTgXo8t5QSsKZYaueZJUtgzM%3D" TargetMode="External"/><Relationship Id="rId648" Type="http://schemas.openxmlformats.org/officeDocument/2006/relationships/hyperlink" Target="https://labor.illinois.gov/laws-rules/conmed/eprc.html" TargetMode="External"/><Relationship Id="rId813" Type="http://schemas.openxmlformats.org/officeDocument/2006/relationships/hyperlink" Target="https://sos.nebraska.gov/sites/default/files/doc/elections/2024/2024%20Ballot%20Measures%20Pamphlet.pdf" TargetMode="External"/><Relationship Id="rId855" Type="http://schemas.openxmlformats.org/officeDocument/2006/relationships/hyperlink" Target="https://www.wcb.ny.gov/content/main/PressRe/paid-family-leave-2026.jsp" TargetMode="External"/><Relationship Id="rId245" Type="http://schemas.openxmlformats.org/officeDocument/2006/relationships/hyperlink" Target="https://www.littler.com/news-analysis/asap/treasury-department-releases-preliminary-list-no-tax-tips-occupations" TargetMode="External"/><Relationship Id="rId287" Type="http://schemas.openxmlformats.org/officeDocument/2006/relationships/hyperlink" Target="https://www.law.cornell.edu/supremecourt/text/401/424" TargetMode="External"/><Relationship Id="rId410" Type="http://schemas.openxmlformats.org/officeDocument/2006/relationships/hyperlink" Target="https://www.eeoc.gov/summary-key-provisions-eeoc-enforcement-guidance-harassment-workplace" TargetMode="External"/><Relationship Id="rId452" Type="http://schemas.openxmlformats.org/officeDocument/2006/relationships/hyperlink" Target="https://www.morganlewis.com/pubs/2024/03/nlrb-blocked-from-implementing-expansive-joint-employer-rule" TargetMode="External"/><Relationship Id="rId494" Type="http://schemas.openxmlformats.org/officeDocument/2006/relationships/hyperlink" Target="https://www.dir.ca.gov/oprl/ComputerSoftware.htm" TargetMode="External"/><Relationship Id="rId508"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15" Type="http://schemas.openxmlformats.org/officeDocument/2006/relationships/hyperlink" Target="https://mgaleg.maryland.gov/2025RS/Chapters_noln/CH_296_sb0785t.pdf" TargetMode="External"/><Relationship Id="rId897" Type="http://schemas.openxmlformats.org/officeDocument/2006/relationships/hyperlink" Target="https://olis.oregonlegislature.gov/liz/2025R1/Downloads/MeasureDocument/SB906/Enrolled" TargetMode="External"/><Relationship Id="rId922" Type="http://schemas.openxmlformats.org/officeDocument/2006/relationships/hyperlink" Target="https://codelibrary.amlegal.com/codes/philadelphia/latest/philadelphia_pa/0-0-0-280600" TargetMode="External"/><Relationship Id="rId105" Type="http://schemas.openxmlformats.org/officeDocument/2006/relationships/hyperlink" Target="https://does.dc.gov/sites/default/files/dc/sites/does/publication/attachments/Final%202025%20Living%20Wage%20Poster%202.6.2025.pdf" TargetMode="External"/><Relationship Id="rId147" Type="http://schemas.openxmlformats.org/officeDocument/2006/relationships/hyperlink" Target="https://www.irs.gov/affordable-care-act/patient-centered-outcomes-research-trust-fund-fee-questions-and-answers" TargetMode="External"/><Relationship Id="rId312" Type="http://schemas.openxmlformats.org/officeDocument/2006/relationships/hyperlink" Target="https://www.congress.gov/bill/118th-congress/house-bill/3801?s=1&amp;r=1&amp;q=%7B%22search%22%3A%22hr+3801%22%7D" TargetMode="External"/><Relationship Id="rId354" Type="http://schemas.openxmlformats.org/officeDocument/2006/relationships/hyperlink" Target="https://www.irs.gov/pub/irs-dft/f1094c--dft.pdf" TargetMode="External"/><Relationship Id="rId757" Type="http://schemas.openxmlformats.org/officeDocument/2006/relationships/hyperlink" Target="https://malegislature.gov/Bills/193/H4999" TargetMode="External"/><Relationship Id="rId799" Type="http://schemas.openxmlformats.org/officeDocument/2006/relationships/hyperlink" Target="https://paidleave.mn.gov/employers/faq/index.jsp" TargetMode="External"/><Relationship Id="rId964" Type="http://schemas.openxmlformats.org/officeDocument/2006/relationships/hyperlink" Target="https://law.lis.virginia.gov/vacode/title32.1/chapter5/section32.1-127/" TargetMode="External"/><Relationship Id="rId51" Type="http://schemas.openxmlformats.org/officeDocument/2006/relationships/hyperlink" Target="https://www.mass.gov/doc/2026-pfml-mandatory-workplace-poster-english/download" TargetMode="External"/><Relationship Id="rId93" Type="http://schemas.openxmlformats.org/officeDocument/2006/relationships/hyperlink" Target="chrome-extension://efaidnbmnnnibpcajpcglclefindmkaj/https:/dial.iowa.gov/media/8749/download?inline=" TargetMode="External"/><Relationship Id="rId189" Type="http://schemas.openxmlformats.org/officeDocument/2006/relationships/hyperlink" Target="https://malegislature.gov/Laws/GeneralLaws/PartI/TitleXXI/Chapter149/Section24l" TargetMode="External"/><Relationship Id="rId396" Type="http://schemas.openxmlformats.org/officeDocument/2006/relationships/hyperlink" Target="https://www.hhs.gov/hipaa/for-professionals/security/laws-regulations/index.html" TargetMode="External"/><Relationship Id="rId561" Type="http://schemas.openxmlformats.org/officeDocument/2006/relationships/hyperlink" Target="https://leginfo.legislature.ca.gov/faces/billTextClient.xhtml?bill_id=202320240SB1137" TargetMode="External"/><Relationship Id="rId617" Type="http://schemas.openxmlformats.org/officeDocument/2006/relationships/hyperlink" Target="https://www.littler.com/news-analysis/asap/warehouse-quota-notice-laws-connecticut-joins-club" TargetMode="External"/><Relationship Id="rId659" Type="http://schemas.openxmlformats.org/officeDocument/2006/relationships/hyperlink" Target="https://labor.illinois.gov/content/dam/soi/en/web/idol/laws-rules/conmed/documents/eprc/eprc-employee-import-template.xls" TargetMode="External"/><Relationship Id="rId824" Type="http://schemas.openxmlformats.org/officeDocument/2006/relationships/hyperlink" Target="https://gc.nh.gov/bill_status/billinfo.aspx?id=1188&amp;inflect=2" TargetMode="External"/><Relationship Id="rId866" Type="http://schemas.openxmlformats.org/officeDocument/2006/relationships/hyperlink" Target="https://www.nyc.gov/site/cchr/law/lactation.page" TargetMode="External"/><Relationship Id="rId214"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256" Type="http://schemas.openxmlformats.org/officeDocument/2006/relationships/hyperlink" Target="https://www.vedderprice.com/one-big-beautiful-bill-acts-no-tax-on-tips-and-overtime-provisions-prompt-important-questions-and-considerations-for-both-employers-and-workers" TargetMode="External"/><Relationship Id="rId298" Type="http://schemas.openxmlformats.org/officeDocument/2006/relationships/hyperlink" Target="https://fincen.gov/sites/default/files/shared/FinCEN-BOI-Notice-Deadline-Extension-508FINAL.pdf" TargetMode="External"/><Relationship Id="rId421"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463" Type="http://schemas.openxmlformats.org/officeDocument/2006/relationships/hyperlink" Target="https://www.natlawreview.com/article/uaw-goes-medieval-big-three-what-does-it-mean" TargetMode="External"/><Relationship Id="rId519" Type="http://schemas.openxmlformats.org/officeDocument/2006/relationships/hyperlink" Target="https://leginfo.legislature.ca.gov/faces/billCompareClient.xhtml?bill_id=202520260SB617&amp;showamends=false" TargetMode="External"/><Relationship Id="rId670" Type="http://schemas.openxmlformats.org/officeDocument/2006/relationships/hyperlink" Target="https://www.ilga.gov/legislation/publicacts/103/103-0721.htm" TargetMode="External"/><Relationship Id="rId116" Type="http://schemas.openxmlformats.org/officeDocument/2006/relationships/hyperlink" Target="https://law.lis.virginia.gov/vacode/title40.1/chapter3/section40.1-28.7:8/" TargetMode="External"/><Relationship Id="rId158" Type="http://schemas.microsoft.com/office/2018/08/relationships/commentsExtensible" Target="commentsExtensible.xml"/><Relationship Id="rId323" Type="http://schemas.openxmlformats.org/officeDocument/2006/relationships/hyperlink" Target="http://www.gpo.gov/fdsys/pkg/FR-2012-12-06/pdf/2012-29325.pdf" TargetMode="External"/><Relationship Id="rId530" Type="http://schemas.openxmlformats.org/officeDocument/2006/relationships/hyperlink" Target="https://leginfo.legislature.ca.gov/faces/billCompareClient.xhtml?bill_id=202520260SB617&amp;showamends=false" TargetMode="External"/><Relationship Id="rId726" Type="http://schemas.openxmlformats.org/officeDocument/2006/relationships/hyperlink" Target="https://mgaleg.maryland.gov/2022RS/bills/sb/sb0275E.pdf" TargetMode="External"/><Relationship Id="rId768" Type="http://schemas.openxmlformats.org/officeDocument/2006/relationships/hyperlink" Target="https://www.michigan.gov/leo/bureaus-agencies/ber/wage-and-hour/paid-medical-leave-act/frequently-asked-questions--faqs" TargetMode="External"/><Relationship Id="rId933" Type="http://schemas.openxmlformats.org/officeDocument/2006/relationships/hyperlink" Target="https://legiscan.com/RI/text/H5679/2025" TargetMode="External"/><Relationship Id="rId975" Type="http://schemas.openxmlformats.org/officeDocument/2006/relationships/hyperlink" Target="https://lawfilesext.leg.wa.gov/biennium/2025-26/Pdf/Bills/Senate%20Passed%20Legislature/6106.PL.pdf?q=20260316140022" TargetMode="External"/><Relationship Id="rId1009" Type="http://schemas.microsoft.com/office/2011/relationships/people" Target="people.xml"/><Relationship Id="rId20" Type="http://schemas.openxmlformats.org/officeDocument/2006/relationships/hyperlink" Target="https://paidleave.oregon.gov/resources/resources.html" TargetMode="External"/><Relationship Id="rId62" Type="http://schemas.openxmlformats.org/officeDocument/2006/relationships/hyperlink" Target="https://labor.vermont.gov/document/accommodations-pregnant-employees-poster" TargetMode="External"/><Relationship Id="rId365" Type="http://schemas.openxmlformats.org/officeDocument/2006/relationships/hyperlink" Target="https://www.peatworks.org/ai-inclusive-hiring-framework/" TargetMode="External"/><Relationship Id="rId572" Type="http://schemas.openxmlformats.org/officeDocument/2006/relationships/hyperlink" Target="https://leginfo.legislature.ca.gov/faces/billCompareClient.xhtml?bill_id=202320240AB2499&amp;showamends=false" TargetMode="External"/><Relationship Id="rId628" Type="http://schemas.openxmlformats.org/officeDocument/2006/relationships/hyperlink" Target="https://dcpaidfamilyleave.dc.gov/announcements/2025-employee-notice-is-now-available/" TargetMode="External"/><Relationship Id="rId835" Type="http://schemas.openxmlformats.org/officeDocument/2006/relationships/hyperlink" Target="https://apps.trustmineral.com/hr-compliance/laws/6IOhujtonJJKGxiAkAKtW4/details" TargetMode="External"/><Relationship Id="rId225" Type="http://schemas.openxmlformats.org/officeDocument/2006/relationships/hyperlink" Target="https://www.eeoc.gov/discrimination-against-american-workers-against-law" TargetMode="External"/><Relationship Id="rId267" Type="http://schemas.openxmlformats.org/officeDocument/2006/relationships/hyperlink" Target="https://www.e-verify.gov/ead-revocation-guidance-for-e-verify-employers" TargetMode="External"/><Relationship Id="rId432"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474" Type="http://schemas.openxmlformats.org/officeDocument/2006/relationships/hyperlink" Target="https://www.elections.alaska.gov/doc/oep/2024/Ballot%20Measure%201_Eng.pdf" TargetMode="External"/><Relationship Id="rId877" Type="http://schemas.openxmlformats.org/officeDocument/2006/relationships/hyperlink" Target="https://www.nysenate.gov/legislation/bills/2023/S8358/amendment/C" TargetMode="External"/><Relationship Id="rId127" Type="http://schemas.openxmlformats.org/officeDocument/2006/relationships/hyperlink" Target="https://calcivilrights.ca.gov/wp-content/uploads/sites/32/2023/01/CFRA-and-Pregnancy-Leave_ENG.pdf" TargetMode="External"/><Relationship Id="rId681"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737" Type="http://schemas.openxmlformats.org/officeDocument/2006/relationships/hyperlink" Target="https://www.mass.gov/doc/ago-wage-transparency-act-faqs-revised-11132025/download" TargetMode="External"/><Relationship Id="rId779" Type="http://schemas.openxmlformats.org/officeDocument/2006/relationships/hyperlink" Target="https://mn.gov/deed/assets/paid-leave-mandatory-employer-poster-acc_tcm1045-700342.pdf" TargetMode="External"/><Relationship Id="rId902" Type="http://schemas.openxmlformats.org/officeDocument/2006/relationships/hyperlink" Target="https://olis.oregonlegislature.gov/liz/2025R1/Downloads/MeasureDocument/HB3187/Enrolled" TargetMode="External"/><Relationship Id="rId944" Type="http://schemas.openxmlformats.org/officeDocument/2006/relationships/hyperlink" Target="https://le.utah.gov/~2026/bills/static/HB0270.html" TargetMode="External"/><Relationship Id="rId986" Type="http://schemas.openxmlformats.org/officeDocument/2006/relationships/hyperlink" Target="https://lawfilesext.leg.wa.gov/biennium/2025-26/htm/Bills/Senate%20Bills/5104-S.htm?q=20250423101056" TargetMode="External"/><Relationship Id="rId31" Type="http://schemas.openxmlformats.org/officeDocument/2006/relationships/hyperlink" Target="https://www.dir.ca.gov/dlse/Publications/Paid_Sick_Days_Poster_Template_(11_2014).pdf" TargetMode="External"/><Relationship Id="rId73" Type="http://schemas.openxmlformats.org/officeDocument/2006/relationships/hyperlink" Target="https://dlt.ri.gov/employers/required-workplace-posters" TargetMode="External"/><Relationship Id="rId169"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334" Type="http://schemas.openxmlformats.org/officeDocument/2006/relationships/hyperlink" Target="https://www.irs.gov/affordable-care-act/employers/information-reporting-by-providers-of-minimum-essential-coverage" TargetMode="External"/><Relationship Id="rId376" Type="http://schemas.openxmlformats.org/officeDocument/2006/relationships/hyperlink" Target="https://405d.hhs.gov/Documents/tech-vol2-508.pdf" TargetMode="External"/><Relationship Id="rId541"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583" Type="http://schemas.openxmlformats.org/officeDocument/2006/relationships/hyperlink" Target="https://leginfo.legislature.ca.gov/faces/billTextClient.xhtml?bill_id=202320240AB3234" TargetMode="External"/><Relationship Id="rId639" Type="http://schemas.openxmlformats.org/officeDocument/2006/relationships/hyperlink" Target="https://labor.illinois.gov/laws-rules/conmed/eprc.html" TargetMode="External"/><Relationship Id="rId790" Type="http://schemas.openxmlformats.org/officeDocument/2006/relationships/hyperlink" Target="https://www.dli.mn.gov/sick-leave" TargetMode="External"/><Relationship Id="rId804" Type="http://schemas.openxmlformats.org/officeDocument/2006/relationships/hyperlink" Target="https://www.revisor.mn.gov/statutes/cite/181.172" TargetMode="External"/><Relationship Id="rId4" Type="http://schemas.openxmlformats.org/officeDocument/2006/relationships/settings" Target="settings.xml"/><Relationship Id="rId180" Type="http://schemas.openxmlformats.org/officeDocument/2006/relationships/hyperlink" Target="https://data.dol.gov/datasets/10289" TargetMode="External"/><Relationship Id="rId236" Type="http://schemas.openxmlformats.org/officeDocument/2006/relationships/hyperlink" Target="https://www.eeoc.gov/poster?utm_content=&amp;utm_medium=email&amp;utm_name=&amp;utm_source=govdelivery&amp;utm_term=" TargetMode="External"/><Relationship Id="rId278" Type="http://schemas.openxmlformats.org/officeDocument/2006/relationships/hyperlink" Target="https://www.dol.gov/agencies/ebsa/laws-and-regulations/laws/mental-health-parity/statement-regarding-enforcement-of-the-final-rule-on-requirements-related-to-mhpaea" TargetMode="External"/><Relationship Id="rId401" Type="http://schemas.openxmlformats.org/officeDocument/2006/relationships/hyperlink" Target="https://www.hhs.gov/hipaa/for-professionals/security/guidance/cybersecurity/ransomware-fact-sheet/index.html" TargetMode="External"/><Relationship Id="rId443" Type="http://schemas.openxmlformats.org/officeDocument/2006/relationships/hyperlink" Target="https://leginfo.legislature.ca.gov/faces/billTextClient.xhtml?bill_id=202320240SB54" TargetMode="External"/><Relationship Id="rId650" Type="http://schemas.openxmlformats.org/officeDocument/2006/relationships/hyperlink" Target="https://labor.illinois.gov/laws-rules/conmed/eprc.html" TargetMode="External"/><Relationship Id="rId846" Type="http://schemas.openxmlformats.org/officeDocument/2006/relationships/hyperlink" Target="https://www.nycdentalsociety.org/docs/statenynewyorklibraries/default-document-library/governor-approval-memo-16-on-workplace-first-aid-kit-including-opioid-antagonist.pdf?sfvrsn=e0d15fb8_1" TargetMode="External"/><Relationship Id="rId888" Type="http://schemas.openxmlformats.org/officeDocument/2006/relationships/hyperlink" Target="https://nyassembly.gov/leg/?default_fld=&amp;leg_video=&amp;bn=A08805&amp;term=2023&amp;Summary=Y&amp;Actions=Y&amp;Text=Y" TargetMode="External"/><Relationship Id="rId303" Type="http://schemas.openxmlformats.org/officeDocument/2006/relationships/hyperlink" Target="https://www.dol.gov/agencies/ebsa/about-ebsa/our-activities/resource-center/fact-sheets/ebsa-monetary-results" TargetMode="External"/><Relationship Id="rId485" Type="http://schemas.openxmlformats.org/officeDocument/2006/relationships/hyperlink" Target="https://www.sf.gov/sites/default/files/2024-07/HCSO%20Rules%20Final.pdf" TargetMode="External"/><Relationship Id="rId692" Type="http://schemas.openxmlformats.org/officeDocument/2006/relationships/hyperlink" Target="https://www.ilga.gov/legislation/publicacts/fulltext.asp?Name=103-0291" TargetMode="External"/><Relationship Id="rId706" Type="http://schemas.openxmlformats.org/officeDocument/2006/relationships/hyperlink" Target="https://meritsaves.org/" TargetMode="External"/><Relationship Id="rId748" Type="http://schemas.openxmlformats.org/officeDocument/2006/relationships/hyperlink" Target="https://www.mass.gov/info-details/employer-private-plan-reporting-obligations" TargetMode="External"/><Relationship Id="rId913" Type="http://schemas.openxmlformats.org/officeDocument/2006/relationships/hyperlink" Target="https://www.oregonlegislature.gov/bills_laws/ors/ors659a.html" TargetMode="External"/><Relationship Id="rId955" Type="http://schemas.openxmlformats.org/officeDocument/2006/relationships/hyperlink" Target="https://lis.virginia.gov/bill-details/20261/SB2/text/SB2ER2" TargetMode="External"/><Relationship Id="rId42" Type="http://schemas.openxmlformats.org/officeDocument/2006/relationships/hyperlink" Target="https://www.laworks.net/Downloads/Posters/Unemployment_Ins_ltr_bw.pdf" TargetMode="External"/><Relationship Id="rId84" Type="http://schemas.openxmlformats.org/officeDocument/2006/relationships/hyperlink" Target="https://labor.mo.gov/dls/minimum-wage" TargetMode="External"/><Relationship Id="rId138" Type="http://schemas.openxmlformats.org/officeDocument/2006/relationships/hyperlink" Target="https://labor.illinois.gov/content/dam/soi/en/web/idol/employers/posters/your-rights/2025/25_YourRights_English_NewLogo.pdf" TargetMode="External"/><Relationship Id="rId345" Type="http://schemas.openxmlformats.org/officeDocument/2006/relationships/hyperlink" Target="https://www.cms.gov/Medicare/Prescription-Drug-Coverage/CreditableCoverage/Model-Notice-Letters.html" TargetMode="External"/><Relationship Id="rId387" Type="http://schemas.openxmlformats.org/officeDocument/2006/relationships/hyperlink" Target="https://public-inspection.federalregister.gov/2023-23573.pdf" TargetMode="External"/><Relationship Id="rId510" Type="http://schemas.openxmlformats.org/officeDocument/2006/relationships/hyperlink" Target="https://www.dir.ca.gov/oprl/ComputerSoftware.htm" TargetMode="External"/><Relationship Id="rId552" Type="http://schemas.openxmlformats.org/officeDocument/2006/relationships/hyperlink" Target="https://calcivilrights.ca.gov/fair-chance-act/" TargetMode="External"/><Relationship Id="rId594"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608" Type="http://schemas.openxmlformats.org/officeDocument/2006/relationships/hyperlink" Target="https://u4664138.ct.sendgrid.net/ls/click?upn=u001.-2BvR921dwSdNdTO8WsXTOoDn3PRY0CTgX9jT-2FSIVwJxYwRWfgdkmfAPrUqJNfKhlYuEubAv3rw0HqBfr6u-2FTIHvwTCHnkUE9uJiUw-2BaOFPgI-3DZU-h_pZjfBIpLjMFCpu6xHFn7DWABExhsgTHcqiJ060gTkgzEATmBUNXNmW3P5SmbWvnmN-2BloQV2ABiJ6BlWP2zolcnhBdH6CRUEwe-2B2CS3LX1NsLBjqXP5LJz9WRYcyfmTr93-2B-2FyJww5dgcWoZcCS-2BoXsfV2gAmedpXH2o3k3Os8WFD7VKLyilAQPosHBBOUI-2BYJBqAUf9iXsFMtKWpievbWpG9jImqC7oYFqWQ7GUqzhbEL8k0BG-2FpHxNnlru3g9N4Rl4ePLm-2FmMXQ3akf-2FKRtJIg-3D-3D" TargetMode="External"/><Relationship Id="rId815" Type="http://schemas.openxmlformats.org/officeDocument/2006/relationships/hyperlink" Target="https://sos.nebraska.gov/sites/default/files/doc/elections/2024/2024%20Ballot%20Measures%20Pamphlet.pdf" TargetMode="External"/><Relationship Id="rId997" Type="http://schemas.openxmlformats.org/officeDocument/2006/relationships/hyperlink" Target="https://lawfilesext.leg.wa.gov/biennium/2025-26/Pdf/Amendments/House/5408-S%20AMH%20FOSS%20H2247.1.pdf" TargetMode="External"/><Relationship Id="rId191" Type="http://schemas.openxmlformats.org/officeDocument/2006/relationships/hyperlink" Target="https://www.leg.state.nv.us/nrs/nrs-613.html" TargetMode="External"/><Relationship Id="rId205" Type="http://schemas.openxmlformats.org/officeDocument/2006/relationships/hyperlink" Target="https://www.dol.gov/sites/dolgov/files/WHD/opinion-letters/FLSA/FLSA2026-1.pdf" TargetMode="External"/><Relationship Id="rId247" Type="http://schemas.openxmlformats.org/officeDocument/2006/relationships/hyperlink" Target="https://www.justice.gov/ag/media/1409486/dl?inline&amp;utm_medium=email&amp;utm_source=govdelivery" TargetMode="External"/><Relationship Id="rId412" Type="http://schemas.openxmlformats.org/officeDocument/2006/relationships/hyperlink" Target="https://www.eeoc.gov/small-business-fact-sheet-harassment-workplace" TargetMode="External"/><Relationship Id="rId857" Type="http://schemas.openxmlformats.org/officeDocument/2006/relationships/hyperlink" Target="https://www.bsk.com/new-york-labor-and-employment-law-report/new-york-city-expands-scheduling-and-workplace-protections-for-service-and-delivery-workers" TargetMode="External"/><Relationship Id="rId899" Type="http://schemas.openxmlformats.org/officeDocument/2006/relationships/hyperlink" Target="https://olis.oregonlegislature.gov/liz/2025R1/Measures/Analysis/SB1108" TargetMode="External"/><Relationship Id="rId1000" Type="http://schemas.openxmlformats.org/officeDocument/2006/relationships/hyperlink" Target="https://secureaccess.wa.gov/myAccess/saw/select.do" TargetMode="External"/><Relationship Id="rId107" Type="http://schemas.openxmlformats.org/officeDocument/2006/relationships/hyperlink" Target="https://www.nyc.gov/assets/dca/downloads/pdf/about/PaidSafeSickLeave-MandatoryNotice-English.pdf" TargetMode="External"/><Relationship Id="rId289" Type="http://schemas.openxmlformats.org/officeDocument/2006/relationships/hyperlink" Target="https://www.federalregister.gov/documents/2025/01/29/2025-01953/ending-radical-and-wasteful-government-dei-programs-and-preferencing" TargetMode="External"/><Relationship Id="rId454" Type="http://schemas.openxmlformats.org/officeDocument/2006/relationships/hyperlink" Target="https://www.morganlewis.com/pubs/2024/03/nlrb-blocked-from-implementing-expansive-joint-employer-rule" TargetMode="External"/><Relationship Id="rId496"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61" Type="http://schemas.openxmlformats.org/officeDocument/2006/relationships/hyperlink" Target="https://gov.illinois.gov/news/press-release.30774.html" TargetMode="External"/><Relationship Id="rId717" Type="http://schemas.openxmlformats.org/officeDocument/2006/relationships/hyperlink" Target="https://www.montgomerycountymd.gov/humanrights/min-wage.html" TargetMode="External"/><Relationship Id="rId759" Type="http://schemas.openxmlformats.org/officeDocument/2006/relationships/hyperlink" Target="https://www.mass.gov/info-details/how-pfml-weekly-benefit-amounts-are-calculated-andor-changed" TargetMode="External"/><Relationship Id="rId924" Type="http://schemas.openxmlformats.org/officeDocument/2006/relationships/hyperlink" Target="https://www.legis.state.pa.us/cfdocs/legis/PN/Public/btCheck.cfm?txtType=PDF&amp;sessYr=2023&amp;sessInd=0&amp;billBody=S&amp;billTyp=B&amp;billNbr=1232&amp;pn=1949" TargetMode="External"/><Relationship Id="rId966" Type="http://schemas.openxmlformats.org/officeDocument/2006/relationships/hyperlink" Target="https://law.lis.virginia.gov/vacode/title65.2/" TargetMode="External"/><Relationship Id="rId11" Type="http://schemas.openxmlformats.org/officeDocument/2006/relationships/hyperlink" Target="https://www.dol.gov/agencies/ebsa/laws-and-regulations/laws/chipra" TargetMode="External"/><Relationship Id="rId53" Type="http://schemas.openxmlformats.org/officeDocument/2006/relationships/hyperlink" Target="https://mn.gov/deed/paidleave/employers/posters-notices/" TargetMode="External"/><Relationship Id="rId149" Type="http://schemas.openxmlformats.org/officeDocument/2006/relationships/hyperlink" Target="https://www.irs.gov/newsroom/application-of-the-patient-centered-outcomes-research-trust-fund-fee-to-common-types-of-health-coverage-or-arrangements" TargetMode="External"/><Relationship Id="rId314" Type="http://schemas.openxmlformats.org/officeDocument/2006/relationships/hyperlink" Target="https://www.akerman.com/en/perspectives/hrdef-best-practices-for-employers-in-managing-uscis-administrative-onsite-inspections-ice-raids-and-form-i-9-audits.html" TargetMode="External"/><Relationship Id="rId356" Type="http://schemas.openxmlformats.org/officeDocument/2006/relationships/hyperlink" Target="https://www.irs.gov/pub/irs-dft/i109495c--dft.pdf" TargetMode="External"/><Relationship Id="rId398" Type="http://schemas.openxmlformats.org/officeDocument/2006/relationships/hyperlink" Target="https://www.hhs.gov/hipaa/for-professionals/security/guidance/index.html?language=es" TargetMode="External"/><Relationship Id="rId521" Type="http://schemas.openxmlformats.org/officeDocument/2006/relationships/hyperlink" Target="https://leginfo.legislature.ca.gov/faces/billTextClient.xhtml?bill_id=202520260SB513" TargetMode="External"/><Relationship Id="rId563" Type="http://schemas.openxmlformats.org/officeDocument/2006/relationships/hyperlink" Target="https://leginfo.legislature.ca.gov/faces/billCompareClient.xhtml?bill_id=202320240SB1100&amp;showamends=false" TargetMode="External"/><Relationship Id="rId619" Type="http://schemas.openxmlformats.org/officeDocument/2006/relationships/hyperlink" Target="https://www.jacksonlewis.com/sites/default/files/2026-03/Connecticut-Bill-Notification-2026-2.pdf" TargetMode="External"/><Relationship Id="rId770" Type="http://schemas.openxmlformats.org/officeDocument/2006/relationships/hyperlink" Target="https://www.legislature.mi.gov/documents/2023-2024/publicact/pdf/2024-PA-0196.pdf" TargetMode="External"/><Relationship Id="rId95" Type="http://schemas.openxmlformats.org/officeDocument/2006/relationships/hyperlink" Target="https://www.labor.nc.gov/wage-and-hour-poster/open" TargetMode="External"/><Relationship Id="rId160" Type="http://schemas.openxmlformats.org/officeDocument/2006/relationships/hyperlink" Target="https://www.cms.gov/marketplace/about/oversight/other-insurance-protections/prescription-drug-data-collection-rxdc" TargetMode="External"/><Relationship Id="rId216"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423"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826" Type="http://schemas.openxmlformats.org/officeDocument/2006/relationships/hyperlink" Target="https://www.gencourt.state.nh.us/bill_status/billinfo.aspx?id=1410&amp;inflect=2" TargetMode="External"/><Relationship Id="rId868" Type="http://schemas.openxmlformats.org/officeDocument/2006/relationships/hyperlink" Target="https://www.nyc.gov/assets/cchr/downloads/pdf/Lactation%20Accommodation_WhatNYCEmployersNeedToKnow%20FINAL.pdf" TargetMode="External"/><Relationship Id="rId258" Type="http://schemas.openxmlformats.org/officeDocument/2006/relationships/hyperlink" Target="https://www.bradley.com/insights/publications/2025/07/employee-benefits-under-the-one-big-beautiful-bill-act-what-employers-need-to-know" TargetMode="External"/><Relationship Id="rId465" Type="http://schemas.openxmlformats.org/officeDocument/2006/relationships/hyperlink" Target="https://www.natlawreview.com/article/labor-law-recap-2022-was-year-strike" TargetMode="External"/><Relationship Id="rId630"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672" Type="http://schemas.openxmlformats.org/officeDocument/2006/relationships/hyperlink" Target="https://www.ilga.gov/legislation/publicacts/fulltext.asp?Name=103-0722" TargetMode="External"/><Relationship Id="rId728" Type="http://schemas.openxmlformats.org/officeDocument/2006/relationships/hyperlink" Target="https://dsd.maryland.gov/MDRIssues/5115/Assembled.aspx" TargetMode="External"/><Relationship Id="rId935" Type="http://schemas.openxmlformats.org/officeDocument/2006/relationships/hyperlink" Target="https://dlt.ri.gov/individuals/temporary-disability-caregiver-insurance/employers" TargetMode="External"/><Relationship Id="rId22" Type="http://schemas.openxmlformats.org/officeDocument/2006/relationships/hyperlink" Target="https://www.nyc.gov/site/dca/about/Paid-Safe-Sick-Leave-Notice-of-Employee-Rights.page" TargetMode="External"/><Relationship Id="rId64" Type="http://schemas.openxmlformats.org/officeDocument/2006/relationships/hyperlink" Target="https://labor.vermont.gov/document/child-labor-poster" TargetMode="External"/><Relationship Id="rId118" Type="http://schemas.openxmlformats.org/officeDocument/2006/relationships/hyperlink" Target="https://www.lni.wa.gov/forms-publications/f207-037-909.pdf" TargetMode="External"/><Relationship Id="rId325" Type="http://schemas.openxmlformats.org/officeDocument/2006/relationships/hyperlink" Target="https://cta-v-garland-district-court-opinion-preliminary-injunction/" TargetMode="External"/><Relationship Id="rId367" Type="http://schemas.openxmlformats.org/officeDocument/2006/relationships/hyperlink" Target="https://www.whitehouse.gov/briefing-room/presidential-actions/2023/10/30/executive-order-on-the-safe-secure-and-trustworthy-development-and-use-of-artificial-intelligence/" TargetMode="External"/><Relationship Id="rId532" Type="http://schemas.openxmlformats.org/officeDocument/2006/relationships/hyperlink" Target="https://calcivilrights.ca.gov/2025/06/30/civil-rights-council-secures-approval-for-regulations-to-protect-against-employment-discrimination-related-to-artificial-intelligence/" TargetMode="External"/><Relationship Id="rId574" Type="http://schemas.openxmlformats.org/officeDocument/2006/relationships/hyperlink" Target="https://leginfo.legislature.ca.gov/faces/billTextClient.xhtml?bill_id=202320240AB2123" TargetMode="External"/><Relationship Id="rId977" Type="http://schemas.openxmlformats.org/officeDocument/2006/relationships/hyperlink" Target="https://esd.wa.gov/about-us/blog/2026/new-law-addresses-irs-guidance-states-paid-family-medical-leave-program?utm_medium=email&amp;utm_source=govdelivery" TargetMode="External"/><Relationship Id="rId171"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227" Type="http://schemas.openxmlformats.org/officeDocument/2006/relationships/hyperlink" Target="https://www.akerman.com/en/perspectives/hrdef-what-employers-need-to-know-about-no-tax-on-tips-and-no-tax-on-overtime.html" TargetMode="External"/><Relationship Id="rId781" Type="http://schemas.openxmlformats.org/officeDocument/2006/relationships/hyperlink" Target="https://mn.gov/deed/assets/paid-leave-equivalent-plan-poster-acc_tcm1045-708093.pdf" TargetMode="External"/><Relationship Id="rId837" Type="http://schemas.openxmlformats.org/officeDocument/2006/relationships/hyperlink" Target="https://www.nysenate.gov/legislation/bills/2025/A6453/amendment/A" TargetMode="External"/><Relationship Id="rId879" Type="http://schemas.openxmlformats.org/officeDocument/2006/relationships/hyperlink" Target="https://nyassembly.gov/leg/?term=2025&amp;bn=A01678" TargetMode="External"/><Relationship Id="rId269" Type="http://schemas.openxmlformats.org/officeDocument/2006/relationships/hyperlink" Target="https://www.e-verify.gov/ead-revocation-guidance-for-e-verify-employers" TargetMode="External"/><Relationship Id="rId434" Type="http://schemas.openxmlformats.org/officeDocument/2006/relationships/hyperlink" Target="https://www.eeoc.gov/pregnancy-discrimination" TargetMode="External"/><Relationship Id="rId476" Type="http://schemas.openxmlformats.org/officeDocument/2006/relationships/hyperlink" Target="https://www.elections.alaska.gov/doc/oep/2024/Ballot%20Measure%201_Eng.pdf" TargetMode="External"/><Relationship Id="rId641" Type="http://schemas.openxmlformats.org/officeDocument/2006/relationships/hyperlink" Target="https://www.ilga.gov/Documents/Legislation/PublicActs/104/PDF/104-0161.pdf" TargetMode="External"/><Relationship Id="rId683"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739" Type="http://schemas.openxmlformats.org/officeDocument/2006/relationships/hyperlink" Target="https://www.mass.gov/info-details/pfml-workplace-poster-notices-and-rate-sheets-for-massachusetts-employers" TargetMode="External"/><Relationship Id="rId890" Type="http://schemas.openxmlformats.org/officeDocument/2006/relationships/hyperlink" Target="https://search-prod.lis.state.oh.us/api/v2/general_assembly_136/legislation/hb96/07_EN/pdf/" TargetMode="External"/><Relationship Id="rId904" Type="http://schemas.openxmlformats.org/officeDocument/2006/relationships/hyperlink" Target="https://www.oregon.gov/boli/pages/index.aspx" TargetMode="External"/><Relationship Id="rId33" Type="http://schemas.openxmlformats.org/officeDocument/2006/relationships/hyperlink" Target="https://does.dc.gov/sites/default/files/dc/sites/does/publication/attachments/2026%20Minimum%20Wage%20Poster.pdf" TargetMode="External"/><Relationship Id="rId129" Type="http://schemas.openxmlformats.org/officeDocument/2006/relationships/hyperlink" Target="https://www.mass.gov/doc/massachusetts-workplace-veteran-services/download" TargetMode="External"/><Relationship Id="rId280" Type="http://schemas.openxmlformats.org/officeDocument/2006/relationships/hyperlink" Target="https://www.federalregister.gov/documents/2013/11/13/2013-27086/final-rules-under-the-paul-wellstone-and-pete-domenici-mental-health-parity-and-addiction-equity-act" TargetMode="External"/><Relationship Id="rId336" Type="http://schemas.openxmlformats.org/officeDocument/2006/relationships/hyperlink" Target="https://www.irs.gov/affordable-care-act/employers/information-reporting-by-applicable-large-employers" TargetMode="External"/><Relationship Id="rId501" Type="http://schemas.openxmlformats.org/officeDocument/2006/relationships/hyperlink" Target="https://leginfo.legislature.ca.gov/faces/billCompareClient.xhtml?bill_id=202520260SB642&amp;showamends=false" TargetMode="External"/><Relationship Id="rId543"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946" Type="http://schemas.openxmlformats.org/officeDocument/2006/relationships/hyperlink" Target="https://le.utah.gov/~2024/bills/static/HB0245.html" TargetMode="External"/><Relationship Id="rId988" Type="http://schemas.openxmlformats.org/officeDocument/2006/relationships/hyperlink" Target="https://app.leg.wa.gov/RCW/default.aspx?cite=49.30" TargetMode="External"/><Relationship Id="rId75" Type="http://schemas.openxmlformats.org/officeDocument/2006/relationships/hyperlink" Target="https://www.pa.gov/content/dam/copapwp-pagov/en/dli/documents/individuals/labor-management-relations/llc/veteran%20benefits%20and%20services_october%202025.pdf" TargetMode="External"/><Relationship Id="rId140" Type="http://schemas.openxmlformats.org/officeDocument/2006/relationships/hyperlink" Target="https://labor.illinois.gov/content/dam/soi/en/web/idol/laws-rules/legal/documents/e-verification-facts-poster.pdf" TargetMode="External"/><Relationship Id="rId182" Type="http://schemas.openxmlformats.org/officeDocument/2006/relationships/hyperlink" Target="https://www.irs.gov/newsroom/questions-and-answers-about-the-new-deduction-for-qualified-overtime-compensation" TargetMode="External"/><Relationship Id="rId378" Type="http://schemas.openxmlformats.org/officeDocument/2006/relationships/hyperlink" Target="https://www.dol.gov/sites/dolgov/files/WHD/flsa/ot-541-final-rule.pdf" TargetMode="External"/><Relationship Id="rId403"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585" Type="http://schemas.openxmlformats.org/officeDocument/2006/relationships/hyperlink" Target="https://opportunity.lacounty.gov/wp-content/uploads/2024/03/FCO-FAQ-Final-Updated-with-Recommendations.pdf" TargetMode="External"/><Relationship Id="rId750"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792" Type="http://schemas.openxmlformats.org/officeDocument/2006/relationships/hyperlink" Target="https://mn.gov/deed/paidleave/about/events/" TargetMode="External"/><Relationship Id="rId806" Type="http://schemas.openxmlformats.org/officeDocument/2006/relationships/hyperlink" Target="https://www.sos.mo.gov/cmsimages/Elections/Petitions/2024-038.pdf" TargetMode="External"/><Relationship Id="rId848" Type="http://schemas.openxmlformats.org/officeDocument/2006/relationships/hyperlink" Target="https://www.nysenate.gov/legislation/laws/PBH/3309" TargetMode="External"/><Relationship Id="rId6" Type="http://schemas.openxmlformats.org/officeDocument/2006/relationships/footnotes" Target="footnotes.xml"/><Relationship Id="rId238"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445" Type="http://schemas.openxmlformats.org/officeDocument/2006/relationships/hyperlink" Target="https://www.revisor.mn.gov/statutes/cite/181.172" TargetMode="External"/><Relationship Id="rId487" Type="http://schemas.openxmlformats.org/officeDocument/2006/relationships/hyperlink" Target="https://calcivilrights.ca.gov/paydatareporting/preliminarytemplates/" TargetMode="External"/><Relationship Id="rId610" Type="http://schemas.openxmlformats.org/officeDocument/2006/relationships/hyperlink" Target="https://leg.colorado.gov/sites/default/files/2025a_1001_signed.pdf" TargetMode="External"/><Relationship Id="rId652" Type="http://schemas.openxmlformats.org/officeDocument/2006/relationships/hyperlink" Target="https://www.ilga.gov/documents/legislation/103/HB/10300HB5258.htm" TargetMode="External"/><Relationship Id="rId694" Type="http://schemas.openxmlformats.org/officeDocument/2006/relationships/hyperlink" Target="https://iga.in.gov/pdf-documents/124/2025/senate/bills/SB0409/SB0409.06.ENRH.pdf" TargetMode="External"/><Relationship Id="rId708" Type="http://schemas.openxmlformats.org/officeDocument/2006/relationships/hyperlink" Target="https://paidleave.maryland.gov/files/famli-faqs-april-2026.pdf" TargetMode="External"/><Relationship Id="rId915" Type="http://schemas.openxmlformats.org/officeDocument/2006/relationships/hyperlink" Target="https://olis.oregonlegislature.gov/liz/2024R1/Measures/Overview/SB1515" TargetMode="External"/><Relationship Id="rId291" Type="http://schemas.openxmlformats.org/officeDocument/2006/relationships/hyperlink" Target="https://www.eeoc.gov/what-do-if-you-experience-discrimination-related-dei-work" TargetMode="External"/><Relationship Id="rId305" Type="http://schemas.openxmlformats.org/officeDocument/2006/relationships/hyperlink" Target="https://www.dol.gov/agencies/ebsa/about-ebsa/our-activities/resource-center/fact-sheets/ebsa-monetary-results-archive" TargetMode="External"/><Relationship Id="rId347" Type="http://schemas.openxmlformats.org/officeDocument/2006/relationships/hyperlink" Target="https://www.sos.ca.gov/elections/time-vote-notices" TargetMode="External"/><Relationship Id="rId51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957" Type="http://schemas.openxmlformats.org/officeDocument/2006/relationships/hyperlink" Target="https://lis.blob.core.windows.net/files/1209932.PDF" TargetMode="External"/><Relationship Id="rId999" Type="http://schemas.openxmlformats.org/officeDocument/2006/relationships/hyperlink" Target="https://esd.wa.gov/about-us/press-release/2024/paid-family-medical-leave-premiums-increase-2025" TargetMode="External"/><Relationship Id="rId44" Type="http://schemas.openxmlformats.org/officeDocument/2006/relationships/hyperlink" Target="https://www.ny.gov/new-york-states-minimum-wage/new-york-states-minimum-wage" TargetMode="External"/><Relationship Id="rId86" Type="http://schemas.openxmlformats.org/officeDocument/2006/relationships/hyperlink" Target="https://oklahoma.gov/content/dam/ok/en/oesc/documents/forms/OES-044.pdf" TargetMode="External"/><Relationship Id="rId151" Type="http://schemas.openxmlformats.org/officeDocument/2006/relationships/hyperlink" Target="https://www.federalregister.gov/documents/2026/04/13/2026-07104/occupations-that-customarily-and-regularly-received-tips-definition-of-qualified-tips" TargetMode="External"/><Relationship Id="rId389" Type="http://schemas.openxmlformats.org/officeDocument/2006/relationships/hyperlink" Target="https://sidebar.btlaw.com/post/102jc61/flsas-white-collar-exemption-texas-judge-suspends-dols-ability-to-enforce-new" TargetMode="External"/><Relationship Id="rId554" Type="http://schemas.openxmlformats.org/officeDocument/2006/relationships/hyperlink" Target="https://bosagenda.sandiegocounty.gov/cobservice/cosd/cob/content?id=0901127e8110d91d" TargetMode="External"/><Relationship Id="rId596" Type="http://schemas.openxmlformats.org/officeDocument/2006/relationships/hyperlink" Target="https://www.californiaworkplacelawblog.com/2024/03/articles/hiring-and-background-checks/los-angeles-county-passes-fair-chance-ordinance-that-applies-to-unincorporated-areas-of-the-county/" TargetMode="External"/><Relationship Id="rId761" Type="http://schemas.openxmlformats.org/officeDocument/2006/relationships/hyperlink" Target="https://malegislature.gov/Bills/193/H4890.pdf" TargetMode="External"/><Relationship Id="rId817" Type="http://schemas.openxmlformats.org/officeDocument/2006/relationships/hyperlink" Target="https://www.leg.state.nv.us/App/NELIS/REL/83rd2025/Bill/12217/Overview" TargetMode="External"/><Relationship Id="rId859"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1002" Type="http://schemas.openxmlformats.org/officeDocument/2006/relationships/hyperlink" Target="https://lawfilesext.leg.wa.gov/biennium/2023-24/htm/Bills/Senate%20Passed%20Legislature/5778-S.PL.htm?q=20240401090014" TargetMode="External"/><Relationship Id="rId193" Type="http://schemas.openxmlformats.org/officeDocument/2006/relationships/hyperlink" Target="https://webserver.rilegislature.gov/Statutes/TITLE28/28-59/28-59-2.htm" TargetMode="External"/><Relationship Id="rId207" Type="http://schemas.openxmlformats.org/officeDocument/2006/relationships/hyperlink" Target="https://www.dol.gov/newsroom/releases/ebsa/ebsa20260115" TargetMode="External"/><Relationship Id="rId249" Type="http://schemas.openxmlformats.org/officeDocument/2006/relationships/hyperlink" Target="https://www.mayerbrown.com/en/insights/publications/2025/05/deputy-ag-blanche-establishes-doj-civil-rights-fraud-initiative-to-target-dei-and-deia-using-the-false-claims-act" TargetMode="External"/><Relationship Id="rId414" Type="http://schemas.openxmlformats.org/officeDocument/2006/relationships/hyperlink" Target="https://www.workplaceprivacyreport.com/2022/10/articles/artificial-intelligence/white-house-weighs-in-on-the-use-of-ai-by-businesses/" TargetMode="External"/><Relationship Id="rId456" Type="http://schemas.openxmlformats.org/officeDocument/2006/relationships/hyperlink" Target="https://www.morganlewis.com/pubs/2024/03/nlrb-blocked-from-implementing-expansive-joint-employer-rule" TargetMode="External"/><Relationship Id="rId498" Type="http://schemas.openxmlformats.org/officeDocument/2006/relationships/hyperlink" Target="https://laborcenter.berkeley.edu/inventory-of-us-city-and-county-minimum-wage-ordinances/" TargetMode="External"/><Relationship Id="rId621" Type="http://schemas.openxmlformats.org/officeDocument/2006/relationships/hyperlink" Target="https://portal.ct.gov/dol/knowledge-base/articles/wage-and-workplace-standards/paid-sick-leave?language=en_US" TargetMode="External"/><Relationship Id="rId663" Type="http://schemas.openxmlformats.org/officeDocument/2006/relationships/hyperlink" Target="https://labor.illinois.gov/faqs/equal-pay-act-salary-transparency-faq.html" TargetMode="External"/><Relationship Id="rId870" Type="http://schemas.openxmlformats.org/officeDocument/2006/relationships/hyperlink" Target="https://www.nyc.gov/assets/cchr/downloads/pdf/publications/Pregnancy_Poster_2017.pdf" TargetMode="External"/><Relationship Id="rId13" Type="http://schemas.openxmlformats.org/officeDocument/2006/relationships/hyperlink" Target="https://www.dol.gov/agencies/ebsa/laws-and-regulations/laws/chipra" TargetMode="External"/><Relationship Id="rId109" Type="http://schemas.openxmlformats.org/officeDocument/2006/relationships/hyperlink" Target="https://www.oregon.gov/boli/employers/Documents/BOLI_Printable_Break_Pay.pdf" TargetMode="External"/><Relationship Id="rId260" Type="http://schemas.openxmlformats.org/officeDocument/2006/relationships/hyperlink" Target="https://www.congress.gov/bill/119th-congress/house-bill/1/text" TargetMode="External"/><Relationship Id="rId316"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523"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19" Type="http://schemas.openxmlformats.org/officeDocument/2006/relationships/hyperlink" Target="https://mgaleg.maryland.gov/mgawebsite/Laws/StatuteText?article=gle&amp;section=3-1201&amp;enactments=False&amp;archived=False" TargetMode="External"/><Relationship Id="rId926" Type="http://schemas.openxmlformats.org/officeDocument/2006/relationships/hyperlink" Target="https://www.legis.state.pa.us/WU01/LI/LI/US/HTM/2005/0/0094..HTM" TargetMode="External"/><Relationship Id="rId968" Type="http://schemas.openxmlformats.org/officeDocument/2006/relationships/hyperlink" Target="https://workcomp.virginia.gov/content/contact-commission" TargetMode="External"/><Relationship Id="rId55" Type="http://schemas.openxmlformats.org/officeDocument/2006/relationships/hyperlink" Target="https://labor.mo.gov/dls/minimum-wage" TargetMode="External"/><Relationship Id="rId97" Type="http://schemas.openxmlformats.org/officeDocument/2006/relationships/hyperlink" Target="https://labor.nv.gov/uploadedFiles/labornvgov/content/Employer/25.06.23%20-%202025%20Minimum%20Wage%20Bulletin(1).pdf" TargetMode="External"/><Relationship Id="rId120" Type="http://schemas.openxmlformats.org/officeDocument/2006/relationships/hyperlink" Target="https://www.maine.gov/labor/docs/2025/posters/SexualHarrassmentEducationandTraining.pdf" TargetMode="External"/><Relationship Id="rId358" Type="http://schemas.openxmlformats.org/officeDocument/2006/relationships/hyperlink" Target="https://www.irs.gov/affordable-care-act/questions-and-answers-on-information-reporting-by-health-coverage-providers-section-6055" TargetMode="External"/><Relationship Id="rId565" Type="http://schemas.openxmlformats.org/officeDocument/2006/relationships/hyperlink" Target="https://leginfo.legislature.ca.gov/faces/billCompareClient.xhtml?bill_id=202320240SB988&amp;showamends=false" TargetMode="External"/><Relationship Id="rId730"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772"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828" Type="http://schemas.openxmlformats.org/officeDocument/2006/relationships/hyperlink" Target="https://pub.njleg.state.nj.us/Bills/2024/A3500/3451_R2.PDF" TargetMode="External"/><Relationship Id="rId162" Type="http://schemas.openxmlformats.org/officeDocument/2006/relationships/hyperlink" Target="https://www.federalregister.gov/public-inspection/2024-08503/health-insurance-portability-and-accountability-act-privacy-rule-to-support-reproductive-health-care" TargetMode="External"/><Relationship Id="rId218" Type="http://schemas.openxmlformats.org/officeDocument/2006/relationships/hyperlink" Target="https://u4664138.ct.sendgrid.net/ls/click?upn=u001.-2BvR921dwSdNdTO8WsXTOoGoPesf8C4c9TsHRg0QxT16BAb-2F4M1X7-2F-2FGCz-2FmDdxmJVtEC_pZjfBIpLjMFCpu6xHFn7DWABExhsgTHcqiJ060gTkgzEATmBUNXNmW3P5SmbWvnmbIYQfDkrS-2FJBocqEoJt5MEoWZxGI0LRXVt0xU-2BuFEWxZLF5qcKG1RI-2FVHVa2E81-2FboP7FveSnWNQwgZoKKffKZMXR2uwid5W50bDShDX40DJIcOAeRxWe0IChTXfZc5-2Fy8Lxo5hHhoG6Z1Y08VJjGCA2P-2BVRmJcth6XXwYqsPhjn-2BQZKEWMY4eSGNhDY-2B7zRDB-2Bvcnm-2FfujPWk7T9KJ75w-3D-3D" TargetMode="External"/><Relationship Id="rId425"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467" Type="http://schemas.openxmlformats.org/officeDocument/2006/relationships/hyperlink" Target="https://www.gallup.com/workplace/391922/employee-engagement-slump-continues.aspx" TargetMode="External"/><Relationship Id="rId632"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271" Type="http://schemas.openxmlformats.org/officeDocument/2006/relationships/hyperlink" Target="http://www.eeocdata.org/eeo1" TargetMode="External"/><Relationship Id="rId674" Type="http://schemas.openxmlformats.org/officeDocument/2006/relationships/hyperlink" Target="https://labor.illinois.gov/laws-rules/fls/child-labor-law.html" TargetMode="External"/><Relationship Id="rId881" Type="http://schemas.openxmlformats.org/officeDocument/2006/relationships/hyperlink" Target="https://www.ny.gov/new-york-state-paid-prenatal-leave/frequently-asked-questions" TargetMode="External"/><Relationship Id="rId937" Type="http://schemas.openxmlformats.org/officeDocument/2006/relationships/hyperlink" Target="https://www.dol.gov/agencies/whd/fmla" TargetMode="External"/><Relationship Id="rId979" Type="http://schemas.openxmlformats.org/officeDocument/2006/relationships/hyperlink" Target="https://paidleave.wa.gov/app/uploads/2026/01/Job-Protection-Employer-Notice_Job-Protection-Rights-2026.01.14.pdf" TargetMode="External"/><Relationship Id="rId24" Type="http://schemas.openxmlformats.org/officeDocument/2006/relationships/hyperlink" Target="https://www.dli.mn.gov/sites/default/files/pdf/workerscomp_poster.pdf" TargetMode="External"/><Relationship Id="rId66" Type="http://schemas.openxmlformats.org/officeDocument/2006/relationships/hyperlink" Target="https://labor.vermont.gov/document/crime-victims-rights-poster" TargetMode="External"/><Relationship Id="rId131"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327" Type="http://schemas.openxmlformats.org/officeDocument/2006/relationships/hyperlink" Target="https://www.dol.gov/sites/dolgov/files/EBSA/about-ebsa/our-activities/resource-center/faqs/aca-part-57.pdf" TargetMode="External"/><Relationship Id="rId369" Type="http://schemas.openxmlformats.org/officeDocument/2006/relationships/hyperlink" Target="https://www.hhs.gov/sites/default/files/model-attestation.pdf" TargetMode="External"/><Relationship Id="rId534" Type="http://schemas.openxmlformats.org/officeDocument/2006/relationships/hyperlink" Target="https://dof.ca.gov/wp-content/uploads/sites/352/2025/08/Minimum-Wage-Increase-Notification-Governor-and-Legislative-Letter.pdf" TargetMode="External"/><Relationship Id="rId576" Type="http://schemas.openxmlformats.org/officeDocument/2006/relationships/hyperlink" Target="https://legiscan.com/CA/text/SB1090/2023" TargetMode="External"/><Relationship Id="rId741" Type="http://schemas.openxmlformats.org/officeDocument/2006/relationships/hyperlink" Target="https://www.mass.gov/info-details/pfml-workplace-poster-notices-and-rate-sheets-for-massachusetts-employers" TargetMode="External"/><Relationship Id="rId783"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839" Type="http://schemas.openxmlformats.org/officeDocument/2006/relationships/hyperlink" Target="https://www.nyc.gov/site/dca/about/paid-sick-leave-FAQs.page" TargetMode="External"/><Relationship Id="rId990" Type="http://schemas.openxmlformats.org/officeDocument/2006/relationships/hyperlink" Target="https://lawfilesext.leg.wa.gov/biennium/2025-26/htm/Bills/Senate%20Bills/5101-S.htm?q=20250423101052" TargetMode="External"/><Relationship Id="rId173" Type="http://schemas.openxmlformats.org/officeDocument/2006/relationships/hyperlink" Target="https://www.federalregister.gov/public-inspection/2026-03955/2023-standard-for-determining-joint-employer-status" TargetMode="External"/><Relationship Id="rId229" Type="http://schemas.openxmlformats.org/officeDocument/2006/relationships/hyperlink" Target="https://www.irs.gov/newsroom/treasury-irs-provide-penalty-relief-for-tax-year-2025-for-information-reporting-on-tips-and-overtime-under-the-one-big-beautiful-bill" TargetMode="External"/><Relationship Id="rId380" Type="http://schemas.openxmlformats.org/officeDocument/2006/relationships/hyperlink" Target="https://www.uscis.gov/i-9" TargetMode="External"/><Relationship Id="rId436" Type="http://schemas.openxmlformats.org/officeDocument/2006/relationships/hyperlink" Target="https://vimeo.com/927144428" TargetMode="External"/><Relationship Id="rId601" Type="http://schemas.openxmlformats.org/officeDocument/2006/relationships/hyperlink" Target="https://www.dir.ca.gov/dlse/LC_2810.5_Notice.pdf" TargetMode="External"/><Relationship Id="rId643" Type="http://schemas.openxmlformats.org/officeDocument/2006/relationships/hyperlink" Target="https://aboutbtax.com/bjkw" TargetMode="External"/><Relationship Id="rId240" Type="http://schemas.openxmlformats.org/officeDocument/2006/relationships/hyperlink" Target="https://www.cms.gov/medicare/employers-plan-sponsors/creditable-coverage" TargetMode="External"/><Relationship Id="rId478"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85" Type="http://schemas.openxmlformats.org/officeDocument/2006/relationships/hyperlink" Target="mailto:DOL.EPRC@illinois.gov" TargetMode="External"/><Relationship Id="rId850" Type="http://schemas.openxmlformats.org/officeDocument/2006/relationships/hyperlink" Target="https://legislation.nysenate.gov/pdf/bills/2025/A584C" TargetMode="External"/><Relationship Id="rId892" Type="http://schemas.openxmlformats.org/officeDocument/2006/relationships/hyperlink" Target="https://legiscan.com/OH/text/HB106/id/2832964" TargetMode="External"/><Relationship Id="rId906" Type="http://schemas.openxmlformats.org/officeDocument/2006/relationships/hyperlink" Target="https://olis.oregonlegislature.gov/liz/2025R1/Measures/Analysis/SB1108" TargetMode="External"/><Relationship Id="rId948" Type="http://schemas.openxmlformats.org/officeDocument/2006/relationships/hyperlink" Target="https://legislature.vermont.gov/Documents/2026/Docs/ACTS/ACT032/ACT032%20As%20Enacted.pdf" TargetMode="External"/><Relationship Id="rId35" Type="http://schemas.openxmlformats.org/officeDocument/2006/relationships/hyperlink" Target="https://www.dir.ca.gov/wpnodb.html" TargetMode="External"/><Relationship Id="rId77" Type="http://schemas.openxmlformats.org/officeDocument/2006/relationships/hyperlink" Target="https://labor.delaware.gov/delaware-paid-leave/employers/" TargetMode="External"/><Relationship Id="rId100" Type="http://schemas.openxmlformats.org/officeDocument/2006/relationships/hyperlink" Target="http://www.richr.ri.gov/documents/pregnancy.pdf" TargetMode="External"/><Relationship Id="rId282" Type="http://schemas.openxmlformats.org/officeDocument/2006/relationships/hyperlink" Target="https://www.constangy.com/employment-labor-insider/eeoc-guidance-on-workplace-harassment-what-employers-need-to-know" TargetMode="External"/><Relationship Id="rId338" Type="http://schemas.openxmlformats.org/officeDocument/2006/relationships/hyperlink" Target="https://www.irs.gov/affordable-care-act/employers/questions-and-answers-on-reporting-of-offers-of-health-insurance-coverage-by-employers-section-6056" TargetMode="External"/><Relationship Id="rId503" Type="http://schemas.openxmlformats.org/officeDocument/2006/relationships/hyperlink" Target="https://leginfo.legislature.ca.gov/faces/billCompareClient.xhtml?bill_id=202520260SB617&amp;showamends=false" TargetMode="External"/><Relationship Id="rId545"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587" Type="http://schemas.openxmlformats.org/officeDocument/2006/relationships/hyperlink" Target="https://www.sf.gov/information/health-care-security-ordinance" TargetMode="External"/><Relationship Id="rId710" Type="http://schemas.openxmlformats.org/officeDocument/2006/relationships/hyperlink" Target="https://paidleave.maryland.gov/" TargetMode="External"/><Relationship Id="rId752" Type="http://schemas.openxmlformats.org/officeDocument/2006/relationships/hyperlink" Target="https://www.mass.gov/info-details/pfml-workplace-poster-notices-and-rate-sheets-for-massachusetts-employers" TargetMode="External"/><Relationship Id="rId808" Type="http://schemas.openxmlformats.org/officeDocument/2006/relationships/hyperlink" Target="https://labor.mo.gov/dls/proposition-a-paid-sick-time-benefits-faqs" TargetMode="External"/><Relationship Id="rId8" Type="http://schemas.openxmlformats.org/officeDocument/2006/relationships/image" Target="media/image1.png"/><Relationship Id="rId142"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84" Type="http://schemas.openxmlformats.org/officeDocument/2006/relationships/hyperlink" Target="https://does.dc.gov/sites/default/files/dc/sites/does/publication/attachments/2026%20Ban%20on%20Non-Compete%20Clauses.pdf" TargetMode="External"/><Relationship Id="rId391" Type="http://schemas.openxmlformats.org/officeDocument/2006/relationships/hyperlink" Target="https://www.eeocdata.org/pdfs/2023_EEO_1_Component_1_Instruction_Booklet.pdf" TargetMode="External"/><Relationship Id="rId405" Type="http://schemas.openxmlformats.org/officeDocument/2006/relationships/hyperlink" Target="https://www.fincen.gov/boi" TargetMode="External"/><Relationship Id="rId447" Type="http://schemas.openxmlformats.org/officeDocument/2006/relationships/hyperlink" Target="https://www.morganlewis.com/pubs/2023/11/nlrb-issues-new-joint-employer-rule-affirming-expansive-joint-employer-status" TargetMode="External"/><Relationship Id="rId612" Type="http://schemas.openxmlformats.org/officeDocument/2006/relationships/hyperlink" Target="https://leg.colorado.gov/sites/default/files/2025a_1001_signed.pdf" TargetMode="External"/><Relationship Id="rId794" Type="http://schemas.openxmlformats.org/officeDocument/2006/relationships/hyperlink" Target="https://mn.gov/deed/paidleave/employers/premiums/" TargetMode="External"/><Relationship Id="rId251" Type="http://schemas.openxmlformats.org/officeDocument/2006/relationships/hyperlink" Target="https://www.mayerbrown.com/en/insights/publications/2025/08/doj-defines-illegal-dei-warns-recipients-of-federal-funds-to-take-notice" TargetMode="External"/><Relationship Id="rId489"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54"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696" Type="http://schemas.openxmlformats.org/officeDocument/2006/relationships/hyperlink" Target="https://aboutbtax.com/blrE" TargetMode="External"/><Relationship Id="rId861" Type="http://schemas.openxmlformats.org/officeDocument/2006/relationships/hyperlink" Target="https://rules.cityofnewyork.us/wp-content/uploads/2025/06/DCWP-NOA-Paid-Prenatal-Personal-Leave-Final.pdf" TargetMode="External"/><Relationship Id="rId917" Type="http://schemas.openxmlformats.org/officeDocument/2006/relationships/hyperlink" Target="https://www.palegis.us/legislation/bills/text/PDF/2025/0/HB0439/PN0996" TargetMode="External"/><Relationship Id="rId959" Type="http://schemas.openxmlformats.org/officeDocument/2006/relationships/hyperlink" Target="https://lis.virginia.gov/bill-details/20261/HB1489" TargetMode="External"/><Relationship Id="rId46" Type="http://schemas.openxmlformats.org/officeDocument/2006/relationships/hyperlink" Target="https://doli.virginia.gov/wp-content/uploads/2025/10/2026-Virginia-Minimum-Wage-Poster.pdf" TargetMode="External"/><Relationship Id="rId293" Type="http://schemas.openxmlformats.org/officeDocument/2006/relationships/hyperlink" Target="https://www.eeoc.gov/wysk/what-you-should-know-about-dei-related-discrimination-work" TargetMode="External"/><Relationship Id="rId307" Type="http://schemas.openxmlformats.org/officeDocument/2006/relationships/hyperlink" Target="https://www.cms.gov/Medicare/Prescription-Drug-Coverage/CreditableCoverage/CCDisclosure.html" TargetMode="External"/><Relationship Id="rId349" Type="http://schemas.openxmlformats.org/officeDocument/2006/relationships/hyperlink" Target="https://dcboe.org/" TargetMode="External"/><Relationship Id="rId514" Type="http://schemas.openxmlformats.org/officeDocument/2006/relationships/hyperlink" Target="https://laborcenter.berkeley.edu/inventory-of-us-city-and-county-minimum-wage-ordinances/" TargetMode="External"/><Relationship Id="rId556" Type="http://schemas.openxmlformats.org/officeDocument/2006/relationships/hyperlink" Target="https://www.dir.ca.gov/iwc/MW-2024-HC-SUPPLEMENT.pdf" TargetMode="External"/><Relationship Id="rId721" Type="http://schemas.openxmlformats.org/officeDocument/2006/relationships/hyperlink" Target="https://mgaleg.maryland.gov/2024RS/Chapters_noln/CH_306_hb0385t.pdf" TargetMode="External"/><Relationship Id="rId763" Type="http://schemas.openxmlformats.org/officeDocument/2006/relationships/hyperlink" Target="https://www.michigan.gov/leo/bureaus-agencies/ber/wage-and-hour/paid-medical-leave-act/frequently-asked-questions--faqs" TargetMode="External"/><Relationship Id="rId88" Type="http://schemas.openxmlformats.org/officeDocument/2006/relationships/hyperlink" Target="https://laborcommission.utah.gov/wp-content/uploads/UOSH-Workplace-Safety-Poster-English.pdf" TargetMode="External"/><Relationship Id="rId111" Type="http://schemas.openxmlformats.org/officeDocument/2006/relationships/hyperlink" Target="https://www.oregon.gov/boli/employers/Documents/BOLI_Printable_FamilyMedLv.pdf" TargetMode="External"/><Relationship Id="rId153" Type="http://schemas.openxmlformats.org/officeDocument/2006/relationships/hyperlink" Target="https://www.osha.gov/sites/default/files/enforcement/directives/CPL_03-00-024_0.pdf" TargetMode="External"/><Relationship Id="rId195" Type="http://schemas.openxmlformats.org/officeDocument/2006/relationships/hyperlink" Target="https://www.lni.wa.gov/workers-rights/workplace-policies/non-compete-agreements" TargetMode="External"/><Relationship Id="rId209" Type="http://schemas.openxmlformats.org/officeDocument/2006/relationships/hyperlink" Target="https://www.osha.gov/news/newsreleases/osha-national-news-release/20251210" TargetMode="External"/><Relationship Id="rId360" Type="http://schemas.openxmlformats.org/officeDocument/2006/relationships/hyperlink" Target="https://www.irs.gov/affordable-care-act/employers/questions-and-answers-about-information-reporting-by-employers-on-form-1094-c-and-form-1095-c" TargetMode="External"/><Relationship Id="rId416" Type="http://schemas.openxmlformats.org/officeDocument/2006/relationships/hyperlink" Target="https://www.irs.gov/pub/irs-drop/rp-24-25.pdf" TargetMode="External"/><Relationship Id="rId598" Type="http://schemas.openxmlformats.org/officeDocument/2006/relationships/hyperlink" Target="https://www.mwe.com/pdf/california-imposes-new-workplace-violence-prevention-mandate/" TargetMode="External"/><Relationship Id="rId819" Type="http://schemas.openxmlformats.org/officeDocument/2006/relationships/hyperlink" Target="https://www.leg.state.nv.us/Register/2024Register/R131-24AP.pdf" TargetMode="External"/><Relationship Id="rId970" Type="http://schemas.openxmlformats.org/officeDocument/2006/relationships/hyperlink" Target="https://retirepathva.vestwell.com/register/employer/access-code-request" TargetMode="External"/><Relationship Id="rId1004" Type="http://schemas.openxmlformats.org/officeDocument/2006/relationships/hyperlink" Target="https://lawfilesext.leg.wa.gov/biennium/2023-24/Pdf/Bills/Senate%20Passed%20Legislature/5793-S.PL.pdf?q=20240401083028" TargetMode="External"/><Relationship Id="rId220" Type="http://schemas.openxmlformats.org/officeDocument/2006/relationships/hyperlink" Target="http://infinisource.net/Newsroom/post/2011/05/24/IRS-Provides-Guidance-for-HSAs-in-2012.aspx" TargetMode="External"/><Relationship Id="rId458" Type="http://schemas.openxmlformats.org/officeDocument/2006/relationships/hyperlink" Target="https://www.federalregister.gov/documents/2021/01/07/2020-29274/independent-contractor-status-under-the-fair-labor-standards-act" TargetMode="External"/><Relationship Id="rId623" Type="http://schemas.openxmlformats.org/officeDocument/2006/relationships/hyperlink" Target="https://u4664138.ct.sendgrid.net/ls/click?upn=u001.-2BvR921dwSdNdTO8WsXTOoMDcgD3lmppw4SQK-2Fh-2BpCjxZSgOsnlkyYHgKbhgW-2FWG0Geru6Wc7PXINRaCjQEk-2FEg-3D-3DpgQQ_pZjfBIpLjMFCpu6xHFn7DWABExhsgTHcqiJ060gTkgzEATmBUNXNmW3P5SmbWvnmq2rtnd6DFFkxriptAbrbluypSXj3qbAsF-2FlHBKYv18mpuJoFCP8x8nMCf2URh7syMNt0FCX-2F9uR8lmpQ6dxOaUK2OsFOkFNE0xJsvhvv-2BGfuy7hacVt61moMGrcH8Nz0omMXtXQHKR5l2p2A3VFKSCo5-2BqfSn8gIvrIeY5DDA6de0nAcnpS2nXbkAuuRtSa-2BDGbI13wCtbpAoL4DgO6t8w-3D-3D" TargetMode="External"/><Relationship Id="rId665" Type="http://schemas.openxmlformats.org/officeDocument/2006/relationships/hyperlink" Target="https://labor.illinois.gov/faqs/right-to-privacy-in-the-workplace-e-verify.html" TargetMode="External"/><Relationship Id="rId830" Type="http://schemas.openxmlformats.org/officeDocument/2006/relationships/hyperlink" Target="https://www.nj.gov/oag/newsreleases25/2025-0108_DCR-Guidance-on-Algorithmic-Discrimination.pdf" TargetMode="External"/><Relationship Id="rId872" Type="http://schemas.openxmlformats.org/officeDocument/2006/relationships/hyperlink" Target="https://www.nyc.gov/assets/cchr/downloads/pdf/publications/Pregnancy_InterpretiveGuide_2016.pdf" TargetMode="External"/><Relationship Id="rId928" Type="http://schemas.openxmlformats.org/officeDocument/2006/relationships/hyperlink" Target="https://legiscan.com/RI/text/H5679/2025" TargetMode="External"/><Relationship Id="rId15" Type="http://schemas.openxmlformats.org/officeDocument/2006/relationships/hyperlink" Target="https://www.uscis.gov/sites/default/files/document/forms/i-9instr.pdf" TargetMode="External"/><Relationship Id="rId57" Type="http://schemas.openxmlformats.org/officeDocument/2006/relationships/hyperlink" Target="https://dam.assets.ohio.gov/image/upload/com.ohio.gov/DICO/WageAndHour/2026_Minumum_Wage_Poster.pdf" TargetMode="External"/><Relationship Id="rId262" Type="http://schemas.openxmlformats.org/officeDocument/2006/relationships/hyperlink" Target="https://www.nbclosangeles.com/news/california-news/camarillo-farm-raids-arrests-immigration/3743241/" TargetMode="External"/><Relationship Id="rId318" Type="http://schemas.openxmlformats.org/officeDocument/2006/relationships/hyperlink" Target="https://s3.documentcloud.org/documents/25071841/us_app_ca5_23_50562_d434422819e2850_published_opinion_filed_23_50562_reversed_judge_jw.pdf" TargetMode="External"/><Relationship Id="rId525" Type="http://schemas.openxmlformats.org/officeDocument/2006/relationships/hyperlink" Target="https://www.dir.ca.gov/oprl/ComputerSoftware.htm" TargetMode="External"/><Relationship Id="rId567" Type="http://schemas.openxmlformats.org/officeDocument/2006/relationships/hyperlink" Target="https://leginfo.legislature.ca.gov/faces/billCompareClient.xhtml?bill_id=202320240AB2499&amp;showamends=false" TargetMode="External"/><Relationship Id="rId732" Type="http://schemas.openxmlformats.org/officeDocument/2006/relationships/hyperlink" Target="https://paidleave.maryland.gov/employers/Pages/home.aspx" TargetMode="External"/><Relationship Id="rId99" Type="http://schemas.openxmlformats.org/officeDocument/2006/relationships/hyperlink" Target="https://labor.nv.gov/uploadedFiles/labornvgov/content/Employer/Rules%20to%20be%20Observed%20by%20Employers%2005.08.2025.pdf" TargetMode="External"/><Relationship Id="rId122" Type="http://schemas.openxmlformats.org/officeDocument/2006/relationships/hyperlink" Target="https://labor.mo.gov/media/pdf/earned-paid-sick-time-ls-121" TargetMode="External"/><Relationship Id="rId164" Type="http://schemas.openxmlformats.org/officeDocument/2006/relationships/hyperlink" Target="https://www.irs.gov/instructions/i109495c" TargetMode="External"/><Relationship Id="rId371" Type="http://schemas.openxmlformats.org/officeDocument/2006/relationships/hyperlink" Target="https://www.dol.gov/agencies/ebsa/key-topics/retirement-benefits/cybersecurity/tips-for-hiring-a-service-provider-with-strong-security-practices" TargetMode="External"/><Relationship Id="rId774" Type="http://schemas.openxmlformats.org/officeDocument/2006/relationships/hyperlink" Target="https://legislature.mi.gov/Laws/MCL?objectName=MCL-ACT-338-OF-2018" TargetMode="External"/><Relationship Id="rId981" Type="http://schemas.openxmlformats.org/officeDocument/2006/relationships/hyperlink" Target="https://lawfilesext.leg.wa.gov/biennium/2025-26/Pdf/Bills/House%20Passed%20Legislature/1162-S2.PL.pdf?q=20251217082900" TargetMode="External"/><Relationship Id="rId42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469" Type="http://schemas.openxmlformats.org/officeDocument/2006/relationships/hyperlink" Target="https://www.consumerfinance.gov/compliance/compliance-resources/other-applicable-requirements/fair-credit-reporting-act/model-forms-and-disclosures/" TargetMode="External"/><Relationship Id="rId634" Type="http://schemas.openxmlformats.org/officeDocument/2006/relationships/hyperlink" Target="https://lims.dccouncil.gov/Legislation/B25-0194" TargetMode="External"/><Relationship Id="rId676" Type="http://schemas.openxmlformats.org/officeDocument/2006/relationships/hyperlink" Target="https://www.ilga.gov/legislation/publicacts/fulltext.asp?Name=103-0769" TargetMode="External"/><Relationship Id="rId841" Type="http://schemas.openxmlformats.org/officeDocument/2006/relationships/hyperlink" Target="https://www.littler.com/news-analysis/asap/new-york-city-amends-sick-time-law-require-new-unpaid-leave-and-permit-new" TargetMode="External"/><Relationship Id="rId883" Type="http://schemas.openxmlformats.org/officeDocument/2006/relationships/hyperlink" Target="https://paidfamilyleave.ny.gov/2025" TargetMode="External"/><Relationship Id="rId26" Type="http://schemas.openxmlformats.org/officeDocument/2006/relationships/hyperlink" Target="https://www.dir.ca.gov/wpnodb.html" TargetMode="External"/><Relationship Id="rId231" Type="http://schemas.openxmlformats.org/officeDocument/2006/relationships/hyperlink" Target="https://www.irs.gov/newsroom/irs-announces-no-changes-to-individual-information-returns-or-withholding-tables-for-2025-under-the-one-big-beautiful-bill-act" TargetMode="External"/><Relationship Id="rId273" Type="http://schemas.openxmlformats.org/officeDocument/2006/relationships/hyperlink" Target="https://regtap.cms.gov/RxDCFAQ" TargetMode="External"/><Relationship Id="rId329" Type="http://schemas.openxmlformats.org/officeDocument/2006/relationships/hyperlink" Target="https://www.cms.gov/marketplace/about/oversight/other-insurance-protections/gag-clause-prohibition-compliance-attestation" TargetMode="External"/><Relationship Id="rId480" Type="http://schemas.openxmlformats.org/officeDocument/2006/relationships/hyperlink" Target="https://leginfo.legislature.ca.gov/faces/billTextClient.xhtml?bill_id=202520260SB294" TargetMode="External"/><Relationship Id="rId536"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701" Type="http://schemas.openxmlformats.org/officeDocument/2006/relationships/hyperlink" Target="https://legislature.maine.gov/billtracker/%23Paper/hp19?legislature=132" TargetMode="External"/><Relationship Id="rId939" Type="http://schemas.openxmlformats.org/officeDocument/2006/relationships/hyperlink" Target="https://capitol.texas.gov/tlodocs/89R/billtext/pdf/HB00149F.pdf" TargetMode="External"/><Relationship Id="rId68" Type="http://schemas.openxmlformats.org/officeDocument/2006/relationships/hyperlink" Target="https://labor.vermont.gov/document/parental-and-family-leave-poster-mandatory" TargetMode="External"/><Relationship Id="rId133" Type="http://schemas.openxmlformats.org/officeDocument/2006/relationships/hyperlink" Target="https://dlt.ri.gov/employers/required-workplace-posters" TargetMode="External"/><Relationship Id="rId175" Type="http://schemas.openxmlformats.org/officeDocument/2006/relationships/hyperlink" Target="https://www.federalregister.gov/documents/2025/01/29/2025-01953/ending-radical-and-wasteful-government-dei-programs-and-preferencing" TargetMode="External"/><Relationship Id="rId340" Type="http://schemas.openxmlformats.org/officeDocument/2006/relationships/hyperlink" Target="https://www.hhs.gov/hipaa/for-professionals/special-topics/reproductive-health/final-rule-fact-sheet/index.html" TargetMode="External"/><Relationship Id="rId578" Type="http://schemas.openxmlformats.org/officeDocument/2006/relationships/hyperlink" Target="https://calcivilrights.ca.gov/disputeresolution/small-employer-family-leave-mediation-program/" TargetMode="External"/><Relationship Id="rId743" Type="http://schemas.openxmlformats.org/officeDocument/2006/relationships/hyperlink" Target="https://www.sec.state.ma.us/divisions/corporations/eeo-data-reports.htm" TargetMode="External"/><Relationship Id="rId785" Type="http://schemas.openxmlformats.org/officeDocument/2006/relationships/hyperlink" Target="https://www.dli.mn.gov/sick-leave" TargetMode="External"/><Relationship Id="rId950" Type="http://schemas.openxmlformats.org/officeDocument/2006/relationships/hyperlink" Target="https://legislature.vermont.gov/Documents/2024/Docs/ACTS/ACT155/ACT155%20As%20Enacted.pdf" TargetMode="External"/><Relationship Id="rId992" Type="http://schemas.openxmlformats.org/officeDocument/2006/relationships/hyperlink" Target="https://lawfilesext.leg.wa.gov/biennium/2025-26/Pdf/Bills/Session%20Laws/House/1875-S.SL.pdf?q=20250430122352" TargetMode="External"/><Relationship Id="rId200" Type="http://schemas.openxmlformats.org/officeDocument/2006/relationships/hyperlink" Target="https://www.dol.gov/agencies/whd/flsa/videos?lang=en" TargetMode="External"/><Relationship Id="rId382" Type="http://schemas.openxmlformats.org/officeDocument/2006/relationships/hyperlink" Target="https://storage.courtlistener.com/recap/gov.uscourts.txnd.389064/gov.uscourts.txnd.389064.211.0.pdf" TargetMode="External"/><Relationship Id="rId438" Type="http://schemas.openxmlformats.org/officeDocument/2006/relationships/hyperlink" Target="https://le.utah.gov/~2024/bills/static/HB0261.html" TargetMode="External"/><Relationship Id="rId603" Type="http://schemas.openxmlformats.org/officeDocument/2006/relationships/hyperlink" Target="https://calcivilrights.ca.gov/wp-content/uploads/sites/32/2023/07/Final-Text-of-Modifications-to-Employment-Regulations-Regarding-Criminal-History.pdf" TargetMode="External"/><Relationship Id="rId645" Type="http://schemas.openxmlformats.org/officeDocument/2006/relationships/hyperlink" Target="https://ilga.gov/legislation/PublicActs/View/104-0320" TargetMode="External"/><Relationship Id="rId687" Type="http://schemas.openxmlformats.org/officeDocument/2006/relationships/hyperlink" Target="https://www.ilga.gov/legislation/publicacts/fulltext.asp?Name=103-0343" TargetMode="External"/><Relationship Id="rId810" Type="http://schemas.openxmlformats.org/officeDocument/2006/relationships/hyperlink" Target="https://www.sos.mo.gov/CMSImages/Elections/Petitions/2024-038.pdf" TargetMode="External"/><Relationship Id="rId852" Type="http://schemas.openxmlformats.org/officeDocument/2006/relationships/hyperlink" Target="https://legistar.council.nyc.gov/LegislationDetail.aspx?ID=6788483&amp;GUID=CDAAC0E3-EEC3-4CBA-8467-476D863BB303" TargetMode="External"/><Relationship Id="rId908" Type="http://schemas.openxmlformats.org/officeDocument/2006/relationships/hyperlink" Target="https://www.oregon.gov/employ/Agency/Documents/2024/2024-12-30-Batch-12-SOS-Final-Filing-Receipt.pdf" TargetMode="External"/><Relationship Id="rId242"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284" Type="http://schemas.openxmlformats.org/officeDocument/2006/relationships/hyperlink" Target="https://www.worklaw.com/blog/can-remote-employees-working-outside-massachusetts-sue-employers-violations-massachusetts-employment-laws" TargetMode="External"/><Relationship Id="rId491" Type="http://schemas.openxmlformats.org/officeDocument/2006/relationships/hyperlink" Target="https://leginfo.legislature.ca.gov/faces/billTextClient.xhtml?bill_id=202520260SB294" TargetMode="External"/><Relationship Id="rId505" Type="http://schemas.openxmlformats.org/officeDocument/2006/relationships/hyperlink" Target="https://www.littler.com/news-analysis/asap/los-angeles-updates-freelance-worker-protections-ordinance" TargetMode="External"/><Relationship Id="rId712" Type="http://schemas.openxmlformats.org/officeDocument/2006/relationships/hyperlink" Target="https://mgaleg.maryland.gov/2025RS/Chapters_noln/CH_5_sb0279t.pdf" TargetMode="External"/><Relationship Id="rId894" Type="http://schemas.openxmlformats.org/officeDocument/2006/relationships/hyperlink" Target="https://www.oregon.gov/boli/workers/pages/minimum-wage-schedule.aspx" TargetMode="External"/><Relationship Id="rId37" Type="http://schemas.openxmlformats.org/officeDocument/2006/relationships/hyperlink" Target="https://drive.google.com/file/d/1D2oFYTbY2EkcQt1k29WoGKGY4UMD78qr/view" TargetMode="External"/><Relationship Id="rId79" Type="http://schemas.openxmlformats.org/officeDocument/2006/relationships/hyperlink" Target="https://floridajobs.org/docs/default-source/business-growth-and-partnerships/for-employers/posters-and-required-notices/2024-minimum-wage/2024-minimum-wage-poster---english.pdf" TargetMode="External"/><Relationship Id="rId102" Type="http://schemas.openxmlformats.org/officeDocument/2006/relationships/hyperlink" Target="https://labor.vermont.gov/document/parental-and-family-leave-poster-mandatory" TargetMode="External"/><Relationship Id="rId144" Type="http://schemas.openxmlformats.org/officeDocument/2006/relationships/hyperlink" Target="https://www.irs.gov/forms-pubs/about-form-720" TargetMode="External"/><Relationship Id="rId547" Type="http://schemas.openxmlformats.org/officeDocument/2006/relationships/hyperlink" Target="https://www.dir.ca.gov/dlse/Paid_Sick_Leave.htm" TargetMode="External"/><Relationship Id="rId589" Type="http://schemas.openxmlformats.org/officeDocument/2006/relationships/hyperlink" Target="https://www.dir.ca.gov/dosh/Workplace-Violence.html" TargetMode="External"/><Relationship Id="rId754" Type="http://schemas.openxmlformats.org/officeDocument/2006/relationships/hyperlink" Target="https://www.mass.gov/info-details/pfml-workplace-poster-notices-and-rate-sheets-for-massachusetts-employers" TargetMode="External"/><Relationship Id="rId796"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961" Type="http://schemas.openxmlformats.org/officeDocument/2006/relationships/hyperlink" Target="https://lis.blob.core.windows.net/files/1221113.PDF" TargetMode="External"/><Relationship Id="rId90" Type="http://schemas.openxmlformats.org/officeDocument/2006/relationships/hyperlink" Target="https://labor.vermont.gov/mandatory-workplace-posters-vermont" TargetMode="External"/><Relationship Id="rId186" Type="http://schemas.openxmlformats.org/officeDocument/2006/relationships/hyperlink" Target="https://www.ilga.gov/documents/legislation/ilcs/documents/082000900K10.htm" TargetMode="External"/><Relationship Id="rId351" Type="http://schemas.openxmlformats.org/officeDocument/2006/relationships/hyperlink" Target="https://www.irs.gov/pub/irs-dft/f1094b--dft.pdf" TargetMode="External"/><Relationship Id="rId393" Type="http://schemas.openxmlformats.org/officeDocument/2006/relationships/hyperlink" Target="https://www.govinfo.gov/content/pkg/FR-2024-04-26/pdf/2024-08038.pdf" TargetMode="External"/><Relationship Id="rId407" Type="http://schemas.openxmlformats.org/officeDocument/2006/relationships/hyperlink" Target="https://www.fincen.gov/boi-faqs" TargetMode="External"/><Relationship Id="rId449" Type="http://schemas.openxmlformats.org/officeDocument/2006/relationships/hyperlink" Target="https://www.morganlewis.com/pubs/2024/03/nlrb-blocked-from-implementing-expansive-joint-employer-rule" TargetMode="External"/><Relationship Id="rId614" Type="http://schemas.openxmlformats.org/officeDocument/2006/relationships/hyperlink" Target="https://www.coloradojudicial.gov/sites/default/files/2024-09/24SA12.pdf" TargetMode="External"/><Relationship Id="rId656" Type="http://schemas.openxmlformats.org/officeDocument/2006/relationships/hyperlink" Target="https://www.cookcountyil.gov/sites/g/files/ywwepo161/files/documents/2025-04/2025%2004%2010%20Procedural%20Rules%20-%20Paid%20Leave%20Ordinance%20Redline.pdf" TargetMode="External"/><Relationship Id="rId821" Type="http://schemas.openxmlformats.org/officeDocument/2006/relationships/hyperlink" Target="https://dir.nv.gov/uploadedFiles/dirnvgov/content/OSHA/Guidance/2025-01-29%20(Heat%20Illness%20Prevention%20Guidance).pdf" TargetMode="External"/><Relationship Id="rId863" Type="http://schemas.openxmlformats.org/officeDocument/2006/relationships/hyperlink" Target="https://www.nyc.gov/assets/dca/downloads/pdf/about/PaidSafeSickLeave-MandatoryNotice-English.pdf" TargetMode="External"/><Relationship Id="rId211" Type="http://schemas.openxmlformats.org/officeDocument/2006/relationships/hyperlink" Target="http://infinisource.net/Newsroom/post/2011/05/24/IRS-Provides-Guidance-for-HSAs-in-2012.aspx" TargetMode="External"/><Relationship Id="rId253" Type="http://schemas.openxmlformats.org/officeDocument/2006/relationships/hyperlink" Target="https://www.dol.gov/sites/dolgov/files/WHD/fab/fab2025-3.pdf" TargetMode="External"/><Relationship Id="rId295" Type="http://schemas.openxmlformats.org/officeDocument/2006/relationships/hyperlink" Target="https://www.fincen.gov/news/news-releases/fincen-not-issuing-fines-or-penalties-connection-beneficial-ownership" TargetMode="External"/><Relationship Id="rId309" Type="http://schemas.openxmlformats.org/officeDocument/2006/relationships/hyperlink" Target="https://www.cms.gov/inflation-reduction-act-and-medicare/part-d-improvements" TargetMode="External"/><Relationship Id="rId460" Type="http://schemas.openxmlformats.org/officeDocument/2006/relationships/hyperlink" Target="https://www.dol.gov/agencies/whd/flsa/misclassification/rulemaking/faqs" TargetMode="External"/><Relationship Id="rId516" Type="http://schemas.openxmlformats.org/officeDocument/2006/relationships/hyperlink" Target="https://leginfo.legislature.ca.gov/faces/billCompareClient.xhtml?bill_id=202520260SB464&amp;showamends=false" TargetMode="External"/><Relationship Id="rId698" Type="http://schemas.openxmlformats.org/officeDocument/2006/relationships/hyperlink" Target="https://legislature.maine.gov/legis/bills/getPDF.asp?paper=HP0018&amp;item=7&amp;snum=132" TargetMode="External"/><Relationship Id="rId919" Type="http://schemas.openxmlformats.org/officeDocument/2006/relationships/hyperlink" Target="https://phila.legistar.com/View.ashx?M=F&amp;ID=14237484&amp;GUID=A62FB653-A390-437F-B0E9-284CCD43CEF1" TargetMode="External"/><Relationship Id="rId48" Type="http://schemas.openxmlformats.org/officeDocument/2006/relationships/hyperlink" Target="https://flagstaff.az.gov/DocumentCenter/View/91601/2026-MW-Posters_11x17_English" TargetMode="External"/><Relationship Id="rId113" Type="http://schemas.openxmlformats.org/officeDocument/2006/relationships/hyperlink" Target="https://www.laworks.net/Downloads/Posters/Unemployment_Ins_ltr_color.pdf" TargetMode="External"/><Relationship Id="rId320" Type="http://schemas.openxmlformats.org/officeDocument/2006/relationships/hyperlink" Target="https://www.dol.gov/agencies/whd/flsa/tips" TargetMode="External"/><Relationship Id="rId558" Type="http://schemas.openxmlformats.org/officeDocument/2006/relationships/hyperlink" Target="https://www.dhcs.ca.gov/Budget/Documents/Letter-JLBC-Health-Care-Minimum-Wage-Increases-10012024.pdf" TargetMode="External"/><Relationship Id="rId723" Type="http://schemas.openxmlformats.org/officeDocument/2006/relationships/hyperlink" Target="https://mgaleg.maryland.gov/2024RS/Chapters_noln/CH_131_hb0602t.pdf" TargetMode="External"/><Relationship Id="rId765" Type="http://schemas.openxmlformats.org/officeDocument/2006/relationships/hyperlink" Target="https://legislature.mi.gov/documents/2025-2026/billenrolled/House/pdf/2025-HNB-4002.pdf" TargetMode="External"/><Relationship Id="rId930" Type="http://schemas.openxmlformats.org/officeDocument/2006/relationships/hyperlink" Target="https://rules.sos.ri.gov/Regulations/part/260-30-05-2" TargetMode="External"/><Relationship Id="rId972" Type="http://schemas.openxmlformats.org/officeDocument/2006/relationships/hyperlink" Target="https://www.retirepathva.com/resources/program-resources" TargetMode="External"/><Relationship Id="rId1006" Type="http://schemas.openxmlformats.org/officeDocument/2006/relationships/header" Target="header1.xml"/><Relationship Id="rId155" Type="http://schemas.openxmlformats.org/officeDocument/2006/relationships/comments" Target="comments.xml"/><Relationship Id="rId197" Type="http://schemas.openxmlformats.org/officeDocument/2006/relationships/hyperlink" Target="https://www.federalregister.gov/documents/2026/01/15/2026-00755/annual-update-of-the-hhs-poverty-guidelines" TargetMode="External"/><Relationship Id="rId362" Type="http://schemas.openxmlformats.org/officeDocument/2006/relationships/hyperlink" Target="https://www.irs.gov/pub/irs-drop/rp-24-35.pdf" TargetMode="External"/><Relationship Id="rId418" Type="http://schemas.openxmlformats.org/officeDocument/2006/relationships/hyperlink" Target="https://regtap.cms.gov/reg_librarye.php?i=3860" TargetMode="External"/><Relationship Id="rId625" Type="http://schemas.openxmlformats.org/officeDocument/2006/relationships/hyperlink" Target="https://legis.delaware.gov/BillDetail?legislationId=141518" TargetMode="External"/><Relationship Id="rId832" Type="http://schemas.openxmlformats.org/officeDocument/2006/relationships/hyperlink" Target="https://pub.njleg.state.nj.us/Bills/2024/S2500/2310_R1.PDF" TargetMode="External"/><Relationship Id="rId222" Type="http://schemas.openxmlformats.org/officeDocument/2006/relationships/hyperlink" Target="https://public-inspection.federalregister.gov/2025-20740.pdf" TargetMode="External"/><Relationship Id="rId264"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471" Type="http://schemas.openxmlformats.org/officeDocument/2006/relationships/hyperlink" Target="https://www.irs.gov/newsroom/irs-issues-standard-mileage-rates-for-2024-mileage-rate-increases-to-67-cents-a-mile-up-1-point-5-cents-from-2023" TargetMode="External"/><Relationship Id="rId667" Type="http://schemas.openxmlformats.org/officeDocument/2006/relationships/hyperlink" Target="https://www.cookcountyil.gov/sites/g/files/ywwepo161/files/documents/2024-10/UPDATED%20Paid%20Leave%20FAQs_102024.pdf" TargetMode="External"/><Relationship Id="rId874" Type="http://schemas.openxmlformats.org/officeDocument/2006/relationships/hyperlink" Target="https://nyassembly.gov/leg/?term=2025&amp;bn=A01678" TargetMode="External"/><Relationship Id="rId17" Type="http://schemas.openxmlformats.org/officeDocument/2006/relationships/hyperlink" Target="https://labor.alaska.gov/wc/forms/wc6120.pdf" TargetMode="External"/><Relationship Id="rId59" Type="http://schemas.openxmlformats.org/officeDocument/2006/relationships/hyperlink" Target="https://dlr.sd.gov/employment_laws/minimum_wage.aspx" TargetMode="External"/><Relationship Id="rId124" Type="http://schemas.openxmlformats.org/officeDocument/2006/relationships/hyperlink" Target="https://labor.illinois.gov/content/dam/soi/en/web/idol/employers/posters/vessa/vessa-2025/24_VESSA_English_NewLogo.pdf" TargetMode="External"/><Relationship Id="rId527" Type="http://schemas.openxmlformats.org/officeDocument/2006/relationships/hyperlink" Target="https://leginfo.legislature.ca.gov/faces/billCompareClient.xhtml?bill_id=202520260SB464&amp;showamends=false" TargetMode="External"/><Relationship Id="rId569" Type="http://schemas.openxmlformats.org/officeDocument/2006/relationships/hyperlink" Target="https://leginfo.legislature.ca.gov/faces/billNavClient.xhtml?bill_id=202320240AB2499" TargetMode="External"/><Relationship Id="rId734" Type="http://schemas.openxmlformats.org/officeDocument/2006/relationships/hyperlink" Target="https://mgaleg.maryland.gov/mgawebsite/Laws/StatuteText?article=gle&amp;section=3-304.2&amp;enactments=false" TargetMode="External"/><Relationship Id="rId776"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941" Type="http://schemas.openxmlformats.org/officeDocument/2006/relationships/hyperlink" Target="https://statutes.capitol.texas.gov/Docs/BC/htm/BC.15.htm" TargetMode="External"/><Relationship Id="rId983" Type="http://schemas.openxmlformats.org/officeDocument/2006/relationships/hyperlink" Target="https://paidleave.wa.gov/updates/" TargetMode="External"/><Relationship Id="rId70" Type="http://schemas.openxmlformats.org/officeDocument/2006/relationships/hyperlink" Target="https://labor.vermont.gov/document/sexual-harassment-poster" TargetMode="External"/><Relationship Id="rId166" Type="http://schemas.openxmlformats.org/officeDocument/2006/relationships/hyperlink" Target="https://www.federalregister.gov/documents/2025/01/17/2025-01377/annual-update-of-the-hhs-poverty-guidelines" TargetMode="External"/><Relationship Id="rId331" Type="http://schemas.openxmlformats.org/officeDocument/2006/relationships/hyperlink" Target="https://www.fincen.gov/boi" TargetMode="External"/><Relationship Id="rId373" Type="http://schemas.openxmlformats.org/officeDocument/2006/relationships/hyperlink" Target="https://www.dol.gov/agencies/ebsa/key-topics/retirement-benefits/cybersecurity/online-security-tips" TargetMode="External"/><Relationship Id="rId429" Type="http://schemas.openxmlformats.org/officeDocument/2006/relationships/hyperlink" Target="https://www.irs.gov/affordable-care-act/employers/employer-shared-responsibility-provisions" TargetMode="External"/><Relationship Id="rId580" Type="http://schemas.openxmlformats.org/officeDocument/2006/relationships/hyperlink" Target="https://www.dir.ca.gov/dosh/" TargetMode="External"/><Relationship Id="rId636" Type="http://schemas.openxmlformats.org/officeDocument/2006/relationships/hyperlink" Target="https://data.capitol.hawaii.gov/sessions/session2024/bills/GM1275_.PDF" TargetMode="External"/><Relationship Id="rId801" Type="http://schemas.openxmlformats.org/officeDocument/2006/relationships/hyperlink" Target="https://www.dli.mn.gov/sick-leave" TargetMode="External"/><Relationship Id="rId1" Type="http://schemas.openxmlformats.org/officeDocument/2006/relationships/customXml" Target="../customXml/item1.xml"/><Relationship Id="rId233" Type="http://schemas.openxmlformats.org/officeDocument/2006/relationships/hyperlink" Target="https://links-2.govdelivery.com/CL0/https:%2F%2Fwww.uscis.gov%2Fi-765/1/0101019a30377f5e-184e1e3a-dc7d-4a7d-bd8f-29c9958a5640-000000/1CWQM3xC5WKzZQzi-EHGSkMTUGAfHOkHg4rN9vKfVCs=429" TargetMode="External"/><Relationship Id="rId440" Type="http://schemas.openxmlformats.org/officeDocument/2006/relationships/hyperlink" Target="https://www.skadden.com/-/media/files/publications/2024/03/insights-special-edition/senate-bill-sb-17.pdf?rev=964ecfc65e694a08a593b8eed1173a15&amp;hash=5CD4CFFF9BB7FE0553A89C6E9823019E" TargetMode="External"/><Relationship Id="rId678" Type="http://schemas.openxmlformats.org/officeDocument/2006/relationships/hyperlink" Target="https://labor.illinois.gov/faqs/freelance-worker-protection-act.html" TargetMode="External"/><Relationship Id="rId843" Type="http://schemas.openxmlformats.org/officeDocument/2006/relationships/hyperlink" Target="https://www.nysenate.gov/legislation/bills/2025/A4727" TargetMode="External"/><Relationship Id="rId885" Type="http://schemas.openxmlformats.org/officeDocument/2006/relationships/hyperlink" Target="https://www.nysenate.gov/legislation/bills/2023/S8358/amendment/C" TargetMode="External"/><Relationship Id="rId28" Type="http://schemas.openxmlformats.org/officeDocument/2006/relationships/hyperlink" Target="https://www.nyc.gov/site/dca/about/Paid-Safe-Sick-Leave-Notice-of-Employee-Rights.page" TargetMode="External"/><Relationship Id="rId275" Type="http://schemas.openxmlformats.org/officeDocument/2006/relationships/hyperlink" Target="https://regtap.cms.gov/reg_librarye.php?&amp;i=3862" TargetMode="External"/><Relationship Id="rId300" Type="http://schemas.openxmlformats.org/officeDocument/2006/relationships/hyperlink" Target="https://www.naacpldf.org/wp-content/uploads/2025.02.19-ECF-1-Complaint.pdf" TargetMode="External"/><Relationship Id="rId482" Type="http://schemas.openxmlformats.org/officeDocument/2006/relationships/hyperlink" Target="https://www.sf.gov/information/health-care-security-ordinance" TargetMode="External"/><Relationship Id="rId538" Type="http://schemas.openxmlformats.org/officeDocument/2006/relationships/hyperlink" Target="https://www.gtlaw.com/en/insights/2025/7/beyond-bias-california-sets-a-new-standard-for-regulating-ai-in-the-workplace" TargetMode="External"/><Relationship Id="rId703" Type="http://schemas.openxmlformats.org/officeDocument/2006/relationships/hyperlink" Target="https://www.maine.gov/labor/docs/2024/posters/pfml/PaidFamilyMedicalLeave.pdf" TargetMode="External"/><Relationship Id="rId745" Type="http://schemas.openxmlformats.org/officeDocument/2006/relationships/hyperlink" Target="https://www.mass.gov/doc/earned-sick-time-faqs/download" TargetMode="External"/><Relationship Id="rId910"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952" Type="http://schemas.openxmlformats.org/officeDocument/2006/relationships/hyperlink" Target="https://legislature.vermont.gov/Documents/2024/Docs/ACTS/ACT092/ACT092%20As%20Enacted.pdf" TargetMode="External"/><Relationship Id="rId81" Type="http://schemas.openxmlformats.org/officeDocument/2006/relationships/hyperlink" Target="https://www.laworks.net/Downloads/Posters/2025_Earned_Income_Credit.pdf" TargetMode="External"/><Relationship Id="rId135" Type="http://schemas.openxmlformats.org/officeDocument/2006/relationships/hyperlink" Target="https://hr.nv.gov/uploadedFiles/hrnvgov/Content/Resources/Forms/Pregnancy/NERC%20Pregnant%20Workers%20Fairness%20Act%20Poster.pdf" TargetMode="External"/><Relationship Id="rId177" Type="http://schemas.openxmlformats.org/officeDocument/2006/relationships/hyperlink" Target="https://www.federalregister.gov/documents/2026/02/09/2026-02466/minimum-wage-for-federal-contracts-covered-by-executive-order-13658-notice-of-rate-change-in-effect?utm_campaign=subscription+mailing+list&amp;utm_medium=email&amp;utm_source=federalregister.gov" TargetMode="External"/><Relationship Id="rId342" Type="http://schemas.openxmlformats.org/officeDocument/2006/relationships/hyperlink" Target="https://www.cms.gov/Medicare/Prescription-Drug-Coverage/CreditableCoverage/Model-Notice-Letters.html" TargetMode="External"/><Relationship Id="rId384" Type="http://schemas.openxmlformats.org/officeDocument/2006/relationships/hyperlink" Target="https://www.dol.gov/sites/dolgov/files/EBSA/employers-and-advisers/plan-administration-and-compliance/form-sar-newwelfare-plan2023.docx" TargetMode="External"/><Relationship Id="rId591" Type="http://schemas.openxmlformats.org/officeDocument/2006/relationships/hyperlink" Target="https://calcivilrights.ca.gov/paydatareporting/" TargetMode="External"/><Relationship Id="rId605" Type="http://schemas.openxmlformats.org/officeDocument/2006/relationships/image" Target="media/image4.png"/><Relationship Id="rId787" Type="http://schemas.openxmlformats.org/officeDocument/2006/relationships/hyperlink" Target="https://lims.minneapolismn.gov/Download/FileV2/51109/Earned-sick-and-safe-time-updates-presentation.pdf" TargetMode="External"/><Relationship Id="rId812" Type="http://schemas.openxmlformats.org/officeDocument/2006/relationships/hyperlink" Target="https://sos.nebraska.gov/sites/default/files/doc/elections/2024/2024%20Ballot%20Measures%20Pamphlet.pdf" TargetMode="External"/><Relationship Id="rId994" Type="http://schemas.openxmlformats.org/officeDocument/2006/relationships/hyperlink" Target="https://app.leg.wa.gov/billsummary?BillNumber=1905&amp;Year=2023&amp;Initiative=false" TargetMode="External"/><Relationship Id="rId202" Type="http://schemas.openxmlformats.org/officeDocument/2006/relationships/hyperlink" Target="https://www.dol.gov/agencies/whd/opinion-letters/request" TargetMode="External"/><Relationship Id="rId244" Type="http://schemas.openxmlformats.org/officeDocument/2006/relationships/hyperlink" Target="https://www.dol.gov/agencies/whd/fact-sheets/15-tipped-employees-flsa" TargetMode="External"/><Relationship Id="rId647" Type="http://schemas.openxmlformats.org/officeDocument/2006/relationships/hyperlink" Target="https://www.beneschlaw.com/resources/illinois-employers-take-note-expanded-requirements-under-the-illinois-workplace-transparency-act-go-into-effect-in-2026.html" TargetMode="External"/><Relationship Id="rId689" Type="http://schemas.openxmlformats.org/officeDocument/2006/relationships/hyperlink" Target="https://www.ilga.gov/legislation/fulltext.asp?DocName=&amp;SessionId=112&amp;GA=103&amp;DocTypeId=HB&amp;DocNum=3733&amp;GAID=17&amp;LegID=&amp;SpecSess=&amp;Session=" TargetMode="External"/><Relationship Id="rId854" Type="http://schemas.openxmlformats.org/officeDocument/2006/relationships/hyperlink" Target="https://www.nysenate.gov/legislation/bills/2025/S5294/amendment/A" TargetMode="External"/><Relationship Id="rId896" Type="http://schemas.openxmlformats.org/officeDocument/2006/relationships/hyperlink" Target="https://u4664138.ct.sendgrid.net/ls/click?upn=u001.-2BvR921dwSdNdTO8WsXTOoMsKRIsBRaBj8yyviR1rwLs-2FTWQM0UshA6QOVsgIW0YN2bsZ5X4IYtUECe22fV3rfq9KR1lnZ8X09UT-2F6dpUx6s-3D1qhZ_pZjfBIpLjMFCpu6xHFn7DWABExhsgTHcqiJ060gTkgzEATmBUNXNmW3P5SmbWvnmmrfH1-2B4pPPGFyB2hINv46jrWZ-2BPTaPegI8-2FvNXN-2B3a0IMN8xDuErJszoCxKHj8SVzuKgOtI31u1VaYAn7txNnL1O-2BVZ8zdx0O1HjwYhNTVVg2vba5ShQN6TWQIrsqBZHj-2Fl5WD5LOKcJnaXZWBz4uYuLMdxsK-2Bg-2FV9FhYGlnwOTLe0lwfLNPfKb2nSfz8SYTT-2F-2FSDPV3zjyCYcYGjyF9PQ-3D-3D" TargetMode="External"/><Relationship Id="rId39" Type="http://schemas.openxmlformats.org/officeDocument/2006/relationships/hyperlink" Target="https://labor.illinois.gov/content/dam/soi/en/web/idol/employers/posters/your-rights/2026/26_YourRights_English_NewLogo.pdf" TargetMode="External"/><Relationship Id="rId286" Type="http://schemas.openxmlformats.org/officeDocument/2006/relationships/hyperlink" Target="https://www.whitehouse.gov/presidential-actions/2025/04/restoring-equality-of-opportunity-and-meritocracy/" TargetMode="External"/><Relationship Id="rId451" Type="http://schemas.openxmlformats.org/officeDocument/2006/relationships/hyperlink" Target="https://www.morganlewis.com/pubs/2024/03/nlrb-blocked-from-implementing-expansive-joint-employer-rule" TargetMode="External"/><Relationship Id="rId493"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07" Type="http://schemas.openxmlformats.org/officeDocument/2006/relationships/hyperlink" Target="https://leginfo.legislature.ca.gov/faces/billTextClient.xhtml?bill_id=202520260SB513" TargetMode="External"/><Relationship Id="rId549" Type="http://schemas.openxmlformats.org/officeDocument/2006/relationships/hyperlink" Target="https://www.caloes.ca.gov/wp-content/uploads/Legal-Affairs/Documents/Proclamations/12.18.2024__SOE_Bird_Flu_GGN_Signed.02.pdf" TargetMode="External"/><Relationship Id="rId714" Type="http://schemas.openxmlformats.org/officeDocument/2006/relationships/hyperlink" Target="https://govt.westlaw.com/mdc/Browse/Home/Maryland/MarylandCodeCourtRules?guid=N9F08D9209CC111DB9BCF9DAC28345A2A&amp;transitionType=Default&amp;contextData=%28sc.Default%29" TargetMode="External"/><Relationship Id="rId756" Type="http://schemas.openxmlformats.org/officeDocument/2006/relationships/hyperlink" Target="https://malegislature.gov/Laws/GeneralLaws/PartI/TitleXXI/Chapter149/Section148c" TargetMode="External"/><Relationship Id="rId921" Type="http://schemas.openxmlformats.org/officeDocument/2006/relationships/hyperlink" Target="https://www.phila.gov/documents/paid-sick-leave-information/" TargetMode="External"/><Relationship Id="rId50" Type="http://schemas.openxmlformats.org/officeDocument/2006/relationships/hyperlink" Target="https://www.maine.gov/labor/docs/2026/posters/minwage/English_minimum_wage.pdf" TargetMode="External"/><Relationship Id="rId104" Type="http://schemas.openxmlformats.org/officeDocument/2006/relationships/hyperlink" Target="https://does.dc.gov/sites/default/files/dc/sites/does/publication/attachments/DOES_OWH_2025%20Minimum%20Wage%20Increase%20Notice%20updated%202.6.2025.pdf" TargetMode="External"/><Relationship Id="rId146" Type="http://schemas.openxmlformats.org/officeDocument/2006/relationships/hyperlink" Target="https://www.irs.gov/newsroom/patient-centered-outcomes-research-institute-fee" TargetMode="External"/><Relationship Id="rId188" Type="http://schemas.openxmlformats.org/officeDocument/2006/relationships/hyperlink" Target="https://mgaleg.maryland.gov/mgawebsite/Laws/StatuteText?article=gle&amp;section=3-716" TargetMode="External"/><Relationship Id="rId311" Type="http://schemas.openxmlformats.org/officeDocument/2006/relationships/hyperlink" Target="https://www.dol.gov/sites/dolgov/files/WHD/opinion-letters/FLSA/2025_1_14_1_FLSA.pdf" TargetMode="External"/><Relationship Id="rId353" Type="http://schemas.openxmlformats.org/officeDocument/2006/relationships/hyperlink" Target="https://www.irs.gov/pub/irs-dft/i109495b--dft.pdf" TargetMode="External"/><Relationship Id="rId395" Type="http://schemas.openxmlformats.org/officeDocument/2006/relationships/hyperlink" Target="https://www.hhs.gov/hipaa/for-professionals/privacy/laws-regulations/index.html" TargetMode="External"/><Relationship Id="rId409" Type="http://schemas.openxmlformats.org/officeDocument/2006/relationships/hyperlink" Target="https://www.eeoc.gov/laws/guidance/enforcement-guidance-harassment-workplace" TargetMode="External"/><Relationship Id="rId560" Type="http://schemas.openxmlformats.org/officeDocument/2006/relationships/hyperlink" Target="https://leginfo.legislature.ca.gov/faces/billCompareClient.xhtml?bill_id=202320240AB1815&amp;showamends=false" TargetMode="External"/><Relationship Id="rId798" Type="http://schemas.openxmlformats.org/officeDocument/2006/relationships/hyperlink" Target="https://info.paidleave.mn.gov/employers/equivalent/index.jsp" TargetMode="External"/><Relationship Id="rId963" Type="http://schemas.openxmlformats.org/officeDocument/2006/relationships/hyperlink" Target="https://www.vec.virginia.gov/employer-alert-new-consequences-late-claim-responses-starting-july-1" TargetMode="External"/><Relationship Id="rId92" Type="http://schemas.openxmlformats.org/officeDocument/2006/relationships/hyperlink" Target="https://calcivilrights.ca.gov/wp-content/uploads/sites/32/2025/07/Survivors-Right-to-Time-Off_English-B.pdf" TargetMode="External"/><Relationship Id="rId213"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420" Type="http://schemas.openxmlformats.org/officeDocument/2006/relationships/hyperlink" Target="https://www.eeocdata.org/eeo1" TargetMode="External"/><Relationship Id="rId616" Type="http://schemas.openxmlformats.org/officeDocument/2006/relationships/hyperlink" Target="https://leg.colorado.gov/bills/sb24-205" TargetMode="External"/><Relationship Id="rId658" Type="http://schemas.openxmlformats.org/officeDocument/2006/relationships/hyperlink" Target="https://labor.illinois.gov/laws-rules/conmed/eprc.html" TargetMode="External"/><Relationship Id="rId823" Type="http://schemas.openxmlformats.org/officeDocument/2006/relationships/hyperlink" Target="https://gc.nh.gov/bill_status/billinfo.aspx?id=223&amp;inflect=2" TargetMode="External"/><Relationship Id="rId865" Type="http://schemas.openxmlformats.org/officeDocument/2006/relationships/hyperlink" Target="https://legistar.council.nyc.gov/LegislationDetail.aspx?ID=6695239&amp;GUID=31C2A1CC-05F6-439A-BFC6-B7159AECAF66&amp;Options=ID%7cText%7c&amp;Search=lactation" TargetMode="External"/><Relationship Id="rId255" Type="http://schemas.openxmlformats.org/officeDocument/2006/relationships/hyperlink" Target="https://www.wardandsmith.com/articles/navigating-employee-political-speech-key-considerations-for-employers" TargetMode="External"/><Relationship Id="rId297" Type="http://schemas.openxmlformats.org/officeDocument/2006/relationships/hyperlink" Target="https://www.fincen.gov/sites/default/files/shared/Corporate_Transparency_Act.pdf" TargetMode="External"/><Relationship Id="rId462" Type="http://schemas.openxmlformats.org/officeDocument/2006/relationships/hyperlink" Target="https://www.natlawreview.com/article/strike-baristas-starbucks-stage-one-day-walkout-nationwide" TargetMode="External"/><Relationship Id="rId518" Type="http://schemas.openxmlformats.org/officeDocument/2006/relationships/hyperlink" Target="https://leginfo.legislature.ca.gov/faces/billCompareClient.xhtml?bill_id=202520260AB692&amp;showamends=false" TargetMode="External"/><Relationship Id="rId725" Type="http://schemas.openxmlformats.org/officeDocument/2006/relationships/hyperlink" Target="https://mgaleg.maryland.gov/2024RS/bills/sb/sb0485T.pdf" TargetMode="External"/><Relationship Id="rId932" Type="http://schemas.openxmlformats.org/officeDocument/2006/relationships/hyperlink" Target="http://www.richr.ri.gov/documents/pregnancy.pdf" TargetMode="External"/><Relationship Id="rId115" Type="http://schemas.openxmlformats.org/officeDocument/2006/relationships/hyperlink" Target="https://www.mass.gov/doc/information-on-employees-unemployment-insurance-coverage-form-2553a/download" TargetMode="External"/><Relationship Id="rId157" Type="http://schemas.microsoft.com/office/2016/09/relationships/commentsIds" Target="commentsIds.xml"/><Relationship Id="rId322" Type="http://schemas.openxmlformats.org/officeDocument/2006/relationships/hyperlink" Target="https://www.irs.gov/forms-pubs/about-form-720" TargetMode="External"/><Relationship Id="rId364" Type="http://schemas.openxmlformats.org/officeDocument/2006/relationships/hyperlink" Target="https://www.dol.gov/newsroom/releases/odep/odep20240924" TargetMode="External"/><Relationship Id="rId767"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974" Type="http://schemas.openxmlformats.org/officeDocument/2006/relationships/hyperlink" Target="https://lawfilesext.leg.wa.gov/biennium/2025-26/Pdf/Bills/Session%20Laws/House/2105-S2.SL.pdf" TargetMode="External"/><Relationship Id="rId1008" Type="http://schemas.openxmlformats.org/officeDocument/2006/relationships/fontTable" Target="fontTable.xml"/><Relationship Id="rId61" Type="http://schemas.openxmlformats.org/officeDocument/2006/relationships/hyperlink" Target="https://dwd.wisconsin.gov/dwd/publications/ui/notice.htm" TargetMode="External"/><Relationship Id="rId199" Type="http://schemas.openxmlformats.org/officeDocument/2006/relationships/hyperlink" Target="https://www.dol.gov/agencies/whd/compliance-assistance" TargetMode="External"/><Relationship Id="rId571" Type="http://schemas.openxmlformats.org/officeDocument/2006/relationships/hyperlink" Target="https://leginfo.legislature.ca.gov/faces/billCompareClient.xhtml?bill_id=202320240SB399&amp;showamends=false" TargetMode="External"/><Relationship Id="rId627" Type="http://schemas.openxmlformats.org/officeDocument/2006/relationships/hyperlink" Target="https://regulations.delaware.gov/register/march2024/final/27%20DE%20Reg%20683%2003-01-24.pdf" TargetMode="External"/><Relationship Id="rId669" Type="http://schemas.openxmlformats.org/officeDocument/2006/relationships/hyperlink" Target="https://www.ilga.gov/legislation/publicacts/fulltext.asp?Name=103-0722" TargetMode="External"/><Relationship Id="rId834" Type="http://schemas.openxmlformats.org/officeDocument/2006/relationships/hyperlink" Target="https://www.nj.gov/treasury/securechoiceprogram/" TargetMode="External"/><Relationship Id="rId876" Type="http://schemas.openxmlformats.org/officeDocument/2006/relationships/hyperlink" Target="https://www.nysenate.gov/legislation/bills/2025/S808" TargetMode="External"/><Relationship Id="rId19" Type="http://schemas.openxmlformats.org/officeDocument/2006/relationships/hyperlink" Target="https://d1o0i0v5q5lp8h.cloudfront.net/paidleave/live/assets/resources/paid-leave-modelnotice-poster-en.pdf" TargetMode="External"/><Relationship Id="rId224" Type="http://schemas.openxmlformats.org/officeDocument/2006/relationships/hyperlink" Target="https://www.greenbergglusker.com/the-laboring-oar/26-has-27-bi-weekly-pay-periods-what-that-means-for-employers/" TargetMode="External"/><Relationship Id="rId266" Type="http://schemas.openxmlformats.org/officeDocument/2006/relationships/hyperlink" Target="https://www.msn.com/en-us/news/us/hundreds-arrested-in-immigration-raid-at-2-california-farms-workers-reportedly-injured/ar-AA1IrEU4?ocid=BingNewsSerp" TargetMode="External"/><Relationship Id="rId431" Type="http://schemas.openxmlformats.org/officeDocument/2006/relationships/hyperlink" Target="https://www.irs.gov/newsroom/frequently-asked-questions-about-work-life-referral-services" TargetMode="External"/><Relationship Id="rId473"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529" Type="http://schemas.openxmlformats.org/officeDocument/2006/relationships/hyperlink" Target="https://leginfo.legislature.ca.gov/faces/billCompareClient.xhtml?bill_id=202520260AB692&amp;showamends=false" TargetMode="External"/><Relationship Id="rId680"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736" Type="http://schemas.openxmlformats.org/officeDocument/2006/relationships/hyperlink" Target="https://www.mass.gov/doc/ago-wage-transparency-act-guidance-revised-1152026/download" TargetMode="External"/><Relationship Id="rId901" Type="http://schemas.openxmlformats.org/officeDocument/2006/relationships/hyperlink" Target="https://paidleave.oregon.gov/" TargetMode="External"/><Relationship Id="rId30" Type="http://schemas.openxmlformats.org/officeDocument/2006/relationships/hyperlink" Target="https://labor.arkansas.gov/wp-content/uploads/Arkansas-Department-of-Veterans-Affairs.pdf" TargetMode="External"/><Relationship Id="rId126" Type="http://schemas.openxmlformats.org/officeDocument/2006/relationships/hyperlink" Target="https://labor.mo.gov/media/pdf/earned-paid-sick-time-ls-121" TargetMode="External"/><Relationship Id="rId168"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333" Type="http://schemas.openxmlformats.org/officeDocument/2006/relationships/hyperlink" Target="https://www.irs.gov/pub/irs-drop/rp-24-40.pdf" TargetMode="External"/><Relationship Id="rId540"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778" Type="http://schemas.openxmlformats.org/officeDocument/2006/relationships/hyperlink" Target="https://mn.gov/deed/paidleave/employers/resource/" TargetMode="External"/><Relationship Id="rId943" Type="http://schemas.openxmlformats.org/officeDocument/2006/relationships/hyperlink" Target="https://le.utah.gov/~2026/bills/static/HB0380.html" TargetMode="External"/><Relationship Id="rId985" Type="http://schemas.openxmlformats.org/officeDocument/2006/relationships/hyperlink" Target="https://www.seyfarth.com/news-insights/upcoming-washington-state-legislative-changes-you-need-to-know.html" TargetMode="External"/><Relationship Id="rId72" Type="http://schemas.openxmlformats.org/officeDocument/2006/relationships/hyperlink" Target="https://labor.vermont.gov/document/wc-9-employers-reinstatement-poster-0" TargetMode="External"/><Relationship Id="rId375" Type="http://schemas.openxmlformats.org/officeDocument/2006/relationships/hyperlink" Target="https://405d.hhs.gov/Documents/tech-vol1-508.pdf" TargetMode="External"/><Relationship Id="rId582" Type="http://schemas.openxmlformats.org/officeDocument/2006/relationships/hyperlink" Target="https://leginfo.legislature.ca.gov/faces/billTextClient.xhtml?bill_id=202320240AB3234" TargetMode="External"/><Relationship Id="rId638" Type="http://schemas.openxmlformats.org/officeDocument/2006/relationships/hyperlink" Target="https://labor.illinois.gov/laws-rules/conmed/eprc-faqs.html" TargetMode="External"/><Relationship Id="rId803" Type="http://schemas.openxmlformats.org/officeDocument/2006/relationships/hyperlink" Target="https://www.revisor.mn.gov/laws/2024/0/Session+Law/Chapter/110/" TargetMode="External"/><Relationship Id="rId845" Type="http://schemas.openxmlformats.org/officeDocument/2006/relationships/hyperlink" Target="https://www.nysenate.gov/legislation/bills/2025/S5922/amendment/A" TargetMode="External"/><Relationship Id="rId3" Type="http://schemas.openxmlformats.org/officeDocument/2006/relationships/styles" Target="styles.xml"/><Relationship Id="rId235" Type="http://schemas.openxmlformats.org/officeDocument/2006/relationships/hyperlink" Target="https://www.federalregister.gov/documents/2025/09/30/2025-18972/2025-adjustment-of-the-penalty-for-violation-of-notice-posting-requirements" TargetMode="External"/><Relationship Id="rId277"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400" Type="http://schemas.openxmlformats.org/officeDocument/2006/relationships/hyperlink" Target="https://www.healthit.gov/topic/privacy-security-and-hipaa/security-risk-assessment-tool" TargetMode="External"/><Relationship Id="rId442" Type="http://schemas.openxmlformats.org/officeDocument/2006/relationships/hyperlink" Target="https://app.leg.wa.gov/billsummary?BillNumber=5462&amp;Year=2023&amp;Initiative=false" TargetMode="External"/><Relationship Id="rId484" Type="http://schemas.openxmlformats.org/officeDocument/2006/relationships/hyperlink" Target="https://www.sf.gov/information/section-i-employer-recordkeeping-requirements-hcso-administrative-guidance" TargetMode="External"/><Relationship Id="rId705" Type="http://schemas.openxmlformats.org/officeDocument/2006/relationships/hyperlink" Target="https://apps.trustmineral.com/hr-compliance/laws/mAkPzbJE9Ud30peVBJJZr/details" TargetMode="External"/><Relationship Id="rId887" Type="http://schemas.openxmlformats.org/officeDocument/2006/relationships/hyperlink" Target="https://www.nysenate.gov/legislation/laws/LAB/206-C" TargetMode="External"/><Relationship Id="rId137" Type="http://schemas.openxmlformats.org/officeDocument/2006/relationships/hyperlink" Target="https://portal.ct.gov/-/media/chro/discriminationisillegalposter20171016pdf.pdf" TargetMode="External"/><Relationship Id="rId302" Type="http://schemas.openxmlformats.org/officeDocument/2006/relationships/hyperlink" Target="https://www.littler.com/publication-press/publication/gsa-announces-far-deviations-consistent-revocation-executive-order" TargetMode="External"/><Relationship Id="rId344" Type="http://schemas.openxmlformats.org/officeDocument/2006/relationships/hyperlink" Target="http://www.cms.gov/Medicare/Prescription-Drug-Coverage/CreditableCoverage/Downloads/ModelNonCreditableCoverageDisclosureNotice051711.pdf" TargetMode="External"/><Relationship Id="rId691" Type="http://schemas.openxmlformats.org/officeDocument/2006/relationships/hyperlink" Target="https://www.ilga.gov/legislation/fulltext.asp?DocName=&amp;SessionId=112&amp;GA=103&amp;DocTypeId=HB&amp;DocNum=3733&amp;GAID=17&amp;LegID=&amp;SpecSess=&amp;Session=" TargetMode="External"/><Relationship Id="rId747" Type="http://schemas.openxmlformats.org/officeDocument/2006/relationships/hyperlink" Target="https://www.sec.state.ma.us/divisions/corporations/eeo-data-reports.htm" TargetMode="External"/><Relationship Id="rId789" Type="http://schemas.openxmlformats.org/officeDocument/2006/relationships/hyperlink" Target="https://www.dli.mn.gov/sick-leave" TargetMode="External"/><Relationship Id="rId912" Type="http://schemas.openxmlformats.org/officeDocument/2006/relationships/hyperlink" Target="https://www.oregon.gov/boli/about/Documents/BLI_14-2024TrackedChanges.pdf" TargetMode="External"/><Relationship Id="rId954" Type="http://schemas.openxmlformats.org/officeDocument/2006/relationships/image" Target="media/image7.png"/><Relationship Id="rId996" Type="http://schemas.openxmlformats.org/officeDocument/2006/relationships/hyperlink" Target="https://lawfilesext.leg.wa.gov/biennium/2025-26/Pdf/Bill%20Reports/Senate/5408-S%20SBR%20HA%2025.pdf?q=20250422131809" TargetMode="External"/><Relationship Id="rId41" Type="http://schemas.openxmlformats.org/officeDocument/2006/relationships/hyperlink" Target="https://labor.illinois.gov/content/dam/soi/en/web/idol/2025-updated-chicago-address-forms/25_OSHA_%20JobSafetyAndHealth_NewLogo.pdf" TargetMode="External"/><Relationship Id="rId83" Type="http://schemas.openxmlformats.org/officeDocument/2006/relationships/hyperlink" Target="https://labor.maryland.gov/labor/mosh/pdf/moshprivatesectorposter.pdf" TargetMode="External"/><Relationship Id="rId179" Type="http://schemas.openxmlformats.org/officeDocument/2006/relationships/hyperlink" Target="https://data.dol.gov/" TargetMode="External"/><Relationship Id="rId386" Type="http://schemas.openxmlformats.org/officeDocument/2006/relationships/hyperlink" Target="https://www.morganlewis.com/pubs/2024/07/osha-issues-landmark-proposed-heat-rule-for-indoor-and-outdoo" TargetMode="External"/><Relationship Id="rId551" Type="http://schemas.openxmlformats.org/officeDocument/2006/relationships/hyperlink" Target="https://www.sandiegocounty.gov/content/dam/sdc/pds/bldg/adu_info/UnincorporatedMap.pdf" TargetMode="External"/><Relationship Id="rId593"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607" Type="http://schemas.openxmlformats.org/officeDocument/2006/relationships/hyperlink" Target="https://nam12.safelinks.protection.outlook.com/?url=https%3A%2F%2Flinks-2.govdelivery.com%2FCL0%2Fhttps%3A%252F%252Fdrive.google.com%252Ffile%252Fd%252F1D2oFYTbY2EkcQt1k29WoGKGY4UMD78qr%252Fview%253Fusp%3Dsharing%2526utm_medium%3Dgovdelivery%2526utm_source%3Demail%2F1%2F0101019bc393bd17-bf13cdb5-bb99-42df-a3a4-bec4b8e69672-000000%2FYbYPPztVUunxPt7FLNhxj8iAJiH7m3fQ6O3rviP3wFg%3D440&amp;data=05%7C02%7Cmiriam.kelliher%40zywave.com%7Ca960df4ffe404a78603808de547db32a%7Cbd0c095f5d664273a20964796ae91974%7C0%7C0%7C639041096543135926%7CUnknown%7CTWFpbGZsb3d8eyJFbXB0eU1hcGkiOnRydWUsIlYiOiIwLjAuMDAwMCIsIlAiOiJXaW4zMiIsIkFOIjoiTWFpbCIsIldUIjoyfQ%3D%3D%7C0%7C%7C%7C&amp;sdata=howujswrvDHYMk5S2rvkpTsRHrC2%2BKorb1nX6CBjOrQ%3D&amp;reserved=0" TargetMode="External"/><Relationship Id="rId649" Type="http://schemas.openxmlformats.org/officeDocument/2006/relationships/hyperlink" Target="https://labor.illinois.gov/laws-rules/conmed/eprc-faqs.html" TargetMode="External"/><Relationship Id="rId814" Type="http://schemas.openxmlformats.org/officeDocument/2006/relationships/image" Target="media/image5.png"/><Relationship Id="rId856" Type="http://schemas.openxmlformats.org/officeDocument/2006/relationships/hyperlink" Target="https://www.nysenate.gov/legislation/laws/WKC/203" TargetMode="External"/><Relationship Id="rId190" Type="http://schemas.openxmlformats.org/officeDocument/2006/relationships/hyperlink" Target="https://www.gc.nh.gov/rsa/html/XXIII/275/275-70-a.htm" TargetMode="External"/><Relationship Id="rId204" Type="http://schemas.openxmlformats.org/officeDocument/2006/relationships/hyperlink" Target="https://www.dol.gov/sites/dolgov/files/WHD/opinion-letters/FLSA/FLSA2026-4.pdf" TargetMode="External"/><Relationship Id="rId246" Type="http://schemas.openxmlformats.org/officeDocument/2006/relationships/hyperlink" Target="http://www.irs.gov/pub/irs-drop/rp-25-25.pdf" TargetMode="External"/><Relationship Id="rId288" Type="http://schemas.openxmlformats.org/officeDocument/2006/relationships/hyperlink" Target="https://storage.courtlistener.com/recap/gov.uscourts.ca4.177868/gov.uscourts.ca4.177868.29.0.pdf" TargetMode="External"/><Relationship Id="rId411" Type="http://schemas.openxmlformats.org/officeDocument/2006/relationships/hyperlink" Target="https://www.eeoc.gov/questions-and-answers-employees-harassment-work" TargetMode="External"/><Relationship Id="rId453" Type="http://schemas.openxmlformats.org/officeDocument/2006/relationships/hyperlink" Target="https://www.morganlewis.com/pubs/2024/03/nlrb-blocked-from-implementing-expansive-joint-employer-rule" TargetMode="External"/><Relationship Id="rId509"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60" Type="http://schemas.openxmlformats.org/officeDocument/2006/relationships/hyperlink" Target="https://labor.illinois.gov/laws-rules/conmed/eprc.html" TargetMode="External"/><Relationship Id="rId898" Type="http://schemas.openxmlformats.org/officeDocument/2006/relationships/hyperlink" Target="https://www.oregon.gov/boli/pages/index.aspx" TargetMode="External"/><Relationship Id="rId106" Type="http://schemas.openxmlformats.org/officeDocument/2006/relationships/hyperlink" Target="https://does.dc.gov/sites/default/files/dc/sites/does/publication/attachments/2025%20Universal%20Wage%20Law%20Poster_Updated.pdf" TargetMode="External"/><Relationship Id="rId313" Type="http://schemas.openxmlformats.org/officeDocument/2006/relationships/hyperlink" Target="https://www.whitehouse.gov/presidential-actions/2025/01/ending-illegal-discrimination-and-restoring-merit-based-opportunity/" TargetMode="External"/><Relationship Id="rId495"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16" Type="http://schemas.openxmlformats.org/officeDocument/2006/relationships/hyperlink" Target="https://mgaleg.maryland.gov/mgawebsite/Laws/StatuteText?article=gle&amp;section=3-1201&amp;enactments=False&amp;archived=False" TargetMode="External"/><Relationship Id="rId758" Type="http://schemas.openxmlformats.org/officeDocument/2006/relationships/hyperlink" Target="https://www.mass.gov/info-details/paid-family-and-medical-leave-employer-contribution-rates-and-calculator" TargetMode="External"/><Relationship Id="rId923" Type="http://schemas.openxmlformats.org/officeDocument/2006/relationships/hyperlink" Target="https://pittsburgh.legistar.com/LegislationDetail.aspx?ID=7300871&amp;GUID=6642B7D1-BF87-4365-B477-257CC512A1CF&amp;Options=&amp;Search=&amp;FullText=1" TargetMode="External"/><Relationship Id="rId965" Type="http://schemas.openxmlformats.org/officeDocument/2006/relationships/hyperlink" Target="https://lis.virginia.gov/cgi-bin/legp604.exe?241+ful+CHAP0584" TargetMode="External"/><Relationship Id="rId10" Type="http://schemas.openxmlformats.org/officeDocument/2006/relationships/hyperlink" Target="https://www.uscis.gov/sites/default/files/document/forms/i-9.pdf" TargetMode="External"/><Relationship Id="rId52" Type="http://schemas.openxmlformats.org/officeDocument/2006/relationships/hyperlink" Target="https://mn.gov/deed/assets/paid-leave-mandatory-employer-poster-acc_tcm1045-700342.pdf" TargetMode="External"/><Relationship Id="rId94" Type="http://schemas.openxmlformats.org/officeDocument/2006/relationships/hyperlink" Target="https://mn.gov/deed/assets/paid-leave-mandatory-employer-poster-acc_tcm1045-700342.pdf" TargetMode="External"/><Relationship Id="rId148" Type="http://schemas.openxmlformats.org/officeDocument/2006/relationships/hyperlink" Target="https://www.irs.gov/affordable-care-act/patient-centered-outreach-research-institute-filing-due-dates-and-applicable-rates" TargetMode="External"/><Relationship Id="rId355" Type="http://schemas.openxmlformats.org/officeDocument/2006/relationships/hyperlink" Target="https://www.irs.gov/pub/irs-dft/f1095c--dft.pdf" TargetMode="External"/><Relationship Id="rId397" Type="http://schemas.openxmlformats.org/officeDocument/2006/relationships/hyperlink" Target="https://www.hhs.gov/hipaa/for-professionals/breach-notification/index.html" TargetMode="External"/><Relationship Id="rId520" Type="http://schemas.openxmlformats.org/officeDocument/2006/relationships/hyperlink" Target="https://leginfo.legislature.ca.gov/faces/billNavClient.xhtml?bill_id=202520260SB261" TargetMode="External"/><Relationship Id="rId562" Type="http://schemas.openxmlformats.org/officeDocument/2006/relationships/hyperlink" Target="https://leginfo.legislature.ca.gov/faces/billCompareClient.xhtml?bill_id=202320240SB1100&amp;showamends=false" TargetMode="External"/><Relationship Id="rId618" Type="http://schemas.openxmlformats.org/officeDocument/2006/relationships/hyperlink" Target="https://www.jacksonlewis.com/sites/default/files/2026-03/Connecticut-298.pdf" TargetMode="External"/><Relationship Id="rId825" Type="http://schemas.openxmlformats.org/officeDocument/2006/relationships/hyperlink" Target="https://www.gencourt.state.nh.us/bill_status/billinfo.aspx?id=1204&amp;inflect=2" TargetMode="External"/><Relationship Id="rId215" Type="http://schemas.openxmlformats.org/officeDocument/2006/relationships/hyperlink" Target="https://u4664138.ct.sendgrid.net/ls/click?upn=u001.-2BvR921dwSdNdTO8WsXTOoFwDaFp80ql-2Fn16gWReKkD19tibgckO1lDcE4pHJNkah5mFoFCgx67Z9UEM6ut-2B6PA-2F9OBF3tEV2b5Ctuy1iIOQ-3D25JZ_pZjfBIpLjMFCpu6xHFn7DWABExhsgTHcqiJ060gTkgzEATmBUNXNmW3P5SmbWvnmbIYQfDkrS-2FJBocqEoJt5MEoWZxGI0LRXVt0xU-2BuFEWxv7TYxpa1TbznnyPV7WyCn-2Brni5CAZKZFiPY41YncZ35W-2Btj8i2EF4khpDMYHyJydiMvX9-2Bnf8-2BZ-2B4uNaCalNaiMQZWh59yXgwiuqpUdX9cAL7LKpHFnfBIF3l4CoHvc5m-2FsRY34kisNUsR-2BM39L-2B7rQX2Mu-2F7-2B7T5wenuVWuqSg-3D-3D" TargetMode="External"/><Relationship Id="rId257" Type="http://schemas.openxmlformats.org/officeDocument/2006/relationships/hyperlink" Target="https://www.laborandemploymentlawinsights.com/2025/07/important-new-reporting-rules-for-overtime-pay-and-tipped-income/" TargetMode="External"/><Relationship Id="rId422"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464" Type="http://schemas.openxmlformats.org/officeDocument/2006/relationships/hyperlink" Target="https://www.usnews.com/news/national-news/articles/2023-12-28/why-were-there-so-many-strikes-in-2023-and-what-does-it-mean-for-2024)" TargetMode="External"/><Relationship Id="rId867" Type="http://schemas.openxmlformats.org/officeDocument/2006/relationships/hyperlink" Target="https://www.nyc.gov/assets/cchr/downloads/pdf/lactationroomrequestform.docx" TargetMode="External"/><Relationship Id="rId1010" Type="http://schemas.openxmlformats.org/officeDocument/2006/relationships/theme" Target="theme/theme1.xml"/><Relationship Id="rId299" Type="http://schemas.openxmlformats.org/officeDocument/2006/relationships/hyperlink" Target="https://www.irs.gov/pub/irs-drop/n-25-15.pdf" TargetMode="External"/><Relationship Id="rId727" Type="http://schemas.openxmlformats.org/officeDocument/2006/relationships/hyperlink" Target="https://dsd.maryland.gov/MDRIssues/5119/Assembled.aspx" TargetMode="External"/><Relationship Id="rId934" Type="http://schemas.openxmlformats.org/officeDocument/2006/relationships/hyperlink" Target="https://webserver.rilegislature.gov/BillText24/HouseText24/H7171Aaa.htm" TargetMode="External"/><Relationship Id="rId63" Type="http://schemas.openxmlformats.org/officeDocument/2006/relationships/hyperlink" Target="https://labor.vermont.gov/document/accommodations-pregnant-employees-poster" TargetMode="External"/><Relationship Id="rId159" Type="http://schemas.openxmlformats.org/officeDocument/2006/relationships/hyperlink" Target="https://regtap.cms.gov/reg_librarye.php?i=3860" TargetMode="External"/><Relationship Id="rId366" Type="http://schemas.openxmlformats.org/officeDocument/2006/relationships/hyperlink" Target="https://www.dol.gov/general/AI-Principles" TargetMode="External"/><Relationship Id="rId573" Type="http://schemas.openxmlformats.org/officeDocument/2006/relationships/hyperlink" Target="https://edd.ca.gov/disability/" TargetMode="External"/><Relationship Id="rId780" Type="http://schemas.openxmlformats.org/officeDocument/2006/relationships/hyperlink" Target="https://mn.gov/deed/assets/paid-leave-notice-employee_tcm1045-707783.docx" TargetMode="External"/><Relationship Id="rId226" Type="http://schemas.openxmlformats.org/officeDocument/2006/relationships/hyperlink" Target="https://www.eeoc.gov/national-origin-discrimination" TargetMode="External"/><Relationship Id="rId433" Type="http://schemas.openxmlformats.org/officeDocument/2006/relationships/hyperlink" Target="https://www.eeoc.gov/wysk/what-you-should-know-about-pregnant-workers-fairness-act" TargetMode="External"/><Relationship Id="rId878" Type="http://schemas.openxmlformats.org/officeDocument/2006/relationships/hyperlink" Target="https://nyassembly.gov/leg/?default_fld=&amp;leg_video=&amp;bn=A08947&amp;term=2023&amp;Summary=Y&amp;Actions=Y&amp;Committee%26nbspVotes=Y&amp;Floor%26nbspVotes=Y&amp;Memo=Y&amp;Text=Y" TargetMode="External"/><Relationship Id="rId640" Type="http://schemas.openxmlformats.org/officeDocument/2006/relationships/hyperlink" Target="https://www.ilga.gov/Legislation/BillStatus/FullText?GAID=18&amp;DocNum=2339&amp;DocTypeID=SB&amp;LegId=162276&amp;SessionID=114" TargetMode="External"/><Relationship Id="rId738" Type="http://schemas.openxmlformats.org/officeDocument/2006/relationships/hyperlink" Target="https://www.sec.state.ma.us/divisions/corporations/eeo-data-reports.htm?_cldee=vx-4skTOlyozBKoGAwYo9AGwJxHnDTNkjFxv6jFPs4qq4ooG09jTTQoV3CcWQnQs&amp;recipientid=contact-c207944f75dbee11904d000d3a578542-5ee5a74ad0ed4bf888d925224f92af46&amp;esid=4d9b3bc5-e7e7-f011-8544-7c1e5218805e" TargetMode="External"/><Relationship Id="rId945" Type="http://schemas.openxmlformats.org/officeDocument/2006/relationships/hyperlink" Target="https://legiscan.com/UT/text/SB0111/2026" TargetMode="External"/><Relationship Id="rId74" Type="http://schemas.openxmlformats.org/officeDocument/2006/relationships/hyperlink" Target="https://dlt.ri.gov/employers/required-workplace-posters" TargetMode="External"/><Relationship Id="rId377" Type="http://schemas.openxmlformats.org/officeDocument/2006/relationships/hyperlink" Target="https://www.ca5.uscourts.gov/opinions/pub/23/23-50724-CV0.pdf" TargetMode="External"/><Relationship Id="rId500" Type="http://schemas.openxmlformats.org/officeDocument/2006/relationships/hyperlink" Target="https://leginfo.legislature.ca.gov/faces/billCompareClient.xhtml?bill_id=202520260SB464&amp;showamends=false" TargetMode="External"/><Relationship Id="rId584" Type="http://schemas.openxmlformats.org/officeDocument/2006/relationships/hyperlink" Target="https://calcivilrights.ca.gov/fair-chance-act/" TargetMode="External"/><Relationship Id="rId805" Type="http://schemas.openxmlformats.org/officeDocument/2006/relationships/hyperlink" Target="https://labor.mo.gov/dls/proposition-a-paid-sick-time-benefits-faqs" TargetMode="External"/><Relationship Id="rId5" Type="http://schemas.openxmlformats.org/officeDocument/2006/relationships/webSettings" Target="webSettings.xml"/><Relationship Id="rId237"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791" Type="http://schemas.openxmlformats.org/officeDocument/2006/relationships/hyperlink" Target="https://www.dli.mn.gov/breaks" TargetMode="External"/><Relationship Id="rId889"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444" Type="http://schemas.openxmlformats.org/officeDocument/2006/relationships/hyperlink" Target="https://columbus.legistar.com/LegislationDetail.aspx?ID=6049069&amp;GUID=5751054E-6C9F-4B8C-8CB9-12703D38024F&amp;FullText=1" TargetMode="External"/><Relationship Id="rId651" Type="http://schemas.openxmlformats.org/officeDocument/2006/relationships/hyperlink" Target="https://labor.illinois.gov/content/dam/soi/en/web/idol/laws-rules/conmed/documents/eprc/EPRC%20July2025%20Updates.pdf" TargetMode="External"/><Relationship Id="rId749" Type="http://schemas.openxmlformats.org/officeDocument/2006/relationships/hyperlink" Target="https://www.mass.gov/doc/h4890-signing/download" TargetMode="External"/><Relationship Id="rId290" Type="http://schemas.openxmlformats.org/officeDocument/2006/relationships/hyperlink" Target="https://www.federalregister.gov/documents/2025/01/31/2025-02097/ending-illegal-discrimination-and-restoring-merit-based-opportunity" TargetMode="External"/><Relationship Id="rId304" Type="http://schemas.openxmlformats.org/officeDocument/2006/relationships/hyperlink" Target="https://www.dol.gov/agencies/ebsa/about-ebsa/our-activities/enforcement" TargetMode="External"/><Relationship Id="rId388" Type="http://schemas.openxmlformats.org/officeDocument/2006/relationships/hyperlink" Target="https://storage.courtlistener.com/recap/gov.uscourts.txnd.389064/gov.uscourts.txnd.389064.153.0_1.pdf" TargetMode="External"/><Relationship Id="rId51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09" Type="http://schemas.openxmlformats.org/officeDocument/2006/relationships/hyperlink" Target="https://leg.colorado.gov/sites/default/files/2025a_144_signed.pdf" TargetMode="External"/><Relationship Id="rId956" Type="http://schemas.openxmlformats.org/officeDocument/2006/relationships/hyperlink" Target="https://lis.virginia.gov/bill-details/20261/SB215/text/SB215ER2" TargetMode="External"/><Relationship Id="rId85" Type="http://schemas.openxmlformats.org/officeDocument/2006/relationships/hyperlink" Target="https://www.nj.gov/labor/wageandhour/assets/PDFs/Employer%20Poster%20Packet/PR-2%20(9-25).pdf" TargetMode="External"/><Relationship Id="rId150" Type="http://schemas.openxmlformats.org/officeDocument/2006/relationships/hyperlink" Target="https://www.ice.gov/factsheets/i9-inspection" TargetMode="External"/><Relationship Id="rId595"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816" Type="http://schemas.openxmlformats.org/officeDocument/2006/relationships/hyperlink" Target="https://www.leg.state.nv.us/App/NELIS/REL/83rd2025/Bill/12609/Text" TargetMode="External"/><Relationship Id="rId1001" Type="http://schemas.openxmlformats.org/officeDocument/2006/relationships/hyperlink" Target="https://paidleave.wa.gov/help-center/employers/" TargetMode="External"/><Relationship Id="rId248" Type="http://schemas.openxmlformats.org/officeDocument/2006/relationships/hyperlink" Target="https://www.justice.gov/ag/media/1409486/dl?inline&amp;utm_medium=email&amp;utm_source=govdelivery" TargetMode="External"/><Relationship Id="rId455" Type="http://schemas.openxmlformats.org/officeDocument/2006/relationships/hyperlink" Target="https://www.morganlewis.com/pubs/2024/03/nlrb-blocked-from-implementing-expansive-joint-employer-rule" TargetMode="External"/><Relationship Id="rId662" Type="http://schemas.openxmlformats.org/officeDocument/2006/relationships/hyperlink" Target="https://www.ilga.gov/legislation/publicacts/fulltext.asp?Name=103-0867" TargetMode="External"/><Relationship Id="rId12" Type="http://schemas.openxmlformats.org/officeDocument/2006/relationships/hyperlink" Target="https://www.dol.gov/agencies/ebsa/laws-and-regulations/rules-and-regulations/public-comments/2010-2409" TargetMode="External"/><Relationship Id="rId108" Type="http://schemas.openxmlformats.org/officeDocument/2006/relationships/hyperlink" Target="https://www.oregon.gov/boli/employers/Documents/BOLI_Printable_MinWage.pdf" TargetMode="External"/><Relationship Id="rId315"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522" Type="http://schemas.openxmlformats.org/officeDocument/2006/relationships/hyperlink" Target="https://leginfo.legislature.ca.gov/faces/billCompareClient.xhtml?bill_id=202520260SB590&amp;showamends=false" TargetMode="External"/><Relationship Id="rId967" Type="http://schemas.openxmlformats.org/officeDocument/2006/relationships/hyperlink" Target="https://law.lis.virginia.gov/vacode/title65.2/chapter3/section65.2-302/" TargetMode="External"/><Relationship Id="rId96" Type="http://schemas.openxmlformats.org/officeDocument/2006/relationships/hyperlink" Target="https://www.labor.nc.gov/wage-and-hour-poster/open" TargetMode="External"/><Relationship Id="rId161" Type="http://schemas.openxmlformats.org/officeDocument/2006/relationships/hyperlink" Target="https://www.hhs.gov/hipaa/for-professionals/privacy/guidance/model-notices-privacy-practices/index.html" TargetMode="External"/><Relationship Id="rId399" Type="http://schemas.openxmlformats.org/officeDocument/2006/relationships/hyperlink" Target="https://www.youtube.com/watch?v=hxfxhokzKEU" TargetMode="External"/><Relationship Id="rId827" Type="http://schemas.openxmlformats.org/officeDocument/2006/relationships/hyperlink" Target="https://www.gencourt.state.nh.us/bill_status/billinfo.aspx?id=1810&amp;inflect=2" TargetMode="External"/><Relationship Id="rId259" Type="http://schemas.openxmlformats.org/officeDocument/2006/relationships/hyperlink" Target="https://www.foley.com/p/102kv6k/the-one-big-beautiful-bill-and-workplace-immigration-enforcement/" TargetMode="External"/><Relationship Id="rId466" Type="http://schemas.openxmlformats.org/officeDocument/2006/relationships/hyperlink" Target="https://hrdailyadvisor.blr.com/podcast/hr-work-break-keeping-employees-engaged/?source=HAC&amp;effort=44&amp;utm_source=BLR&amp;utm_medium=Email&amp;utm_campaign=HRDAEmail" TargetMode="External"/><Relationship Id="rId673" Type="http://schemas.openxmlformats.org/officeDocument/2006/relationships/hyperlink" Target="https://www.ilga.gov/legislation/publicacts/103/103-0721.htm" TargetMode="External"/><Relationship Id="rId880" Type="http://schemas.openxmlformats.org/officeDocument/2006/relationships/hyperlink" Target="https://assembly.state.ny.us/leg/?default_fld=&amp;Text=Y&amp;term=2023&amp;bn=S5081" TargetMode="External"/><Relationship Id="rId23" Type="http://schemas.openxmlformats.org/officeDocument/2006/relationships/hyperlink" Target="https://labor.vermont.gov/sites/labor/files/documents/Unemployment%20Insurance%20Mandatory%20Poster_Updated%200426.pdf" TargetMode="External"/><Relationship Id="rId119" Type="http://schemas.openxmlformats.org/officeDocument/2006/relationships/hyperlink" Target="https://www.maine.gov/paidleave/docs/2025/employerresources/englishposter.pdf" TargetMode="External"/><Relationship Id="rId326" Type="http://schemas.openxmlformats.org/officeDocument/2006/relationships/hyperlink" Target="https://www.congress.gov/bill/116th-congress/house-bill/133/actions" TargetMode="External"/><Relationship Id="rId533" Type="http://schemas.openxmlformats.org/officeDocument/2006/relationships/hyperlink" Target="https://calcivilrights.ca.gov/wp-content/uploads/sites/32/2025/06/Final-Text-regulations-automated-employment-decision-systems.pdf" TargetMode="External"/><Relationship Id="rId978" Type="http://schemas.openxmlformats.org/officeDocument/2006/relationships/hyperlink" Target="https://paidleave.wa.gov/employer-roles-responsibilities/" TargetMode="External"/><Relationship Id="rId740" Type="http://schemas.openxmlformats.org/officeDocument/2006/relationships/hyperlink" Target="https://www.mass.gov/info-details/pfml-workplace-poster-notices-and-rate-sheets-for-massachusetts-employers" TargetMode="External"/><Relationship Id="rId838" Type="http://schemas.openxmlformats.org/officeDocument/2006/relationships/hyperlink" Target="https://www.nysenate.gov/legislation/bills/2025/S8822" TargetMode="External"/><Relationship Id="rId172" Type="http://schemas.openxmlformats.org/officeDocument/2006/relationships/hyperlink" Target="https://public-inspection.federalregister.gov/2026-03955.pdf" TargetMode="External"/><Relationship Id="rId477" Type="http://schemas.openxmlformats.org/officeDocument/2006/relationships/hyperlink" Target="https://www.elections.alaska.gov/doc/oep/2024/Ballot%20Measure%201_Eng.pdf" TargetMode="External"/><Relationship Id="rId600" Type="http://schemas.openxmlformats.org/officeDocument/2006/relationships/hyperlink" Target="https://leginfo.legislature.ca.gov/faces/billTextClient.xhtml?bill_id=202320240AB636" TargetMode="External"/><Relationship Id="rId684" Type="http://schemas.openxmlformats.org/officeDocument/2006/relationships/hyperlink" Target="https://labor.illinois.gov/content/dam/soi/en/web/idol/laws-rules/conmed/documents/EPRC%20Exemption-Business%20Name%20Change%20Form.pdf" TargetMode="External"/><Relationship Id="rId337" Type="http://schemas.openxmlformats.org/officeDocument/2006/relationships/hyperlink" Target="https://www.irs.gov/affordable-care-act/employers/questions-and-answers-about-information-reporting-by-employers-on-form-1094-c-and-form-1095-c" TargetMode="External"/><Relationship Id="rId891" Type="http://schemas.openxmlformats.org/officeDocument/2006/relationships/hyperlink" Target="https://www.clevelandcitycouncil.org/pdf/web/viewer.html?file=/sites/default/files/2025-05/City%20Record%205-9-25.pdf" TargetMode="External"/><Relationship Id="rId905" Type="http://schemas.openxmlformats.org/officeDocument/2006/relationships/hyperlink" Target="https://olis.oregonlegislature.gov/liz/2025R1/Downloads/MeasureDocument/HB3187/Enrolled" TargetMode="External"/><Relationship Id="rId989" Type="http://schemas.openxmlformats.org/officeDocument/2006/relationships/hyperlink" Target="https://app.leg.wa.gov/RCW/default.aspx?cite=49.48" TargetMode="External"/><Relationship Id="rId34" Type="http://schemas.openxmlformats.org/officeDocument/2006/relationships/hyperlink" Target="C://Users/MariciaMeyer/Downloads/Mandatory-poster-2026.pdf" TargetMode="External"/><Relationship Id="rId544"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751" Type="http://schemas.openxmlformats.org/officeDocument/2006/relationships/hyperlink" Target="https://www.mass.gov/info-details/pfml-workplace-poster-notices-and-rate-sheets-for-massachusetts-employers" TargetMode="External"/><Relationship Id="rId849" Type="http://schemas.openxmlformats.org/officeDocument/2006/relationships/hyperlink" Target="https://www.health.ny.gov/diseases/aids/general/opioid_overdose_prevention/good_samaritan_law.htm" TargetMode="External"/><Relationship Id="rId183" Type="http://schemas.openxmlformats.org/officeDocument/2006/relationships/hyperlink" Target="https://cdle.colorado.gov/sites/cdle/files/proposed_2026_pay_calc_order_7_ccr_1103-14_9.30.25.pdf" TargetMode="External"/><Relationship Id="rId390" Type="http://schemas.openxmlformats.org/officeDocument/2006/relationships/hyperlink" Target="https://www.eeocdata.org/eeo1" TargetMode="External"/><Relationship Id="rId404" Type="http://schemas.openxmlformats.org/officeDocument/2006/relationships/hyperlink" Target="https://www.fincen.gov/sites/default/files/shared/Corporate_Transparency_Act.pdf" TargetMode="External"/><Relationship Id="rId611" Type="http://schemas.openxmlformats.org/officeDocument/2006/relationships/hyperlink" Target="https://leg.colorado.gov/sites/default/files/2025a_144_signed.pdf" TargetMode="External"/><Relationship Id="rId250" Type="http://schemas.openxmlformats.org/officeDocument/2006/relationships/hyperlink" Target="https://www.mayerbrown.com/en/insights/publications/2025/04/doj-and-eeoc-issue-guidance-regarding-unlawful-dei-related-discrimination" TargetMode="External"/><Relationship Id="rId488" Type="http://schemas.openxmlformats.org/officeDocument/2006/relationships/hyperlink" Target="https://calcivilrights.ca.gov/wp-content/uploads/sites/32/2025/11/2025-California-Pay-Data-Reporting-Frequently-Asked-Questions-on-Pay-Data-Reporting-Templates-Preliminary-Version.pdf" TargetMode="External"/><Relationship Id="rId695" Type="http://schemas.openxmlformats.org/officeDocument/2006/relationships/hyperlink" Target="https://www.legis.iowa.gov/docs/publications/LGE/91/Attachments/HF248_GovLetter.pdf" TargetMode="External"/><Relationship Id="rId709" Type="http://schemas.openxmlformats.org/officeDocument/2006/relationships/hyperlink" Target="https://paidleave.maryland.gov/files/famli-faqs-april-2026.pdf" TargetMode="External"/><Relationship Id="rId916" Type="http://schemas.openxmlformats.org/officeDocument/2006/relationships/hyperlink" Target="https://secure.sos.state.or.us/oard/viewReceiptPDF.action?filingRsn=56648" TargetMode="External"/><Relationship Id="rId45" Type="http://schemas.openxmlformats.org/officeDocument/2006/relationships/hyperlink" Target="https://www.workerscomp.nm.gov/wp-content/uploads/2025/08/WCA_Poster_2025.pdf" TargetMode="External"/><Relationship Id="rId110" Type="http://schemas.openxmlformats.org/officeDocument/2006/relationships/hyperlink" Target="https://www.oregon.gov/boli/employers/Documents/BOLI_Printable_Equal_Pay.pdf" TargetMode="External"/><Relationship Id="rId348" Type="http://schemas.openxmlformats.org/officeDocument/2006/relationships/hyperlink" Target="https://dcboe.org/data,-maps,-forms/forms-and-resources" TargetMode="External"/><Relationship Id="rId555" Type="http://schemas.openxmlformats.org/officeDocument/2006/relationships/hyperlink" Target="https://www.dir.ca.gov/iwc/MW-2024-HC-SUPPLEMENT.pdf" TargetMode="External"/><Relationship Id="rId762"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94" Type="http://schemas.openxmlformats.org/officeDocument/2006/relationships/hyperlink" Target="https://doli.virginia.gov/2026/01/06/notice-of-the-average-weekly-wage-for-2026/" TargetMode="External"/><Relationship Id="rId208" Type="http://schemas.openxmlformats.org/officeDocument/2006/relationships/hyperlink" Target="https://www.dol.gov/sites/dolgov/files/EBSA/about-ebsa/our-activities/resource-center/fact-sheets/mewa-enforcement-guide.pdf" TargetMode="External"/><Relationship Id="rId415" Type="http://schemas.openxmlformats.org/officeDocument/2006/relationships/hyperlink" Target="https://www.whitehouse.gov/briefing-room/statements-releases/2024/05/16/fact-sheet-biden-harris-administration-unveils-critical-steps-to-protect-workers-from-risks-of-artificial-intelligence/" TargetMode="External"/><Relationship Id="rId622" Type="http://schemas.openxmlformats.org/officeDocument/2006/relationships/hyperlink" Target="https://labor.delaware.gov/delaware-paid-leave/employers/" TargetMode="External"/><Relationship Id="rId261" Type="http://schemas.openxmlformats.org/officeDocument/2006/relationships/hyperlink" Target="https://judiciary.house.gov/media/press-releases/big-beautiful-border-security" TargetMode="External"/><Relationship Id="rId499" Type="http://schemas.openxmlformats.org/officeDocument/2006/relationships/hyperlink" Target="https://leginfo.legislature.ca.gov/faces/billTextClient.xhtml?bill_id=202520260AB406" TargetMode="External"/><Relationship Id="rId927" Type="http://schemas.openxmlformats.org/officeDocument/2006/relationships/hyperlink" Target="https://u4664138.ct.sendgrid.net/ls/click?upn=u001.-2BvR921dwSdNdTO8WsXTOoBizBEWBLVOJfbhWpB2aYOdMJn89Zo4CjJ9js5VTBQg0iqvz8nSw-2Fs55V4JG-2BOmWlY9Yk9ByN8ujyPtnfglpn8s-3DbvrG_pZjfBIpLjMFCpu6xHFn7DWABExhsgTHcqiJ060gTkgzEATmBUNXNmW3P5SmbWvnmVTKJj0B22qFfPKXwOWHP8fpkdChIBspMzl2hP4Dd85dWlMSu8O0Iz2MHn72dnr-2B29bRwON6KRqvKjbSJvHzI92RJLyDVVsfws1-2Fng1ASRe223qkmysdLCsYfg34SaFHN6P6-2F9vkPszFXkUwhAwHf-2BpmIjeMyp2ZpC346goj3GRGQu9-2BrhbT2MjT7EakgS-2BoZJHJ9CJ-2FVskF3EGVZrPE7hb9VzUkPFkgO4RVXTJq3WM0-3D" TargetMode="External"/><Relationship Id="rId56" Type="http://schemas.openxmlformats.org/officeDocument/2006/relationships/hyperlink" Target="https://erd.dli.mt.gov/labor-standards/wage-and-hour-payment-act/state-minimum-wage" TargetMode="External"/><Relationship Id="rId359" Type="http://schemas.openxmlformats.org/officeDocument/2006/relationships/hyperlink" Target="https://www.irs.gov/affordable-care-act/employers/information-reporting-by-applicable-large-employers" TargetMode="External"/><Relationship Id="rId566" Type="http://schemas.openxmlformats.org/officeDocument/2006/relationships/hyperlink" Target="https://leginfo.legislature.ca.gov/faces/billTextClient.xhtml?bill_id=202320240SB1105" TargetMode="External"/><Relationship Id="rId773" Type="http://schemas.openxmlformats.org/officeDocument/2006/relationships/hyperlink" Target="https://www.michigan.gov/leo/bureaus-agencies/ber/wage-and-hour/paid-medical-leave-act" TargetMode="External"/><Relationship Id="rId121" Type="http://schemas.openxmlformats.org/officeDocument/2006/relationships/hyperlink" Target="https://www.michigan.gov/leo/bureaus-agencies/wd/panel-veterans/resources/veterans-workplace-poster" TargetMode="External"/><Relationship Id="rId219" Type="http://schemas.openxmlformats.org/officeDocument/2006/relationships/hyperlink" Target="https://u4664138.ct.sendgrid.net/ls/click?upn=u001.-2BvR921dwSdNdTO8WsXTOoJElvHSKX8vE9jswJf76NEVJcr-2BnjM-2FMRszAqVg3eaESEjHD_pZjfBIpLjMFCpu6xHFn7DWABExhsgTHcqiJ060gTkgzEATmBUNXNmW3P5SmbWvnmbIYQfDkrS-2FJBocqEoJt5MEoWZxGI0LRXVt0xU-2BuFEWx0T8qgcQjx8BocZNUBP4iyTlavsusMAuYEt0sQEyi6foUzPZTAmsXMEo5ubaXFHhjCBcrut5y883o2rhPncVBE2dluy5Z6M7J98Izh8g3-2FtFaKCRlbiaIbx6w1QdKOjocG3o9RvT-2B1myGvR8UJb7-2BzpO6wctj3zVkSv4m29WB-2B-2Bg-3D-3D" TargetMode="External"/><Relationship Id="rId426"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633"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980" Type="http://schemas.openxmlformats.org/officeDocument/2006/relationships/hyperlink" Target="https://lawfilesext.leg.wa.gov/biennium/2025-26/Pdf/Bills/Session%20Laws/House/1213-S2.SL.pdf?q=20250710115316" TargetMode="External"/><Relationship Id="rId840" Type="http://schemas.openxmlformats.org/officeDocument/2006/relationships/hyperlink" Target="https://www.nyc.gov/site/dca/about/Paid-Safe-Sick-Leave-Notice-of-Employee-Rights.page" TargetMode="External"/><Relationship Id="rId938" Type="http://schemas.openxmlformats.org/officeDocument/2006/relationships/hyperlink" Target="https://www.texasattorneygeneral.gov/sites/default/files/opinion-files/opinion/2026/kp-0505_0.pdf" TargetMode="External"/><Relationship Id="rId67" Type="http://schemas.openxmlformats.org/officeDocument/2006/relationships/hyperlink" Target="https://labor.vermont.gov/document/healthcare-whistleblower-poster" TargetMode="External"/><Relationship Id="rId272" Type="http://schemas.openxmlformats.org/officeDocument/2006/relationships/hyperlink" Target="https://www.cms.gov/marketplace/about/oversight/other-insurance-protections/prescription-drug-data-collection-rxdc" TargetMode="External"/><Relationship Id="rId577" Type="http://schemas.openxmlformats.org/officeDocument/2006/relationships/hyperlink" Target="https://leginfo.legislature.ca.gov/faces/billTextClient.xhtml?bill_id=202320240AB2011" TargetMode="External"/><Relationship Id="rId700" Type="http://schemas.openxmlformats.org/officeDocument/2006/relationships/hyperlink" Target="https://legislature.maine.gov/billtracker/%23Paper/sp282?legislature=132" TargetMode="External"/><Relationship Id="rId132" Type="http://schemas.openxmlformats.org/officeDocument/2006/relationships/hyperlink" Target="https://www.michigan.gov/leo/bureaus-agencies/ber/wage-and-hour/poster-wage-and-hour-posting-requirements-for-employers" TargetMode="External"/><Relationship Id="rId784" Type="http://schemas.openxmlformats.org/officeDocument/2006/relationships/hyperlink" Target="https://lims.minneapolismn.gov/Download/MetaData/40652/SignedAct.pdf" TargetMode="External"/><Relationship Id="rId991" Type="http://schemas.openxmlformats.org/officeDocument/2006/relationships/hyperlink" Target="https://app.leg.wa.gov/RCW/default.aspx?cite=9a.36.080" TargetMode="External"/><Relationship Id="rId437" Type="http://schemas.openxmlformats.org/officeDocument/2006/relationships/hyperlink" Target="https://legiscan.com/AL/text/SB129/2024" TargetMode="External"/><Relationship Id="rId644" Type="http://schemas.openxmlformats.org/officeDocument/2006/relationships/hyperlink" Target="https://www.ilga.gov/legislation/PublicActs/View/104-0078" TargetMode="External"/><Relationship Id="rId851" Type="http://schemas.openxmlformats.org/officeDocument/2006/relationships/hyperlink" Target="https://legislation.nysenate.gov/pdf/bills/2025/A584C" TargetMode="External"/><Relationship Id="rId283" Type="http://schemas.openxmlformats.org/officeDocument/2006/relationships/hyperlink" Target="https://www.constangy.com/employment-labor-insider/court-scraps-eeoc-guidance-on-pronouns-restrooms-and-dress" TargetMode="External"/><Relationship Id="rId490"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504" Type="http://schemas.openxmlformats.org/officeDocument/2006/relationships/hyperlink" Target="https://leginfo.legislature.ca.gov/faces/billNavClient.xhtml?bill_id=202520260SB261" TargetMode="External"/><Relationship Id="rId711" Type="http://schemas.openxmlformats.org/officeDocument/2006/relationships/hyperlink" Target="https://paidleave.maryland.gov/employers/private-plans/" TargetMode="External"/><Relationship Id="rId949" Type="http://schemas.openxmlformats.org/officeDocument/2006/relationships/hyperlink" Target="https://ago.vermont.gov/sites/ago/files/2024-12/Final%20Version%20of%20H%20704%20Guidance%20(12-31-24).pdf" TargetMode="External"/><Relationship Id="rId78" Type="http://schemas.openxmlformats.org/officeDocument/2006/relationships/hyperlink" Target="https://labor.arkansas.gov/wp-content/uploads/Arkansas-Department-of-Veterans-Affairs.pdf" TargetMode="External"/><Relationship Id="rId143" Type="http://schemas.openxmlformats.org/officeDocument/2006/relationships/hyperlink" Target="https://www.dir.ca.gov/dlse/whistleblowersnotice.pdf" TargetMode="External"/><Relationship Id="rId350" Type="http://schemas.openxmlformats.org/officeDocument/2006/relationships/hyperlink" Target="https://elections.ny.gov/system/files/documents/2023/08/timeofftovotenotice.pdf" TargetMode="External"/><Relationship Id="rId588" Type="http://schemas.openxmlformats.org/officeDocument/2006/relationships/hyperlink" Target="https://www.dir.ca.gov/oshsb/documents/Indoor-Heat-updated-txtbrdconsider.pdf" TargetMode="External"/><Relationship Id="rId795" Type="http://schemas.openxmlformats.org/officeDocument/2006/relationships/hyperlink" Target="https://legiscan.com/MN/text/SF17/2025/X1" TargetMode="External"/><Relationship Id="rId809" Type="http://schemas.openxmlformats.org/officeDocument/2006/relationships/hyperlink" Target="https://www.sos.mo.gov/cmsimages/Elections/Petitions/2024-038.pdf" TargetMode="External"/><Relationship Id="rId9" Type="http://schemas.openxmlformats.org/officeDocument/2006/relationships/hyperlink" Target="https://www.osha.gov/publications/poster" TargetMode="External"/><Relationship Id="rId210" Type="http://schemas.openxmlformats.org/officeDocument/2006/relationships/hyperlink" Target="https://www.govinfo.gov/content/pkg/FR-2026-01-15/pdf/2026-00653.pdf?utm_campaign=subscription+mailing+list&amp;utm_medium=email&amp;utm_source=federalregister.gov" TargetMode="External"/><Relationship Id="rId448" Type="http://schemas.openxmlformats.org/officeDocument/2006/relationships/hyperlink" Target="https://www.morganlewis.com/pubs/2024/03/nlrb-blocked-from-implementing-expansive-joint-employer-rule" TargetMode="External"/><Relationship Id="rId655" Type="http://schemas.openxmlformats.org/officeDocument/2006/relationships/hyperlink" Target="https://codelibrary.amlegal.com/codes/chicago/latest/chicago_il/0-0-0-2700855" TargetMode="External"/><Relationship Id="rId862" Type="http://schemas.openxmlformats.org/officeDocument/2006/relationships/hyperlink" Target="https://www.ny.gov/programs/new-york-state-paid-prenatal-leave" TargetMode="External"/><Relationship Id="rId294" Type="http://schemas.openxmlformats.org/officeDocument/2006/relationships/hyperlink" Target="https://www.hklaw.com/en/insights/publications/2025/03/acting-national-labor-relations-board-general-counsel-rescinds" TargetMode="External"/><Relationship Id="rId308" Type="http://schemas.openxmlformats.org/officeDocument/2006/relationships/hyperlink" Target="https://www.cms.gov/Medicare/Prescription-Drug-Coverage/CreditableCoverage/index.html?redirect=/CreditableCoverage/40_CCDisclosure.asp" TargetMode="External"/><Relationship Id="rId515" Type="http://schemas.openxmlformats.org/officeDocument/2006/relationships/hyperlink" Target="https://leginfo.legislature.ca.gov/faces/billTextClient.xhtml?bill_id=202520260AB406" TargetMode="External"/><Relationship Id="rId722" Type="http://schemas.openxmlformats.org/officeDocument/2006/relationships/hyperlink" Target="https://mgaleg.maryland.gov/2024RS/Chapters_noln/CH_322_hb0598t.pdf" TargetMode="External"/><Relationship Id="rId89" Type="http://schemas.openxmlformats.org/officeDocument/2006/relationships/hyperlink" Target="https://doli.virginia.gov/wp-content/uploads/2025/08/Job-Safety-Posters-English-August-2025.pdf" TargetMode="External"/><Relationship Id="rId154" Type="http://schemas.openxmlformats.org/officeDocument/2006/relationships/hyperlink" Target="https://www.cdc.gov/niosh/heat-stress/communication-resources/app.html" TargetMode="External"/><Relationship Id="rId361" Type="http://schemas.openxmlformats.org/officeDocument/2006/relationships/hyperlink" Target="https://www.irs.gov/affordable-care-act/employers/questions-and-answers-on-reporting-of-offers-of-health-insurance-coverage-by-employers-section-6056" TargetMode="External"/><Relationship Id="rId599" Type="http://schemas.openxmlformats.org/officeDocument/2006/relationships/hyperlink" Target="https://www.dir.ca.gov/dlse/LC_2810.5_Notice.pdf" TargetMode="External"/><Relationship Id="rId1005" Type="http://schemas.openxmlformats.org/officeDocument/2006/relationships/hyperlink" Target="https://services.statescape.com/ssu/Regs/ss_8584883298112223625.pdf" TargetMode="External"/><Relationship Id="rId459" Type="http://schemas.openxmlformats.org/officeDocument/2006/relationships/hyperlink" Target="https://public-inspection.federalregister.gov/2022-21454.pdf" TargetMode="External"/><Relationship Id="rId666" Type="http://schemas.openxmlformats.org/officeDocument/2006/relationships/hyperlink" Target="https://www.cookcountyil.gov/service/paid-leave-ordinance-and-regulations" TargetMode="External"/><Relationship Id="rId873" Type="http://schemas.openxmlformats.org/officeDocument/2006/relationships/hyperlink" Target="https://www.nyc.gov/site/cchr/law/lactation-faqs.page" TargetMode="External"/><Relationship Id="rId16" Type="http://schemas.openxmlformats.org/officeDocument/2006/relationships/hyperlink" Target="https://labor.alaska.gov/lss/forms/Summary_of_Alaska_Wage_and_Hour_Act-01-2025.pdf?q=012126" TargetMode="External"/><Relationship Id="rId221" Type="http://schemas.openxmlformats.org/officeDocument/2006/relationships/hyperlink" Target="https://www.uscis.gov/policy-manual" TargetMode="External"/><Relationship Id="rId319" Type="http://schemas.openxmlformats.org/officeDocument/2006/relationships/hyperlink" Target="https://www.federalregister.gov/documents/2021/10/29/2021-23446/tip-regulations-under-the-fair-labor-standards-act-flsa-partial-withdrawal" TargetMode="External"/><Relationship Id="rId526" Type="http://schemas.openxmlformats.org/officeDocument/2006/relationships/hyperlink" Target="https://leginfo.legislature.ca.gov/faces/billTextClient.xhtml?bill_id=202520260AB406" TargetMode="External"/><Relationship Id="rId733" Type="http://schemas.openxmlformats.org/officeDocument/2006/relationships/hyperlink" Target="https://legiscan.com/MD/text/HB649/id/2991855" TargetMode="External"/><Relationship Id="rId940" Type="http://schemas.openxmlformats.org/officeDocument/2006/relationships/hyperlink" Target="https://legiscan.com/TX/bill/SB1318/2025" TargetMode="External"/><Relationship Id="rId165" Type="http://schemas.openxmlformats.org/officeDocument/2006/relationships/hyperlink" Target="https://www.federalregister.gov/documents/2023/02/23/2023-03710/electronic-filing-requirements-for-specified-returns-and-other-documents" TargetMode="External"/><Relationship Id="rId372" Type="http://schemas.openxmlformats.org/officeDocument/2006/relationships/hyperlink" Target="https://www.dol.gov/agencies/ebsa/key-topics/retirement-benefits/cybersecurity/best-practices" TargetMode="External"/><Relationship Id="rId677" Type="http://schemas.openxmlformats.org/officeDocument/2006/relationships/hyperlink" Target="https://labor.illinois.gov/laws-rules/legal/freelance-worker-protection-act.html" TargetMode="External"/><Relationship Id="rId800" Type="http://schemas.openxmlformats.org/officeDocument/2006/relationships/hyperlink" Target="https://www.revisor.mn.gov/laws/2024/0/Session+Law/Chapter/127/" TargetMode="External"/><Relationship Id="rId232"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884" Type="http://schemas.openxmlformats.org/officeDocument/2006/relationships/hyperlink" Target="https://www.nysenate.gov/legislation/laws/WKC/203" TargetMode="External"/><Relationship Id="rId27" Type="http://schemas.openxmlformats.org/officeDocument/2006/relationships/hyperlink" Target="https://www.nyc.gov/site/dca/about/Paid-Safe-Sick-Leave-Notice-of-Employee-Rights.page" TargetMode="External"/><Relationship Id="rId537" Type="http://schemas.openxmlformats.org/officeDocument/2006/relationships/hyperlink" Target="https://calcivilrights.ca.gov/2025/06/30/civil-rights-council-secures-approval-for-regulations-to-protect-against-employment-discrimination-related-to-artificial-intelligence/" TargetMode="External"/><Relationship Id="rId744" Type="http://schemas.openxmlformats.org/officeDocument/2006/relationships/hyperlink" Target="https://www.mass.gov/info-details/pay-transparency-in-massachusetts" TargetMode="External"/><Relationship Id="rId951" Type="http://schemas.openxmlformats.org/officeDocument/2006/relationships/hyperlink" Target="https://legislature.vermont.gov/Documents/2024/Docs/BILLS/S-0102/S-0102%20As%20Passed%20by%20Both%20House%20and%20Senate%20Official.pdf" TargetMode="External"/><Relationship Id="rId80" Type="http://schemas.openxmlformats.org/officeDocument/2006/relationships/hyperlink" Target="https://elc.ky.gov/workplace-standards/Documents/KY%20OSH%20Poster%20English.pdf" TargetMode="External"/><Relationship Id="rId176" Type="http://schemas.openxmlformats.org/officeDocument/2006/relationships/hyperlink" Target="https://www.federalregister.gov/documents/2025/01/31/2025-02097/ending-illegal-discrimination-and-restoring-merit-based-opportunity" TargetMode="External"/><Relationship Id="rId383" Type="http://schemas.openxmlformats.org/officeDocument/2006/relationships/hyperlink" Target="https://www.govinfo.gov/content/pkg/FR-2024-08-08/pdf/2024-17466.pdf" TargetMode="External"/><Relationship Id="rId590" Type="http://schemas.openxmlformats.org/officeDocument/2006/relationships/hyperlink" Target="https://view.officeapps.live.com/op/view.aspx?src=https%3A%2F%2Fwww.dir.ca.gov%2Fdosh%2Fdosh_publications%2FModel-WPV-Plan-General-Industry.docx&amp;wdOrigin=BROWSELINK" TargetMode="External"/><Relationship Id="rId604" Type="http://schemas.openxmlformats.org/officeDocument/2006/relationships/hyperlink" Target="https://cdle.colorado.gov/dlss/labor-laws-rules-resources/labor-rules-proposed-and-adopted?utm_medium=govdelivery&amp;utm_source=email" TargetMode="External"/><Relationship Id="rId811" Type="http://schemas.openxmlformats.org/officeDocument/2006/relationships/hyperlink" Target="https://bills.legmt.gov/%23/laws/bill/2/LC0941?open_tab=su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4285</TotalTime>
  <Pages>21</Pages>
  <Words>167487</Words>
  <Characters>919505</Characters>
  <Application>Microsoft Office Word</Application>
  <DocSecurity>0</DocSecurity>
  <Lines>14146</Lines>
  <Paragraphs>7445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390</cp:revision>
  <cp:lastPrinted>2024-02-07T01:51:00Z</cp:lastPrinted>
  <dcterms:created xsi:type="dcterms:W3CDTF">2025-03-31T17:45:00Z</dcterms:created>
  <dcterms:modified xsi:type="dcterms:W3CDTF">2026-05-15T13:48:00Z</dcterms:modified>
</cp:coreProperties>
</file>