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E560C" w14:textId="5ED3FDE1" w:rsidR="0026000D" w:rsidRPr="008A7E71" w:rsidRDefault="009A1745" w:rsidP="008A7E71">
      <w:pPr>
        <w:pStyle w:val="Head1"/>
      </w:pPr>
      <w:r>
        <w:rPr>
          <w:noProof/>
        </w:rPr>
        <mc:AlternateContent>
          <mc:Choice Requires="wps">
            <w:drawing>
              <wp:anchor distT="45720" distB="45720" distL="114300" distR="114300" simplePos="0" relativeHeight="251660288" behindDoc="0" locked="0" layoutInCell="1" allowOverlap="1" wp14:anchorId="5ED0B504" wp14:editId="05BF8525">
                <wp:simplePos x="0" y="0"/>
                <wp:positionH relativeFrom="column">
                  <wp:posOffset>-95885</wp:posOffset>
                </wp:positionH>
                <wp:positionV relativeFrom="page">
                  <wp:posOffset>2219960</wp:posOffset>
                </wp:positionV>
                <wp:extent cx="2413000" cy="58185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5818505"/>
                        </a:xfrm>
                        <a:prstGeom prst="rect">
                          <a:avLst/>
                        </a:prstGeom>
                        <a:noFill/>
                        <a:ln w="9525">
                          <a:noFill/>
                          <a:miter lim="800000"/>
                          <a:headEnd/>
                          <a:tailEnd/>
                        </a:ln>
                      </wps:spPr>
                      <wps:txbx>
                        <w:txbxContent>
                          <w:p w14:paraId="3055D011" w14:textId="77777777" w:rsidR="005F6216" w:rsidRDefault="009A1745" w:rsidP="005F6216">
                            <w:pPr>
                              <w:pStyle w:val="Head2"/>
                            </w:pPr>
                            <w:r>
                              <w:t>Recent Changes to State Leave Laws</w:t>
                            </w:r>
                          </w:p>
                          <w:p w14:paraId="671BDCFD" w14:textId="77777777" w:rsidR="00007F45" w:rsidRPr="0016701F" w:rsidRDefault="009A1745" w:rsidP="0016701F">
                            <w:pPr>
                              <w:pStyle w:val="BulletList"/>
                            </w:pPr>
                            <w:r>
                              <w:t>Paid family and medical leave programs began providing leave benefits in Delaware and Minnesota on Jan. 1</w:t>
                            </w:r>
                            <w:r w:rsidRPr="0016701F">
                              <w:t>.</w:t>
                            </w:r>
                          </w:p>
                          <w:p w14:paraId="32F9B452" w14:textId="77777777" w:rsidR="00007F45" w:rsidRPr="0016701F" w:rsidRDefault="009A1745" w:rsidP="0016701F">
                            <w:pPr>
                              <w:pStyle w:val="BulletList"/>
                            </w:pPr>
                            <w:r>
                              <w:t>Major amendments to the Washington state paid family and medical leave program took effect on Jan. 1</w:t>
                            </w:r>
                            <w:r w:rsidRPr="0016701F">
                              <w:t>.</w:t>
                            </w:r>
                          </w:p>
                          <w:p w14:paraId="30878289" w14:textId="77777777" w:rsidR="00007F45" w:rsidRPr="00007F45" w:rsidRDefault="009A1745" w:rsidP="005F6216">
                            <w:pPr>
                              <w:pStyle w:val="BulletList"/>
                            </w:pPr>
                            <w:r>
                              <w:t xml:space="preserve">Smaller </w:t>
                            </w:r>
                            <w:r w:rsidR="00F67061">
                              <w:t>changes to state leave laws have gone into effect since January in California, Colorado, Connecticut, Oregon and Rhode Island</w:t>
                            </w:r>
                            <w:r w:rsidRPr="00007F45">
                              <w:t>.</w:t>
                            </w:r>
                          </w:p>
                          <w:p w14:paraId="59A785F4" w14:textId="77777777" w:rsidR="00007F45" w:rsidRPr="005F6216" w:rsidRDefault="009A1745" w:rsidP="005F6216">
                            <w:pPr>
                              <w:pStyle w:val="Head2"/>
                            </w:pPr>
                            <w:r>
                              <w:t>Upcoming Changes in State Leave Rights</w:t>
                            </w:r>
                          </w:p>
                          <w:p w14:paraId="0ACAC6B9" w14:textId="77777777" w:rsidR="00007F45" w:rsidRPr="0016701F" w:rsidRDefault="009A1745" w:rsidP="0016701F">
                            <w:pPr>
                              <w:pStyle w:val="BulletList"/>
                            </w:pPr>
                            <w:r>
                              <w:t>Benefits will begin under Maine’s new paid family and medical leave program on May 1</w:t>
                            </w:r>
                            <w:r w:rsidRPr="0016701F">
                              <w:t>.</w:t>
                            </w:r>
                          </w:p>
                          <w:p w14:paraId="20365BF5" w14:textId="77777777" w:rsidR="00007F45" w:rsidRDefault="009A1745" w:rsidP="00110963">
                            <w:pPr>
                              <w:pStyle w:val="BulletList"/>
                            </w:pPr>
                            <w:r>
                              <w:t>S</w:t>
                            </w:r>
                            <w:r w:rsidR="00D04C72">
                              <w:t>tarting July  17, t</w:t>
                            </w:r>
                            <w:r w:rsidR="001D7B10">
                              <w:t xml:space="preserve">he New Jersey Family Leave Act will cover more employers and employees, </w:t>
                            </w:r>
                            <w:r w:rsidR="00D04C72">
                              <w:t>and job protections will</w:t>
                            </w:r>
                            <w:r>
                              <w:t xml:space="preserve"> apply</w:t>
                            </w:r>
                            <w:r w:rsidR="00D04C72">
                              <w:t xml:space="preserve"> to the state’s Temporary Disability Insurance and Family Leave Insurance</w:t>
                            </w:r>
                            <w:r w:rsidRPr="0016701F">
                              <w:t xml:space="preserve">. </w:t>
                            </w:r>
                          </w:p>
                          <w:p w14:paraId="60729B0C" w14:textId="77777777" w:rsidR="00E52AC0" w:rsidRDefault="00E52AC0" w:rsidP="00D04C72">
                            <w:pPr>
                              <w:pStyle w:val="BulletList"/>
                              <w:numPr>
                                <w:ilvl w:val="0"/>
                                <w:numId w:val="0"/>
                              </w:numPr>
                              <w:ind w:left="648" w:hanging="360"/>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5ED0B504" id="_x0000_t202" coordsize="21600,21600" o:spt="202" path="m,l,21600r21600,l21600,xe">
                <v:stroke joinstyle="miter"/>
                <v:path gradientshapeok="t" o:connecttype="rect"/>
              </v:shapetype>
              <v:shape id="Text Box 2" o:spid="_x0000_s1026" type="#_x0000_t202" style="position:absolute;margin-left:-7.55pt;margin-top:174.8pt;width:190pt;height:458.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" filled="f" stroked="f">
                <v:textbox>
                  <w:txbxContent>
                    <w:p w14:paraId="3055D011" w14:textId="77777777" w:rsidR="005F6216" w:rsidRDefault="009A1745" w:rsidP="005F6216">
                      <w:pPr>
                        <w:pStyle w:val="Head2"/>
                      </w:pPr>
                      <w:r>
                        <w:t>Recent Changes to State Leave Laws</w:t>
                      </w:r>
                    </w:p>
                    <w:p w14:paraId="671BDCFD" w14:textId="77777777" w:rsidR="00007F45" w:rsidRPr="0016701F" w:rsidRDefault="009A1745" w:rsidP="0016701F">
                      <w:pPr>
                        <w:pStyle w:val="BulletList"/>
                      </w:pPr>
                      <w:r>
                        <w:t>Paid family and medical leave programs began providing leave benefits in Delaware and Minnesota on Jan. 1</w:t>
                      </w:r>
                      <w:r w:rsidRPr="0016701F">
                        <w:t>.</w:t>
                      </w:r>
                    </w:p>
                    <w:p w14:paraId="32F9B452" w14:textId="77777777" w:rsidR="00007F45" w:rsidRPr="0016701F" w:rsidRDefault="009A1745" w:rsidP="0016701F">
                      <w:pPr>
                        <w:pStyle w:val="BulletList"/>
                      </w:pPr>
                      <w:r>
                        <w:t>Major amendments to the Washington state paid family and medical leave program took effect on Jan. 1</w:t>
                      </w:r>
                      <w:r w:rsidRPr="0016701F">
                        <w:t>.</w:t>
                      </w:r>
                    </w:p>
                    <w:p w14:paraId="30878289" w14:textId="77777777" w:rsidR="00007F45" w:rsidRPr="00007F45" w:rsidRDefault="009A1745" w:rsidP="005F6216">
                      <w:pPr>
                        <w:pStyle w:val="BulletList"/>
                      </w:pPr>
                      <w:r>
                        <w:t xml:space="preserve">Smaller </w:t>
                      </w:r>
                      <w:r w:rsidR="00F67061">
                        <w:t>changes to state leave laws have gone into effect since January in California, Colorado, Connecticut, Oregon and Rhode Island</w:t>
                      </w:r>
                      <w:r w:rsidRPr="00007F45">
                        <w:t>.</w:t>
                      </w:r>
                    </w:p>
                    <w:p w14:paraId="59A785F4" w14:textId="77777777" w:rsidR="00007F45" w:rsidRPr="005F6216" w:rsidRDefault="009A1745" w:rsidP="005F6216">
                      <w:pPr>
                        <w:pStyle w:val="Head2"/>
                      </w:pPr>
                      <w:r>
                        <w:t>Upcoming Changes in State Leave Rights</w:t>
                      </w:r>
                    </w:p>
                    <w:p w14:paraId="0ACAC6B9" w14:textId="77777777" w:rsidR="00007F45" w:rsidRPr="0016701F" w:rsidRDefault="009A1745" w:rsidP="0016701F">
                      <w:pPr>
                        <w:pStyle w:val="BulletList"/>
                      </w:pPr>
                      <w:r>
                        <w:t>Benefits will begin under Maine’s new paid family and medical leave program on May 1</w:t>
                      </w:r>
                      <w:r w:rsidRPr="0016701F">
                        <w:t>.</w:t>
                      </w:r>
                    </w:p>
                    <w:p w14:paraId="20365BF5" w14:textId="77777777" w:rsidR="00007F45" w:rsidRDefault="009A1745" w:rsidP="00110963">
                      <w:pPr>
                        <w:pStyle w:val="BulletList"/>
                      </w:pPr>
                      <w:r>
                        <w:t>S</w:t>
                      </w:r>
                      <w:r w:rsidR="00D04C72">
                        <w:t>tarting July  17, t</w:t>
                      </w:r>
                      <w:r w:rsidR="001D7B10">
                        <w:t xml:space="preserve">he New Jersey Family Leave Act will cover more employers and employees, </w:t>
                      </w:r>
                      <w:r w:rsidR="00D04C72">
                        <w:t>and job protections will</w:t>
                      </w:r>
                      <w:r>
                        <w:t xml:space="preserve"> apply</w:t>
                      </w:r>
                      <w:r w:rsidR="00D04C72">
                        <w:t xml:space="preserve"> to the state’s Temporary Disability Insurance and Family Leave Insurance</w:t>
                      </w:r>
                      <w:r w:rsidRPr="0016701F">
                        <w:t xml:space="preserve">. </w:t>
                      </w:r>
                    </w:p>
                    <w:p w14:paraId="60729B0C" w14:textId="77777777" w:rsidR="00E52AC0" w:rsidRDefault="00E52AC0" w:rsidP="00D04C72">
                      <w:pPr>
                        <w:pStyle w:val="BulletList"/>
                        <w:numPr>
                          <w:ilvl w:val="0"/>
                          <w:numId w:val="0"/>
                        </w:numPr>
                        <w:ind w:left="648" w:hanging="360"/>
                      </w:pPr>
                    </w:p>
                  </w:txbxContent>
                </v:textbox>
                <w10:wrap type="square" anchory="page"/>
              </v:shape>
            </w:pict>
          </mc:Fallback>
        </mc:AlternateContent>
      </w:r>
      <w:r w:rsidR="00266CEA" w:rsidRPr="00DD04E3">
        <w:rPr>
          <w:noProof/>
        </w:rPr>
        <mc:AlternateContent>
          <mc:Choice Requires="wps">
            <w:drawing>
              <wp:anchor distT="0" distB="91440" distL="114300" distR="114300" simplePos="0" relativeHeight="251666432" behindDoc="0" locked="1" layoutInCell="1" allowOverlap="1" wp14:anchorId="0382D0C8" wp14:editId="4C902DE5">
                <wp:simplePos x="0" y="0"/>
                <wp:positionH relativeFrom="page">
                  <wp:posOffset>2971800</wp:posOffset>
                </wp:positionH>
                <wp:positionV relativeFrom="page">
                  <wp:posOffset>6702425</wp:posOffset>
                </wp:positionV>
                <wp:extent cx="4791456" cy="347472"/>
                <wp:effectExtent l="0" t="0" r="9525" b="0"/>
                <wp:wrapNone/>
                <wp:docPr id="961579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456" cy="347472"/>
                        </a:xfrm>
                        <a:prstGeom prst="rect">
                          <a:avLst/>
                        </a:prstGeom>
                        <a:solidFill>
                          <a:srgbClr val="124082"/>
                        </a:solidFill>
                        <a:ln w="9525">
                          <a:noFill/>
                          <a:miter lim="800000"/>
                          <a:headEnd/>
                          <a:tailEnd/>
                        </a:ln>
                      </wps:spPr>
                      <wps:txbx>
                        <w:txbxContent>
                          <w:p w14:paraId="513F0DD7" w14:textId="77777777" w:rsidR="00007F45" w:rsidRPr="00302A01" w:rsidRDefault="009A1745" w:rsidP="009A3B54">
                            <w:pPr>
                              <w:pStyle w:val="Header"/>
                              <w:ind w:left="331"/>
                              <w:rPr>
                                <w:b/>
                                <w:bCs/>
                                <w:color w:val="FFFFFF" w:themeColor="background1"/>
                                <w:sz w:val="28"/>
                                <w:szCs w:val="32"/>
                              </w:rPr>
                            </w:pPr>
                            <w:r>
                              <w:rPr>
                                <w:b/>
                                <w:bCs/>
                                <w:color w:val="FFFFFF" w:themeColor="background1"/>
                                <w:sz w:val="28"/>
                                <w:szCs w:val="32"/>
                              </w:rPr>
                              <w:t>Links and Resources</w:t>
                            </w:r>
                          </w:p>
                        </w:txbxContent>
                      </wps:txbx>
                      <wps:bodyPr rot="0" vert="horz" wrap="square" lIns="91440" tIns="45720" rIns="91440" bIns="45720" anchor="ctr" anchorCtr="0"/>
                    </wps:wsp>
                  </a:graphicData>
                </a:graphic>
                <wp14:sizeRelH relativeFrom="margin">
                  <wp14:pctWidth>0</wp14:pctWidth>
                </wp14:sizeRelH>
                <wp14:sizeRelV relativeFrom="margin">
                  <wp14:pctHeight>0</wp14:pctHeight>
                </wp14:sizeRelV>
              </wp:anchor>
            </w:drawing>
          </mc:Choice>
          <mc:Fallback>
            <w:pict>
              <v:shape w14:anchorId="0382D0C8" id="_x0000_s1027" type="#_x0000_t202" style="position:absolute;margin-left:234pt;margin-top:527.75pt;width:377.3pt;height:27.35pt;z-index:251666432;visibility:visible;mso-wrap-style:square;mso-width-percent:0;mso-height-percent:0;mso-wrap-distance-left:9pt;mso-wrap-distance-top:0;mso-wrap-distance-right:9pt;mso-wrap-distance-bottom:7.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" fillcolor="#124082" stroked="f">
                <v:textbox>
                  <w:txbxContent>
                    <w:p w14:paraId="513F0DD7" w14:textId="77777777" w:rsidR="00007F45" w:rsidRPr="00302A01" w:rsidRDefault="009A1745" w:rsidP="009A3B54">
                      <w:pPr>
                        <w:pStyle w:val="Header"/>
                        <w:ind w:left="331"/>
                        <w:rPr>
                          <w:b/>
                          <w:bCs/>
                          <w:color w:val="FFFFFF" w:themeColor="background1"/>
                          <w:sz w:val="28"/>
                          <w:szCs w:val="32"/>
                        </w:rPr>
                      </w:pPr>
                      <w:r>
                        <w:rPr>
                          <w:b/>
                          <w:bCs/>
                          <w:color w:val="FFFFFF" w:themeColor="background1"/>
                          <w:sz w:val="28"/>
                          <w:szCs w:val="32"/>
                        </w:rPr>
                        <w:t>Links and Resources</w:t>
                      </w:r>
                    </w:p>
                  </w:txbxContent>
                </v:textbox>
                <w10:wrap anchorx="page" anchory="page"/>
                <w10:anchorlock/>
              </v:shape>
            </w:pict>
          </mc:Fallback>
        </mc:AlternateContent>
      </w:r>
      <w:r>
        <w:rPr>
          <w:noProof/>
        </w:rPr>
        <mc:AlternateContent>
          <mc:Choice Requires="wps">
            <w:drawing>
              <wp:anchor distT="45720" distB="45720" distL="114300" distR="114300" simplePos="0" relativeHeight="251665408" behindDoc="0" locked="1" layoutInCell="1" allowOverlap="0" wp14:anchorId="523D8E98" wp14:editId="1E944658">
                <wp:simplePos x="0" y="0"/>
                <wp:positionH relativeFrom="column">
                  <wp:posOffset>2708275</wp:posOffset>
                </wp:positionH>
                <wp:positionV relativeFrom="margin">
                  <wp:align>bottom</wp:align>
                </wp:positionV>
                <wp:extent cx="4389120" cy="2406650"/>
                <wp:effectExtent l="0" t="0" r="0" b="0"/>
                <wp:wrapTopAndBottom/>
                <wp:docPr id="1051389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2406650"/>
                        </a:xfrm>
                        <a:prstGeom prst="rect">
                          <a:avLst/>
                        </a:prstGeom>
                        <a:noFill/>
                        <a:ln w="9525">
                          <a:noFill/>
                          <a:miter lim="800000"/>
                          <a:headEnd/>
                          <a:tailEnd/>
                        </a:ln>
                      </wps:spPr>
                      <wps:txbx>
                        <w:txbxContent>
                          <w:p w14:paraId="1EEC1A9B" w14:textId="77777777" w:rsidR="00007F45" w:rsidRDefault="00007F45" w:rsidP="00007F45">
                            <w:pPr>
                              <w:ind w:left="288" w:hanging="288"/>
                            </w:pPr>
                          </w:p>
                          <w:p w14:paraId="62C576C9" w14:textId="77777777" w:rsidR="007A0A86" w:rsidRDefault="009A1745" w:rsidP="003C3E8E">
                            <w:pPr>
                              <w:pStyle w:val="BulletList"/>
                            </w:pPr>
                            <w:r>
                              <w:t xml:space="preserve">Delaware </w:t>
                            </w:r>
                            <w:r w:rsidR="00F4145A">
                              <w:t>P</w:t>
                            </w:r>
                            <w:r>
                              <w:t xml:space="preserve">aid </w:t>
                            </w:r>
                            <w:r w:rsidR="00F4145A">
                              <w:t>L</w:t>
                            </w:r>
                            <w:r w:rsidR="002070FE">
                              <w:t xml:space="preserve">eave </w:t>
                            </w:r>
                            <w:hyperlink r:id="rId10" w:history="1">
                              <w:r w:rsidR="002070FE" w:rsidRPr="002070FE">
                                <w:rPr>
                                  <w:rStyle w:val="Hyperlink"/>
                                </w:rPr>
                                <w:t>website</w:t>
                              </w:r>
                            </w:hyperlink>
                          </w:p>
                          <w:p w14:paraId="4C6AEBFD" w14:textId="77777777" w:rsidR="007A0A86" w:rsidRDefault="009A1745" w:rsidP="003C3E8E">
                            <w:pPr>
                              <w:pStyle w:val="BulletList"/>
                            </w:pPr>
                            <w:r>
                              <w:t xml:space="preserve">Minnesota Paid Leave </w:t>
                            </w:r>
                            <w:hyperlink r:id="rId11" w:history="1">
                              <w:r w:rsidR="007A0A86" w:rsidRPr="00F4145A">
                                <w:rPr>
                                  <w:rStyle w:val="Hyperlink"/>
                                </w:rPr>
                                <w:t>website</w:t>
                              </w:r>
                            </w:hyperlink>
                          </w:p>
                          <w:p w14:paraId="3CEC2320" w14:textId="77777777" w:rsidR="00785924" w:rsidRDefault="009A1745" w:rsidP="003C3E8E">
                            <w:pPr>
                              <w:pStyle w:val="BulletList"/>
                            </w:pPr>
                            <w:r>
                              <w:t xml:space="preserve">Maine Paid Family and Medical Leave </w:t>
                            </w:r>
                            <w:hyperlink r:id="rId12" w:history="1">
                              <w:r w:rsidR="00785924" w:rsidRPr="00785924">
                                <w:rPr>
                                  <w:rStyle w:val="Hyperlink"/>
                                </w:rPr>
                                <w:t>website</w:t>
                              </w:r>
                            </w:hyperlink>
                          </w:p>
                          <w:p w14:paraId="4A0C50C6" w14:textId="77777777" w:rsidR="00007F45" w:rsidRPr="0009716A" w:rsidRDefault="009A1745" w:rsidP="003C3E8E">
                            <w:pPr>
                              <w:pStyle w:val="BulletList"/>
                            </w:pPr>
                            <w:r>
                              <w:t xml:space="preserve">California Department of Industrial Relations </w:t>
                            </w:r>
                            <w:hyperlink r:id="rId13" w:history="1">
                              <w:r w:rsidR="00840473" w:rsidRPr="003C3E8E">
                                <w:rPr>
                                  <w:rStyle w:val="Hyperlink"/>
                                </w:rPr>
                                <w:t>FAQs</w:t>
                              </w:r>
                            </w:hyperlink>
                            <w:r w:rsidR="00840473">
                              <w:t xml:space="preserve"> on California Paid Sick Leave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23D8E98" id="_x0000_s1028" type="#_x0000_t202" style="position:absolute;margin-left:213.25pt;margin-top:0;width:345.6pt;height:189.5pt;z-index:251665408;visibility:visible;mso-wrap-style:square;mso-width-percent:0;mso-height-percent:0;mso-wrap-distance-left:9pt;mso-wrap-distance-top:3.6pt;mso-wrap-distance-right:9pt;mso-wrap-distance-bottom:3.6pt;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" o:allowoverlap="f" filled="f" stroked="f">
                <v:textbox>
                  <w:txbxContent>
                    <w:p w14:paraId="1EEC1A9B" w14:textId="77777777" w:rsidR="00007F45" w:rsidRDefault="00007F45" w:rsidP="00007F45">
                      <w:pPr>
                        <w:ind w:left="288" w:hanging="288"/>
                      </w:pPr>
                    </w:p>
                    <w:p w14:paraId="62C576C9" w14:textId="77777777" w:rsidR="007A0A86" w:rsidRDefault="009A1745" w:rsidP="003C3E8E">
                      <w:pPr>
                        <w:pStyle w:val="BulletList"/>
                      </w:pPr>
                      <w:r>
                        <w:t xml:space="preserve">Delaware </w:t>
                      </w:r>
                      <w:r w:rsidR="00F4145A">
                        <w:t>P</w:t>
                      </w:r>
                      <w:r>
                        <w:t xml:space="preserve">aid </w:t>
                      </w:r>
                      <w:r w:rsidR="00F4145A">
                        <w:t>L</w:t>
                      </w:r>
                      <w:r w:rsidR="002070FE">
                        <w:t xml:space="preserve">eave </w:t>
                      </w:r>
                      <w:hyperlink r:id="rId14" w:history="1">
                        <w:r w:rsidR="002070FE" w:rsidRPr="002070FE">
                          <w:rPr>
                            <w:rStyle w:val="Hyperlink"/>
                          </w:rPr>
                          <w:t>website</w:t>
                        </w:r>
                      </w:hyperlink>
                    </w:p>
                    <w:p w14:paraId="4C6AEBFD" w14:textId="77777777" w:rsidR="007A0A86" w:rsidRDefault="009A1745" w:rsidP="003C3E8E">
                      <w:pPr>
                        <w:pStyle w:val="BulletList"/>
                      </w:pPr>
                      <w:r>
                        <w:t xml:space="preserve">Minnesota Paid Leave </w:t>
                      </w:r>
                      <w:hyperlink r:id="rId15" w:history="1">
                        <w:r w:rsidR="007A0A86" w:rsidRPr="00F4145A">
                          <w:rPr>
                            <w:rStyle w:val="Hyperlink"/>
                          </w:rPr>
                          <w:t>website</w:t>
                        </w:r>
                      </w:hyperlink>
                    </w:p>
                    <w:p w14:paraId="3CEC2320" w14:textId="77777777" w:rsidR="00785924" w:rsidRDefault="009A1745" w:rsidP="003C3E8E">
                      <w:pPr>
                        <w:pStyle w:val="BulletList"/>
                      </w:pPr>
                      <w:r>
                        <w:t xml:space="preserve">Maine Paid Family and Medical Leave </w:t>
                      </w:r>
                      <w:hyperlink r:id="rId16" w:history="1">
                        <w:r w:rsidR="00785924" w:rsidRPr="00785924">
                          <w:rPr>
                            <w:rStyle w:val="Hyperlink"/>
                          </w:rPr>
                          <w:t>website</w:t>
                        </w:r>
                      </w:hyperlink>
                    </w:p>
                    <w:p w14:paraId="4A0C50C6" w14:textId="77777777" w:rsidR="00007F45" w:rsidRPr="0009716A" w:rsidRDefault="009A1745" w:rsidP="003C3E8E">
                      <w:pPr>
                        <w:pStyle w:val="BulletList"/>
                      </w:pPr>
                      <w:r>
                        <w:t xml:space="preserve">California Department of Industrial Relations </w:t>
                      </w:r>
                      <w:hyperlink r:id="rId17" w:history="1">
                        <w:r w:rsidR="00840473" w:rsidRPr="003C3E8E">
                          <w:rPr>
                            <w:rStyle w:val="Hyperlink"/>
                          </w:rPr>
                          <w:t>FAQs</w:t>
                        </w:r>
                      </w:hyperlink>
                      <w:r w:rsidR="00840473">
                        <w:t xml:space="preserve"> on California Paid Sick Leave</w:t>
                      </w:r>
                    </w:p>
                  </w:txbxContent>
                </v:textbox>
                <w10:wrap type="topAndBottom" anchory="margin"/>
                <w10:anchorlock/>
              </v:shape>
            </w:pict>
          </mc:Fallback>
        </mc:AlternateContent>
      </w:r>
      <w:r w:rsidRPr="00DD04E3">
        <w:rPr>
          <w:noProof/>
        </w:rPr>
        <mc:AlternateContent>
          <mc:Choice Requires="wps">
            <w:drawing>
              <wp:anchor distT="0" distB="0" distL="114300" distR="114300" simplePos="0" relativeHeight="251662336" behindDoc="0" locked="1" layoutInCell="1" allowOverlap="1" wp14:anchorId="395B71BD" wp14:editId="04273C5A">
                <wp:simplePos x="0" y="0"/>
                <wp:positionH relativeFrom="page">
                  <wp:posOffset>-13335</wp:posOffset>
                </wp:positionH>
                <wp:positionV relativeFrom="page">
                  <wp:posOffset>1785620</wp:posOffset>
                </wp:positionV>
                <wp:extent cx="2996565" cy="319405"/>
                <wp:effectExtent l="0" t="0" r="0" b="4445"/>
                <wp:wrapNone/>
                <wp:docPr id="1533097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6565" cy="319405"/>
                        </a:xfrm>
                        <a:prstGeom prst="rect">
                          <a:avLst/>
                        </a:prstGeom>
                        <a:solidFill>
                          <a:srgbClr val="124082"/>
                        </a:solidFill>
                        <a:ln w="9525">
                          <a:noFill/>
                          <a:miter lim="800000"/>
                          <a:headEnd/>
                          <a:tailEnd/>
                        </a:ln>
                      </wps:spPr>
                      <wps:txbx>
                        <w:txbxContent>
                          <w:p w14:paraId="383C224B" w14:textId="77777777" w:rsidR="00007F45" w:rsidRPr="005F6216" w:rsidRDefault="009A1745" w:rsidP="005F6216">
                            <w:pPr>
                              <w:pStyle w:val="HeadSectionBox"/>
                            </w:pPr>
                            <w:r w:rsidRPr="005F6216">
                              <w:t>Highlights</w:t>
                            </w:r>
                          </w:p>
                        </w:txbxContent>
                      </wps:txbx>
                      <wps:bodyPr rot="0" vert="horz" wrap="square" lIns="91440" tIns="45720" rIns="91440" bIns="45720" anchor="ctr" anchorCtr="0"/>
                    </wps:wsp>
                  </a:graphicData>
                </a:graphic>
                <wp14:sizeRelH relativeFrom="margin">
                  <wp14:pctWidth>0</wp14:pctWidth>
                </wp14:sizeRelH>
                <wp14:sizeRelV relativeFrom="margin">
                  <wp14:pctHeight>0</wp14:pctHeight>
                </wp14:sizeRelV>
              </wp:anchor>
            </w:drawing>
          </mc:Choice>
          <mc:Fallback>
            <w:pict>
              <v:shape w14:anchorId="395B71BD" id="_x0000_s1029" type="#_x0000_t202" style="position:absolute;margin-left:-1.05pt;margin-top:140.6pt;width:235.95pt;height:25.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" fillcolor="#124082" stroked="f">
                <v:textbox>
                  <w:txbxContent>
                    <w:p w14:paraId="383C224B" w14:textId="77777777" w:rsidR="00007F45" w:rsidRPr="005F6216" w:rsidRDefault="009A1745" w:rsidP="005F6216">
                      <w:pPr>
                        <w:pStyle w:val="HeadSectionBox"/>
                      </w:pPr>
                      <w:r w:rsidRPr="005F6216">
                        <w:t>Highlights</w:t>
                      </w:r>
                    </w:p>
                  </w:txbxContent>
                </v:textbox>
                <w10:wrap anchorx="page" anchory="page"/>
                <w10:anchorlock/>
              </v:shape>
            </w:pict>
          </mc:Fallback>
        </mc:AlternateContent>
      </w:r>
      <w:r>
        <w:rPr>
          <w:noProof/>
        </w:rPr>
        <w:drawing>
          <wp:anchor distT="0" distB="0" distL="114300" distR="114300" simplePos="0" relativeHeight="251661312" behindDoc="0" locked="1" layoutInCell="1" allowOverlap="1" wp14:anchorId="7042F041" wp14:editId="5307EA38">
            <wp:simplePos x="0" y="0"/>
            <wp:positionH relativeFrom="page">
              <wp:align>left</wp:align>
            </wp:positionH>
            <wp:positionV relativeFrom="page">
              <wp:align>top</wp:align>
            </wp:positionV>
            <wp:extent cx="7772400" cy="1526540"/>
            <wp:effectExtent l="0" t="0" r="0" b="0"/>
            <wp:wrapNone/>
            <wp:docPr id="232256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5662"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72400" cy="1526540"/>
                    </a:xfrm>
                    <a:prstGeom prst="rect">
                      <a:avLst/>
                    </a:prstGeom>
                  </pic:spPr>
                </pic:pic>
              </a:graphicData>
            </a:graphic>
            <wp14:sizeRelH relativeFrom="margin">
              <wp14:pctWidth>0</wp14:pctWidth>
            </wp14:sizeRelH>
            <wp14:sizeRelV relativeFrom="margin">
              <wp14:pctHeight>0</wp14:pctHeight>
            </wp14:sizeRelV>
          </wp:anchor>
        </w:drawing>
      </w:r>
      <w:r w:rsidR="00846069">
        <w:t xml:space="preserve">Q1 Check-in: </w:t>
      </w:r>
      <w:r w:rsidR="00B16743">
        <w:t>State Employee Leave Law Developments</w:t>
      </w:r>
    </w:p>
    <w:p w14:paraId="0DD6CF98" w14:textId="70E36CF9" w:rsidR="00BC7693" w:rsidRDefault="009A1745" w:rsidP="005F6216">
      <w:pPr>
        <w:pStyle w:val="BodyText"/>
      </w:pPr>
      <w:r>
        <w:t xml:space="preserve">In </w:t>
      </w:r>
      <w:r w:rsidR="00FA75CB">
        <w:t xml:space="preserve">line </w:t>
      </w:r>
      <w:r>
        <w:t>with</w:t>
      </w:r>
      <w:r w:rsidR="00B16743">
        <w:t xml:space="preserve"> recent years, 2026 has </w:t>
      </w:r>
      <w:r w:rsidR="009F0B50">
        <w:t xml:space="preserve">so far </w:t>
      </w:r>
      <w:r w:rsidR="00B16743">
        <w:t>been an active one for employee leave laws</w:t>
      </w:r>
      <w:r w:rsidR="00D216A4">
        <w:t xml:space="preserve"> at the state level</w:t>
      </w:r>
      <w:r w:rsidR="0085596C" w:rsidRPr="0085596C">
        <w:t>.</w:t>
      </w:r>
      <w:r w:rsidR="008A26DF">
        <w:t xml:space="preserve"> </w:t>
      </w:r>
      <w:r w:rsidR="005A32D2">
        <w:t>Since the beginning of the year,</w:t>
      </w:r>
      <w:r w:rsidR="008A26DF">
        <w:t xml:space="preserve"> brand-new </w:t>
      </w:r>
      <w:r w:rsidR="00410F83">
        <w:t xml:space="preserve">paid family and medical </w:t>
      </w:r>
      <w:r w:rsidR="00596C5C">
        <w:t xml:space="preserve">leave </w:t>
      </w:r>
      <w:r w:rsidR="008A26DF">
        <w:t xml:space="preserve">programs </w:t>
      </w:r>
      <w:r w:rsidR="005A32D2">
        <w:t xml:space="preserve">have been launched </w:t>
      </w:r>
      <w:r w:rsidR="00410F83">
        <w:t xml:space="preserve">in Delaware and Minnesota, </w:t>
      </w:r>
      <w:r w:rsidR="008A26DF">
        <w:t xml:space="preserve">and </w:t>
      </w:r>
      <w:r w:rsidR="001D5A3D">
        <w:t>a significant redesign of the Washington paid family and medical leave program took effect</w:t>
      </w:r>
      <w:r w:rsidR="002A143E">
        <w:t xml:space="preserve">. The Washington changes </w:t>
      </w:r>
      <w:r w:rsidR="001D5A3D">
        <w:t>should help employers limit leave stacking</w:t>
      </w:r>
      <w:r w:rsidR="00041D8A">
        <w:t xml:space="preserve">, </w:t>
      </w:r>
      <w:r w:rsidR="001D5A3D">
        <w:t xml:space="preserve">but </w:t>
      </w:r>
      <w:r w:rsidR="00B8016B">
        <w:t>the amendments</w:t>
      </w:r>
      <w:r w:rsidR="00041D8A">
        <w:t xml:space="preserve"> </w:t>
      </w:r>
      <w:r>
        <w:t xml:space="preserve">make more </w:t>
      </w:r>
      <w:r w:rsidR="00B8016B">
        <w:t>employers</w:t>
      </w:r>
      <w:r>
        <w:t xml:space="preserve"> subject to employee</w:t>
      </w:r>
      <w:r w:rsidR="00663A97">
        <w:t xml:space="preserve"> restoration rights. </w:t>
      </w:r>
    </w:p>
    <w:p w14:paraId="34F38563" w14:textId="132797E0" w:rsidR="00C142EF" w:rsidRDefault="009A1745" w:rsidP="005F6216">
      <w:pPr>
        <w:pStyle w:val="BodyText"/>
      </w:pPr>
      <w:r>
        <w:t>S</w:t>
      </w:r>
      <w:r w:rsidR="008A26DF">
        <w:t>mall</w:t>
      </w:r>
      <w:r w:rsidR="00811D75">
        <w:t>er</w:t>
      </w:r>
      <w:r w:rsidR="008A26DF">
        <w:t xml:space="preserve"> expansions to existing leave rights</w:t>
      </w:r>
      <w:r w:rsidR="00410F83">
        <w:t xml:space="preserve"> </w:t>
      </w:r>
      <w:r w:rsidR="005A32D2">
        <w:t xml:space="preserve">have gone into effect </w:t>
      </w:r>
      <w:r>
        <w:t xml:space="preserve">since January </w:t>
      </w:r>
      <w:r w:rsidR="00410F83">
        <w:t xml:space="preserve">in states such as </w:t>
      </w:r>
      <w:r w:rsidR="00811D75">
        <w:t xml:space="preserve">California, </w:t>
      </w:r>
      <w:r w:rsidR="00BD3388">
        <w:t>Colorado</w:t>
      </w:r>
      <w:r>
        <w:t xml:space="preserve">, </w:t>
      </w:r>
      <w:r w:rsidR="00217042">
        <w:t xml:space="preserve">Connecticut, </w:t>
      </w:r>
      <w:r>
        <w:t>Oregon and Rhode Island</w:t>
      </w:r>
      <w:r w:rsidR="008A26DF">
        <w:t xml:space="preserve">. </w:t>
      </w:r>
    </w:p>
    <w:p w14:paraId="3BCA8734" w14:textId="681221A0" w:rsidR="00D216A4" w:rsidRDefault="009A1745" w:rsidP="005F6216">
      <w:pPr>
        <w:pStyle w:val="BodyText"/>
      </w:pPr>
      <w:r>
        <w:t xml:space="preserve">Employers must also keep their eye on the near-term horizon, as more changes in the employee leave landscape </w:t>
      </w:r>
      <w:r w:rsidR="001B2438">
        <w:t>are coming</w:t>
      </w:r>
      <w:r>
        <w:t xml:space="preserve"> this year</w:t>
      </w:r>
      <w:r w:rsidR="007800EE">
        <w:t>, particularly</w:t>
      </w:r>
      <w:r w:rsidR="0096199E">
        <w:t xml:space="preserve"> in </w:t>
      </w:r>
      <w:r w:rsidR="007800EE">
        <w:t>Illinois, Maine</w:t>
      </w:r>
      <w:r w:rsidR="00811D75">
        <w:t xml:space="preserve"> and </w:t>
      </w:r>
      <w:r w:rsidR="007800EE">
        <w:t>New Jersey</w:t>
      </w:r>
      <w:r>
        <w:t xml:space="preserve">. </w:t>
      </w:r>
    </w:p>
    <w:p w14:paraId="18A72A58" w14:textId="594AAAB9" w:rsidR="00410F83" w:rsidRDefault="009A1745" w:rsidP="00E66D17">
      <w:pPr>
        <w:pStyle w:val="BodyText"/>
      </w:pPr>
      <w:r>
        <w:t>This Compliance Overview outlines n</w:t>
      </w:r>
      <w:r w:rsidR="00D216A4">
        <w:t xml:space="preserve">otable recent and upcoming developments in state leave laws. </w:t>
      </w:r>
    </w:p>
    <w:p w14:paraId="14B50308" w14:textId="77777777" w:rsidR="00CF47DA" w:rsidRDefault="00CF47DA" w:rsidP="00CF47DA">
      <w:pPr>
        <w:pStyle w:val="Head2"/>
      </w:pPr>
    </w:p>
    <w:p w14:paraId="2E315147" w14:textId="77777777" w:rsidR="00497456" w:rsidRDefault="00497456" w:rsidP="00CF47DA">
      <w:pPr>
        <w:pStyle w:val="Head2"/>
      </w:pPr>
    </w:p>
    <w:p w14:paraId="7178E6D8" w14:textId="77777777" w:rsidR="00217042" w:rsidRDefault="00217042" w:rsidP="00CF47DA">
      <w:pPr>
        <w:pStyle w:val="Head2"/>
      </w:pPr>
    </w:p>
    <w:p w14:paraId="7DA8F3AA" w14:textId="3FF33D06" w:rsidR="0009716A" w:rsidRDefault="009A1745" w:rsidP="00CF47DA">
      <w:pPr>
        <w:pStyle w:val="Head2"/>
      </w:pPr>
      <w:r>
        <w:lastRenderedPageBreak/>
        <w:t xml:space="preserve">State Leave Law </w:t>
      </w:r>
      <w:r w:rsidR="00203FA5">
        <w:t xml:space="preserve">Changes </w:t>
      </w:r>
      <w:r w:rsidR="003D3E49">
        <w:t xml:space="preserve">Effective </w:t>
      </w:r>
      <w:r w:rsidR="00203FA5">
        <w:t>Since January 2026</w:t>
      </w:r>
    </w:p>
    <w:p w14:paraId="43F2A3E9" w14:textId="2290D25C" w:rsidR="00B320CA" w:rsidRPr="008C1FDC" w:rsidRDefault="009A1745" w:rsidP="00CF47DA">
      <w:pPr>
        <w:pStyle w:val="Head3"/>
        <w:rPr>
          <w:i w:val="0"/>
          <w:iCs/>
        </w:rPr>
      </w:pPr>
      <w:r w:rsidRPr="008C1FDC">
        <w:rPr>
          <w:i w:val="0"/>
          <w:iCs/>
        </w:rPr>
        <w:t>California</w:t>
      </w:r>
      <w:r w:rsidR="00590A45">
        <w:rPr>
          <w:i w:val="0"/>
          <w:iCs/>
        </w:rPr>
        <w:t xml:space="preserve"> </w:t>
      </w:r>
      <w:r w:rsidR="00590A45" w:rsidRPr="00590A45">
        <w:rPr>
          <w:color w:val="323E4F" w:themeColor="text2" w:themeShade="BF"/>
        </w:rPr>
        <w:t>(Dec 2025 State Handbook Addendum Release</w:t>
      </w:r>
      <w:r w:rsidR="00B4080A">
        <w:rPr>
          <w:color w:val="323E4F" w:themeColor="text2" w:themeShade="BF"/>
        </w:rPr>
        <w:t>d</w:t>
      </w:r>
      <w:r w:rsidR="00590A45" w:rsidRPr="00590A45">
        <w:rPr>
          <w:color w:val="323E4F" w:themeColor="text2" w:themeShade="BF"/>
        </w:rPr>
        <w:t xml:space="preserve"> by ETC)</w:t>
      </w:r>
    </w:p>
    <w:p w14:paraId="52450E0D" w14:textId="6458061D" w:rsidR="00F332E6" w:rsidRDefault="009A1745" w:rsidP="00F332E6">
      <w:pPr>
        <w:pStyle w:val="BodyText"/>
      </w:pPr>
      <w:r>
        <w:t xml:space="preserve">On Jan. 1, 2026, </w:t>
      </w:r>
      <w:hyperlink r:id="rId19" w:history="1">
        <w:r w:rsidR="00F332E6" w:rsidRPr="007F7EBE">
          <w:rPr>
            <w:rStyle w:val="Hyperlink"/>
          </w:rPr>
          <w:t>paid sick leave</w:t>
        </w:r>
      </w:hyperlink>
      <w:r w:rsidRPr="002C7574">
        <w:t xml:space="preserve"> </w:t>
      </w:r>
      <w:r>
        <w:t xml:space="preserve">under the </w:t>
      </w:r>
      <w:r w:rsidR="00F40919">
        <w:t xml:space="preserve">California </w:t>
      </w:r>
      <w:r>
        <w:t xml:space="preserve">Healthy Workplaces, Healthy Families Act began </w:t>
      </w:r>
      <w:r w:rsidRPr="002C7574">
        <w:t>cover</w:t>
      </w:r>
      <w:r>
        <w:t xml:space="preserve">ing </w:t>
      </w:r>
      <w:r w:rsidR="00AE524F">
        <w:t xml:space="preserve">leave for </w:t>
      </w:r>
      <w:r w:rsidRPr="002C7574">
        <w:t xml:space="preserve">judicial proceedings related to certain serious crimes </w:t>
      </w:r>
      <w:r w:rsidR="00FA75CB">
        <w:t xml:space="preserve"> </w:t>
      </w:r>
      <w:r w:rsidR="008719FC">
        <w:t xml:space="preserve">of </w:t>
      </w:r>
      <w:r w:rsidR="00FA75CB">
        <w:t>which the employee or the employee’s family member was a victim</w:t>
      </w:r>
      <w:r w:rsidR="00AE524F">
        <w:t xml:space="preserve">. The </w:t>
      </w:r>
      <w:r w:rsidR="008719FC">
        <w:t>proceedings</w:t>
      </w:r>
      <w:r w:rsidRPr="002C7574">
        <w:t xml:space="preserve"> includ</w:t>
      </w:r>
      <w:r w:rsidR="00AE524F">
        <w:t>e</w:t>
      </w:r>
      <w:r w:rsidRPr="002C7574">
        <w:t xml:space="preserve">, but </w:t>
      </w:r>
      <w:r w:rsidR="00AE524F">
        <w:t xml:space="preserve">are </w:t>
      </w:r>
      <w:r w:rsidRPr="002C7574">
        <w:t>not limited to, delinquency proceeding</w:t>
      </w:r>
      <w:r>
        <w:t>s,</w:t>
      </w:r>
      <w:r w:rsidRPr="002C7574">
        <w:t xml:space="preserve"> post-arrest release decision</w:t>
      </w:r>
      <w:r>
        <w:t>s</w:t>
      </w:r>
      <w:r w:rsidRPr="002C7574">
        <w:t>, plea</w:t>
      </w:r>
      <w:r>
        <w:t xml:space="preserve">s, </w:t>
      </w:r>
      <w:r w:rsidRPr="002C7574">
        <w:t>sentencing</w:t>
      </w:r>
      <w:r>
        <w:t>s,</w:t>
      </w:r>
      <w:r w:rsidRPr="002C7574">
        <w:t xml:space="preserve"> post-conviction release decision</w:t>
      </w:r>
      <w:r>
        <w:t>s</w:t>
      </w:r>
      <w:r w:rsidRPr="002C7574">
        <w:t xml:space="preserve">, </w:t>
      </w:r>
      <w:r>
        <w:t>and</w:t>
      </w:r>
      <w:r w:rsidRPr="002C7574">
        <w:t xml:space="preserve"> any proceeding where a right of that person is an issue.</w:t>
      </w:r>
    </w:p>
    <w:p w14:paraId="2A803BA5" w14:textId="61841119" w:rsidR="00F332E6" w:rsidRPr="008C1FDC" w:rsidRDefault="009A1745" w:rsidP="003D3E49">
      <w:pPr>
        <w:pStyle w:val="Head3"/>
        <w:rPr>
          <w:i w:val="0"/>
          <w:iCs/>
        </w:rPr>
      </w:pPr>
      <w:r w:rsidRPr="008C1FDC">
        <w:rPr>
          <w:i w:val="0"/>
          <w:iCs/>
        </w:rPr>
        <w:t>Colorado</w:t>
      </w:r>
      <w:r w:rsidR="00590A45">
        <w:rPr>
          <w:i w:val="0"/>
          <w:iCs/>
        </w:rPr>
        <w:t xml:space="preserve"> </w:t>
      </w:r>
      <w:r w:rsidR="00590A45" w:rsidRPr="00590A45">
        <w:rPr>
          <w:color w:val="323E4F" w:themeColor="text2" w:themeShade="BF"/>
        </w:rPr>
        <w:t>(</w:t>
      </w:r>
      <w:r w:rsidR="00BF69C3">
        <w:rPr>
          <w:color w:val="323E4F" w:themeColor="text2" w:themeShade="BF"/>
        </w:rPr>
        <w:t>Jul</w:t>
      </w:r>
      <w:r w:rsidR="00590A45" w:rsidRPr="00590A45">
        <w:rPr>
          <w:color w:val="323E4F" w:themeColor="text2" w:themeShade="BF"/>
        </w:rPr>
        <w:t xml:space="preserve"> 2025 State Handbook Addendum Release</w:t>
      </w:r>
      <w:r w:rsidR="00B4080A">
        <w:rPr>
          <w:color w:val="323E4F" w:themeColor="text2" w:themeShade="BF"/>
        </w:rPr>
        <w:t>d</w:t>
      </w:r>
      <w:r w:rsidR="00590A45" w:rsidRPr="00590A45">
        <w:rPr>
          <w:color w:val="323E4F" w:themeColor="text2" w:themeShade="BF"/>
        </w:rPr>
        <w:t xml:space="preserve"> by ETC)</w:t>
      </w:r>
    </w:p>
    <w:p w14:paraId="204BAEB5" w14:textId="32DEE053" w:rsidR="00F332E6" w:rsidRDefault="009A1745" w:rsidP="007C32C7">
      <w:pPr>
        <w:pStyle w:val="BodyText"/>
      </w:pPr>
      <w:r>
        <w:t>Also on</w:t>
      </w:r>
      <w:r w:rsidR="005629FC" w:rsidRPr="005629FC">
        <w:t xml:space="preserve"> Jan. 1, 2026, </w:t>
      </w:r>
      <w:r>
        <w:t xml:space="preserve">an amendment to the </w:t>
      </w:r>
      <w:r w:rsidR="005629FC" w:rsidRPr="005629FC">
        <w:t xml:space="preserve">Colorado paid family and medical leave (FAMLI) </w:t>
      </w:r>
      <w:r w:rsidR="00AE524F">
        <w:t xml:space="preserve">program </w:t>
      </w:r>
      <w:r>
        <w:t xml:space="preserve">went into effect, </w:t>
      </w:r>
      <w:r w:rsidR="005629FC" w:rsidRPr="005629FC">
        <w:t>requir</w:t>
      </w:r>
      <w:r>
        <w:t>ing</w:t>
      </w:r>
      <w:r w:rsidR="005629FC" w:rsidRPr="005629FC">
        <w:t xml:space="preserve"> </w:t>
      </w:r>
      <w:hyperlink r:id="rId20" w:history="1">
        <w:r w:rsidR="00AE524F">
          <w:rPr>
            <w:rStyle w:val="Hyperlink"/>
          </w:rPr>
          <w:t>an extra 12 weeks</w:t>
        </w:r>
      </w:hyperlink>
      <w:r w:rsidR="00AE524F">
        <w:t xml:space="preserve"> of partially compensated leave</w:t>
      </w:r>
      <w:r w:rsidR="005629FC" w:rsidRPr="005629FC">
        <w:t xml:space="preserve"> for parents with a baby in a </w:t>
      </w:r>
      <w:r w:rsidR="00D40079">
        <w:t>neonatal intensive care unit (NICU)</w:t>
      </w:r>
      <w:r w:rsidR="005629FC" w:rsidRPr="005629FC">
        <w:t xml:space="preserve">. </w:t>
      </w:r>
      <w:r w:rsidR="004D6DEB">
        <w:t xml:space="preserve">The FAMLI program </w:t>
      </w:r>
      <w:r>
        <w:t xml:space="preserve">already </w:t>
      </w:r>
      <w:r w:rsidR="004D6DEB">
        <w:t>provide</w:t>
      </w:r>
      <w:r>
        <w:t>d</w:t>
      </w:r>
      <w:r w:rsidR="004D6DEB">
        <w:t xml:space="preserve"> 12 weeks of paid leave for specified family and medical reasons. FAMLI </w:t>
      </w:r>
      <w:r w:rsidR="005629FC" w:rsidRPr="005629FC">
        <w:t xml:space="preserve">leave is </w:t>
      </w:r>
      <w:r w:rsidR="00FA75CB" w:rsidRPr="005629FC">
        <w:t>job</w:t>
      </w:r>
      <w:r w:rsidR="00FA75CB">
        <w:t>-</w:t>
      </w:r>
      <w:r w:rsidR="005629FC" w:rsidRPr="005629FC">
        <w:t>protected for workers who have been employed with their current employer for at least 180 days before taking leave.</w:t>
      </w:r>
    </w:p>
    <w:p w14:paraId="67DB1406" w14:textId="69A6F5F1" w:rsidR="00D40079" w:rsidRDefault="009A1745" w:rsidP="005629FC">
      <w:pPr>
        <w:pStyle w:val="BodyText"/>
      </w:pPr>
      <w:r>
        <w:t xml:space="preserve">Providing leave for parents of NICU babies is </w:t>
      </w:r>
      <w:r w:rsidR="00195211">
        <w:t>a developing mini-trend</w:t>
      </w:r>
      <w:r w:rsidR="007825DE">
        <w:t xml:space="preserve"> in state employee leave laws</w:t>
      </w:r>
      <w:r w:rsidR="002C0F7A">
        <w:t>. A</w:t>
      </w:r>
      <w:r w:rsidR="00B003E0">
        <w:t xml:space="preserve"> similar measure </w:t>
      </w:r>
      <w:r w:rsidR="002C0F7A">
        <w:t xml:space="preserve">is </w:t>
      </w:r>
      <w:r w:rsidR="00195211">
        <w:t>set to take effect later this year</w:t>
      </w:r>
      <w:r w:rsidR="00E66D17">
        <w:t xml:space="preserve"> in Illinois</w:t>
      </w:r>
      <w:r w:rsidR="00195211">
        <w:t>.</w:t>
      </w:r>
    </w:p>
    <w:p w14:paraId="71614262" w14:textId="17DBACE2" w:rsidR="00195211" w:rsidRPr="008C1FDC" w:rsidRDefault="009A1745" w:rsidP="003D3E49">
      <w:pPr>
        <w:pStyle w:val="Head3"/>
        <w:rPr>
          <w:i w:val="0"/>
          <w:iCs/>
        </w:rPr>
      </w:pPr>
      <w:r w:rsidRPr="008C1FDC">
        <w:rPr>
          <w:i w:val="0"/>
          <w:iCs/>
        </w:rPr>
        <w:t>Connecticut</w:t>
      </w:r>
      <w:r w:rsidR="00BF69C3">
        <w:rPr>
          <w:i w:val="0"/>
          <w:iCs/>
        </w:rPr>
        <w:t xml:space="preserve"> </w:t>
      </w:r>
      <w:r w:rsidR="00BF69C3" w:rsidRPr="00590A45">
        <w:rPr>
          <w:color w:val="323E4F" w:themeColor="text2" w:themeShade="BF"/>
        </w:rPr>
        <w:t>(Dec 2025 State Handbook Addendum Release</w:t>
      </w:r>
      <w:r w:rsidR="00B4080A">
        <w:rPr>
          <w:color w:val="323E4F" w:themeColor="text2" w:themeShade="BF"/>
        </w:rPr>
        <w:t>d</w:t>
      </w:r>
      <w:r w:rsidR="00BF69C3" w:rsidRPr="00590A45">
        <w:rPr>
          <w:color w:val="323E4F" w:themeColor="text2" w:themeShade="BF"/>
        </w:rPr>
        <w:t xml:space="preserve"> by ETC)</w:t>
      </w:r>
    </w:p>
    <w:p w14:paraId="2B9923A5" w14:textId="2B5098AF" w:rsidR="00157776" w:rsidRDefault="009A1745" w:rsidP="002279B6">
      <w:pPr>
        <w:pStyle w:val="BodyText"/>
      </w:pPr>
      <w:r w:rsidRPr="002279B6">
        <w:t>Effective Jan. 1, 2026</w:t>
      </w:r>
      <w:r>
        <w:t>,</w:t>
      </w:r>
      <w:r w:rsidRPr="002279B6">
        <w:t xml:space="preserve"> </w:t>
      </w:r>
      <w:hyperlink r:id="rId21" w:history="1">
        <w:r w:rsidR="00157776" w:rsidRPr="00667BD7">
          <w:rPr>
            <w:rStyle w:val="Hyperlink"/>
          </w:rPr>
          <w:t>paid sick leave</w:t>
        </w:r>
      </w:hyperlink>
      <w:r w:rsidRPr="002279B6">
        <w:t xml:space="preserve"> </w:t>
      </w:r>
      <w:r w:rsidR="00AE6CEE">
        <w:t xml:space="preserve">in Connecticut </w:t>
      </w:r>
      <w:r w:rsidRPr="002279B6">
        <w:t xml:space="preserve">began applying to employers with 11 or more employees in the state, as part of a phased-in expansion of </w:t>
      </w:r>
      <w:r w:rsidR="00AE6CEE">
        <w:t>paid sick leave</w:t>
      </w:r>
      <w:r w:rsidRPr="002279B6">
        <w:t xml:space="preserve"> coverage that began last year. By 2027, </w:t>
      </w:r>
      <w:r w:rsidR="008E65DE">
        <w:t xml:space="preserve">Connecticut </w:t>
      </w:r>
      <w:r w:rsidRPr="002279B6">
        <w:t xml:space="preserve">employers </w:t>
      </w:r>
      <w:r w:rsidR="008E65DE">
        <w:t xml:space="preserve">of all sizes </w:t>
      </w:r>
      <w:r w:rsidRPr="002279B6">
        <w:t xml:space="preserve">will be </w:t>
      </w:r>
      <w:r w:rsidR="00326D78">
        <w:t>under the law’s mandate</w:t>
      </w:r>
      <w:r w:rsidRPr="002279B6">
        <w:t xml:space="preserve">. Before the </w:t>
      </w:r>
      <w:r w:rsidR="00F40919">
        <w:t>expansion</w:t>
      </w:r>
      <w:r w:rsidRPr="002279B6">
        <w:t xml:space="preserve">, </w:t>
      </w:r>
      <w:r w:rsidR="00BE5C84">
        <w:t>coverage applie</w:t>
      </w:r>
      <w:r w:rsidR="00326D78">
        <w:t>d</w:t>
      </w:r>
      <w:r w:rsidR="00BE5C84">
        <w:t xml:space="preserve"> </w:t>
      </w:r>
      <w:r w:rsidRPr="002279B6">
        <w:t xml:space="preserve">only </w:t>
      </w:r>
      <w:r w:rsidR="00BE5C84">
        <w:t>to e</w:t>
      </w:r>
      <w:r w:rsidRPr="002279B6">
        <w:t xml:space="preserve">mployers </w:t>
      </w:r>
      <w:r w:rsidR="008E65DE">
        <w:t xml:space="preserve">with 50 </w:t>
      </w:r>
      <w:r w:rsidR="00BE5C84">
        <w:t xml:space="preserve">employees or more </w:t>
      </w:r>
      <w:r w:rsidRPr="002279B6">
        <w:t>and</w:t>
      </w:r>
      <w:r w:rsidR="00BE5C84">
        <w:t xml:space="preserve"> certain service workers</w:t>
      </w:r>
      <w:r w:rsidRPr="002279B6">
        <w:t xml:space="preserve">. </w:t>
      </w:r>
    </w:p>
    <w:p w14:paraId="04551312" w14:textId="2EA2FE90" w:rsidR="00195211" w:rsidRDefault="009A1745" w:rsidP="002279B6">
      <w:pPr>
        <w:pStyle w:val="BodyText"/>
      </w:pPr>
      <w:r>
        <w:t>Th</w:t>
      </w:r>
      <w:r w:rsidR="00CD3AEC">
        <w:t>e increase</w:t>
      </w:r>
      <w:r w:rsidR="00F858B2">
        <w:t xml:space="preserve"> in leave under Connecticut’s </w:t>
      </w:r>
      <w:r>
        <w:t>paid sick leave law can be seen as p</w:t>
      </w:r>
      <w:r w:rsidR="002279B6" w:rsidRPr="002279B6">
        <w:t xml:space="preserve">art of a trend of </w:t>
      </w:r>
      <w:r w:rsidR="00FA75CB">
        <w:t>expanding</w:t>
      </w:r>
      <w:r w:rsidR="003C32F3">
        <w:t xml:space="preserve"> </w:t>
      </w:r>
      <w:r w:rsidR="002279B6" w:rsidRPr="002279B6">
        <w:t xml:space="preserve">older </w:t>
      </w:r>
      <w:r w:rsidR="00F858B2">
        <w:t xml:space="preserve">employee </w:t>
      </w:r>
      <w:r w:rsidR="002279B6" w:rsidRPr="002279B6">
        <w:t>leave laws to match newer</w:t>
      </w:r>
      <w:r w:rsidR="00AE524F">
        <w:t>, more generous</w:t>
      </w:r>
      <w:r w:rsidR="002279B6" w:rsidRPr="002279B6">
        <w:t xml:space="preserve"> leave laws in other states.</w:t>
      </w:r>
    </w:p>
    <w:p w14:paraId="29CE9176" w14:textId="25786C33" w:rsidR="003C32F3" w:rsidRPr="008C1FDC" w:rsidRDefault="009A1745" w:rsidP="003D3E49">
      <w:pPr>
        <w:pStyle w:val="Head3"/>
        <w:rPr>
          <w:i w:val="0"/>
          <w:iCs/>
        </w:rPr>
      </w:pPr>
      <w:r w:rsidRPr="008C1FDC">
        <w:rPr>
          <w:i w:val="0"/>
          <w:iCs/>
        </w:rPr>
        <w:t>Delaware</w:t>
      </w:r>
      <w:r w:rsidR="00BF69C3">
        <w:rPr>
          <w:i w:val="0"/>
          <w:iCs/>
        </w:rPr>
        <w:t xml:space="preserve"> </w:t>
      </w:r>
      <w:r w:rsidR="00BF69C3" w:rsidRPr="00590A45">
        <w:rPr>
          <w:color w:val="323E4F" w:themeColor="text2" w:themeShade="BF"/>
        </w:rPr>
        <w:t>(Dec 2025 State Handbook Addendum Release</w:t>
      </w:r>
      <w:r w:rsidR="00B4080A">
        <w:rPr>
          <w:color w:val="323E4F" w:themeColor="text2" w:themeShade="BF"/>
        </w:rPr>
        <w:t>d</w:t>
      </w:r>
      <w:r w:rsidR="00BF69C3" w:rsidRPr="00590A45">
        <w:rPr>
          <w:color w:val="323E4F" w:themeColor="text2" w:themeShade="BF"/>
        </w:rPr>
        <w:t xml:space="preserve"> by ETC)</w:t>
      </w:r>
    </w:p>
    <w:p w14:paraId="32D9ECA4" w14:textId="683D7DC3" w:rsidR="00157776" w:rsidRDefault="009A1745" w:rsidP="00157776">
      <w:pPr>
        <w:pStyle w:val="BodyText"/>
      </w:pPr>
      <w:r>
        <w:t>B</w:t>
      </w:r>
      <w:r w:rsidR="002A4BD1" w:rsidRPr="00157776">
        <w:t>enefits became available</w:t>
      </w:r>
      <w:r w:rsidR="0066508F" w:rsidRPr="00157776">
        <w:t xml:space="preserve"> under </w:t>
      </w:r>
      <w:r w:rsidR="00AE524F">
        <w:t xml:space="preserve">Delaware’s paid family and medical leave </w:t>
      </w:r>
      <w:hyperlink r:id="rId22" w:history="1">
        <w:r w:rsidR="00AE524F">
          <w:rPr>
            <w:rStyle w:val="Hyperlink"/>
          </w:rPr>
          <w:t>program</w:t>
        </w:r>
      </w:hyperlink>
      <w:r w:rsidR="0066508F" w:rsidRPr="00157776">
        <w:t xml:space="preserve"> (Delaware Paid Leave)</w:t>
      </w:r>
      <w:r w:rsidR="00864C15">
        <w:t xml:space="preserve"> on Jan. 1, 2026</w:t>
      </w:r>
      <w:r w:rsidR="0066508F" w:rsidRPr="00157776">
        <w:t xml:space="preserve">. Eligible workers are entitled to up to </w:t>
      </w:r>
      <w:r w:rsidR="002A4BD1" w:rsidRPr="00157776">
        <w:t xml:space="preserve">12 weeks of paid parental leave </w:t>
      </w:r>
      <w:r w:rsidR="00A21AE9" w:rsidRPr="00157776">
        <w:t xml:space="preserve">annually </w:t>
      </w:r>
      <w:r w:rsidR="002A4BD1" w:rsidRPr="00157776">
        <w:t xml:space="preserve">and </w:t>
      </w:r>
      <w:r w:rsidR="0066508F" w:rsidRPr="00157776">
        <w:t>six</w:t>
      </w:r>
      <w:r w:rsidR="002A4BD1" w:rsidRPr="00157776">
        <w:t xml:space="preserve"> weeks of paid medical leave </w:t>
      </w:r>
      <w:r w:rsidR="00A21AE9" w:rsidRPr="00157776">
        <w:t xml:space="preserve">every two years </w:t>
      </w:r>
      <w:r w:rsidR="002E2E3E" w:rsidRPr="00157776">
        <w:t>under the program</w:t>
      </w:r>
      <w:r w:rsidR="00607C2A" w:rsidRPr="00157776">
        <w:t xml:space="preserve">, </w:t>
      </w:r>
      <w:r>
        <w:t>with a</w:t>
      </w:r>
      <w:r w:rsidR="003667BA">
        <w:t xml:space="preserve"> combined</w:t>
      </w:r>
      <w:r>
        <w:t xml:space="preserve"> </w:t>
      </w:r>
      <w:r w:rsidR="003667BA">
        <w:t xml:space="preserve">limit of 12 weeks </w:t>
      </w:r>
      <w:r w:rsidR="00AE6DAE">
        <w:t xml:space="preserve">of leave </w:t>
      </w:r>
      <w:r w:rsidR="003667BA">
        <w:t xml:space="preserve">per year. Workers are </w:t>
      </w:r>
      <w:r w:rsidR="00607C2A" w:rsidRPr="00157776">
        <w:t>compensat</w:t>
      </w:r>
      <w:r w:rsidR="003667BA">
        <w:t>ed</w:t>
      </w:r>
      <w:r w:rsidR="00607C2A" w:rsidRPr="00157776">
        <w:t xml:space="preserve"> </w:t>
      </w:r>
      <w:r w:rsidR="00CF6D02">
        <w:t xml:space="preserve">at a rate of </w:t>
      </w:r>
      <w:r w:rsidR="00607C2A" w:rsidRPr="00157776">
        <w:t xml:space="preserve">up to 80% of </w:t>
      </w:r>
      <w:r w:rsidR="00CF6D02">
        <w:t>their</w:t>
      </w:r>
      <w:r w:rsidR="00607C2A" w:rsidRPr="00157776">
        <w:t xml:space="preserve"> weekly wages. </w:t>
      </w:r>
      <w:r w:rsidR="00AE6DAE">
        <w:t xml:space="preserve">Leave is </w:t>
      </w:r>
      <w:r w:rsidR="00FA75CB">
        <w:t>job-</w:t>
      </w:r>
      <w:r w:rsidR="00AE6DAE">
        <w:t xml:space="preserve">protected. </w:t>
      </w:r>
    </w:p>
    <w:p w14:paraId="6E9097AF" w14:textId="04B87129" w:rsidR="003054F6" w:rsidRDefault="009A1745" w:rsidP="00157776">
      <w:pPr>
        <w:pStyle w:val="BodyText"/>
      </w:pPr>
      <w:r w:rsidRPr="00157776">
        <w:t xml:space="preserve">Employers with 10 or more employees working in Delaware are covered; </w:t>
      </w:r>
      <w:r w:rsidR="00CF6A1B" w:rsidRPr="00157776">
        <w:t>f</w:t>
      </w:r>
      <w:r w:rsidRPr="00157776">
        <w:t>or employers with 10</w:t>
      </w:r>
      <w:r w:rsidR="00CF6A1B" w:rsidRPr="00157776">
        <w:t>-</w:t>
      </w:r>
      <w:r w:rsidRPr="00157776">
        <w:t>24 employees, only the parental leave requirements of the law apply</w:t>
      </w:r>
      <w:r w:rsidR="00CF6A1B" w:rsidRPr="00157776">
        <w:t>.</w:t>
      </w:r>
      <w:r w:rsidRPr="00157776">
        <w:t xml:space="preserve"> Employees are eligible for leave if they have been employed for 12 months by their current employer, worked 1,250 hours during that time and report primarily to a worksite in Delaware, meaning they earn at least 60% of their wages while physically working in the state. </w:t>
      </w:r>
    </w:p>
    <w:p w14:paraId="49689E41" w14:textId="77540949" w:rsidR="00CF6D02" w:rsidRPr="00157776" w:rsidRDefault="009A1745" w:rsidP="00157776">
      <w:pPr>
        <w:pStyle w:val="BodyText"/>
      </w:pPr>
      <w:r>
        <w:t>The program is funded through payroll deductions split evenly between employers and employees.</w:t>
      </w:r>
    </w:p>
    <w:p w14:paraId="7E4F6168" w14:textId="0C86ABC5" w:rsidR="006513E4" w:rsidRPr="008C1FDC" w:rsidRDefault="009A1745" w:rsidP="003D3E49">
      <w:pPr>
        <w:pStyle w:val="Head3"/>
        <w:rPr>
          <w:i w:val="0"/>
          <w:iCs/>
        </w:rPr>
      </w:pPr>
      <w:r w:rsidRPr="008C1FDC">
        <w:rPr>
          <w:i w:val="0"/>
          <w:iCs/>
        </w:rPr>
        <w:t>Minnesota</w:t>
      </w:r>
      <w:r w:rsidR="00692D29">
        <w:rPr>
          <w:i w:val="0"/>
          <w:iCs/>
        </w:rPr>
        <w:t xml:space="preserve"> </w:t>
      </w:r>
      <w:r w:rsidR="00692D29" w:rsidRPr="00590A45">
        <w:rPr>
          <w:color w:val="323E4F" w:themeColor="text2" w:themeShade="BF"/>
        </w:rPr>
        <w:t>(</w:t>
      </w:r>
      <w:r w:rsidR="00692D29">
        <w:rPr>
          <w:color w:val="323E4F" w:themeColor="text2" w:themeShade="BF"/>
        </w:rPr>
        <w:t>Oct</w:t>
      </w:r>
      <w:r w:rsidR="00692D29" w:rsidRPr="00590A45">
        <w:rPr>
          <w:color w:val="323E4F" w:themeColor="text2" w:themeShade="BF"/>
        </w:rPr>
        <w:t xml:space="preserve"> 2025 State Handbook Addendum Release</w:t>
      </w:r>
      <w:r w:rsidR="00B4080A">
        <w:rPr>
          <w:color w:val="323E4F" w:themeColor="text2" w:themeShade="BF"/>
        </w:rPr>
        <w:t>d</w:t>
      </w:r>
      <w:r w:rsidR="00692D29" w:rsidRPr="00590A45">
        <w:rPr>
          <w:color w:val="323E4F" w:themeColor="text2" w:themeShade="BF"/>
        </w:rPr>
        <w:t xml:space="preserve"> by ETC)</w:t>
      </w:r>
    </w:p>
    <w:p w14:paraId="508F0434" w14:textId="3DDE7801" w:rsidR="004D72E0" w:rsidRDefault="009A1745" w:rsidP="004D72E0">
      <w:pPr>
        <w:pStyle w:val="BodyText"/>
      </w:pPr>
      <w:r>
        <w:t xml:space="preserve">Effective Jan. 1, 2026, </w:t>
      </w:r>
      <w:r w:rsidRPr="006513E4">
        <w:t>Minnesota’s</w:t>
      </w:r>
      <w:r w:rsidR="00BB6A5E">
        <w:t xml:space="preserve"> paid family and medical leave</w:t>
      </w:r>
      <w:r w:rsidRPr="006513E4">
        <w:t xml:space="preserve"> </w:t>
      </w:r>
      <w:hyperlink r:id="rId23" w:history="1">
        <w:r w:rsidR="004D72E0" w:rsidRPr="0011502F">
          <w:rPr>
            <w:rStyle w:val="Hyperlink"/>
          </w:rPr>
          <w:t>program</w:t>
        </w:r>
      </w:hyperlink>
      <w:r w:rsidRPr="006513E4">
        <w:t xml:space="preserve"> </w:t>
      </w:r>
      <w:r w:rsidR="0011502F">
        <w:t xml:space="preserve">(Minnesota Paid Leave) </w:t>
      </w:r>
      <w:r w:rsidRPr="006513E4">
        <w:t>went into effect</w:t>
      </w:r>
      <w:r>
        <w:t xml:space="preserve"> for virtually all Minnesota employers</w:t>
      </w:r>
      <w:r w:rsidR="00886D1C">
        <w:t xml:space="preserve">, </w:t>
      </w:r>
      <w:r>
        <w:t xml:space="preserve">providing </w:t>
      </w:r>
      <w:r w:rsidRPr="006513E4">
        <w:t xml:space="preserve">12 weeks </w:t>
      </w:r>
      <w:r w:rsidR="00B61E16">
        <w:t xml:space="preserve">of </w:t>
      </w:r>
      <w:r w:rsidRPr="006513E4">
        <w:t>medical</w:t>
      </w:r>
      <w:r w:rsidR="00B61E16">
        <w:t xml:space="preserve"> and</w:t>
      </w:r>
      <w:r w:rsidRPr="006513E4">
        <w:t xml:space="preserve"> 12 weeks </w:t>
      </w:r>
      <w:r w:rsidR="00FA75CB">
        <w:t xml:space="preserve">of </w:t>
      </w:r>
      <w:r w:rsidRPr="006513E4">
        <w:t xml:space="preserve">family </w:t>
      </w:r>
      <w:r w:rsidR="00B61E16">
        <w:t>leave per year</w:t>
      </w:r>
      <w:r w:rsidR="00AF684E">
        <w:t>—capped</w:t>
      </w:r>
      <w:r w:rsidRPr="006513E4">
        <w:t xml:space="preserve"> at 20 combined weeks </w:t>
      </w:r>
      <w:r w:rsidR="00B61E16">
        <w:t>annually</w:t>
      </w:r>
      <w:r w:rsidRPr="006513E4">
        <w:t>.</w:t>
      </w:r>
      <w:r>
        <w:t xml:space="preserve"> </w:t>
      </w:r>
      <w:r w:rsidR="006338AC">
        <w:t xml:space="preserve">Workers are </w:t>
      </w:r>
      <w:r w:rsidR="00ED0BA4">
        <w:t>eligible</w:t>
      </w:r>
      <w:r w:rsidR="006338AC">
        <w:t xml:space="preserve"> if they meet minimal income requirements and </w:t>
      </w:r>
      <w:r w:rsidR="00886D1C">
        <w:t xml:space="preserve">work in Minnesota </w:t>
      </w:r>
      <w:r w:rsidR="00FA75CB">
        <w:t xml:space="preserve">for </w:t>
      </w:r>
      <w:r w:rsidR="00886D1C">
        <w:t>at least 50% of the year</w:t>
      </w:r>
      <w:r w:rsidR="006338AC">
        <w:t>.</w:t>
      </w:r>
    </w:p>
    <w:p w14:paraId="2FF8401A" w14:textId="2B0C6825" w:rsidR="00217042" w:rsidRDefault="009A1745" w:rsidP="0011502F">
      <w:pPr>
        <w:pStyle w:val="BodyText"/>
      </w:pPr>
      <w:r>
        <w:t xml:space="preserve">Leave under the program is job-protected for employees who have worked for their employer for 90 days. </w:t>
      </w:r>
      <w:r w:rsidR="00AF684E">
        <w:t xml:space="preserve">Funding is split between employers and employees, </w:t>
      </w:r>
      <w:r w:rsidR="00AF684E" w:rsidRPr="00981EB6">
        <w:t>but</w:t>
      </w:r>
      <w:r w:rsidR="00AF684E">
        <w:t xml:space="preserve"> employers </w:t>
      </w:r>
      <w:r w:rsidR="00181150">
        <w:t>with 30 employees or fewer are eligible for a reduced premium if their employees’ average wage is no more than 150% of the state average wage.</w:t>
      </w:r>
    </w:p>
    <w:p w14:paraId="1A86C9AA" w14:textId="77777777" w:rsidR="00217042" w:rsidRDefault="00217042" w:rsidP="003D3E49">
      <w:pPr>
        <w:pStyle w:val="Head3"/>
      </w:pPr>
    </w:p>
    <w:p w14:paraId="3D0BC315" w14:textId="0AF7678A" w:rsidR="00CF47DA" w:rsidRPr="008C1FDC" w:rsidRDefault="009A1745" w:rsidP="003D3E49">
      <w:pPr>
        <w:pStyle w:val="Head3"/>
        <w:rPr>
          <w:i w:val="0"/>
          <w:iCs/>
        </w:rPr>
      </w:pPr>
      <w:r w:rsidRPr="008C1FDC">
        <w:rPr>
          <w:i w:val="0"/>
          <w:iCs/>
        </w:rPr>
        <w:lastRenderedPageBreak/>
        <w:t>New York</w:t>
      </w:r>
      <w:r w:rsidR="00F8211A">
        <w:rPr>
          <w:i w:val="0"/>
          <w:iCs/>
        </w:rPr>
        <w:t xml:space="preserve"> </w:t>
      </w:r>
      <w:r w:rsidR="00F8211A">
        <w:rPr>
          <w:i w:val="0"/>
          <w:iCs/>
        </w:rPr>
        <w:t xml:space="preserve"> </w:t>
      </w:r>
      <w:r w:rsidR="00F8211A" w:rsidRPr="00590A45">
        <w:rPr>
          <w:color w:val="323E4F" w:themeColor="text2" w:themeShade="BF"/>
        </w:rPr>
        <w:t>(Dec 2025 State Handbook Addendum Release</w:t>
      </w:r>
      <w:r w:rsidR="00F8211A">
        <w:rPr>
          <w:color w:val="323E4F" w:themeColor="text2" w:themeShade="BF"/>
        </w:rPr>
        <w:t>d</w:t>
      </w:r>
      <w:r w:rsidR="00F8211A" w:rsidRPr="00590A45">
        <w:rPr>
          <w:color w:val="323E4F" w:themeColor="text2" w:themeShade="BF"/>
        </w:rPr>
        <w:t xml:space="preserve"> by ETC</w:t>
      </w:r>
      <w:r w:rsidR="00F8211A">
        <w:rPr>
          <w:color w:val="323E4F" w:themeColor="text2" w:themeShade="BF"/>
        </w:rPr>
        <w:t>)</w:t>
      </w:r>
    </w:p>
    <w:p w14:paraId="1E5487F1" w14:textId="01177D2D" w:rsidR="007C663F" w:rsidRDefault="009A1745" w:rsidP="00864C15">
      <w:pPr>
        <w:pStyle w:val="BodyText"/>
      </w:pPr>
      <w:r>
        <w:t xml:space="preserve">On Feb. 22, 2026, an expansion of </w:t>
      </w:r>
      <w:r w:rsidR="008414C5" w:rsidRPr="008414C5">
        <w:t xml:space="preserve">New York City’s </w:t>
      </w:r>
      <w:hyperlink r:id="rId24" w:history="1">
        <w:r w:rsidR="008414C5" w:rsidRPr="00BB590C">
          <w:rPr>
            <w:rStyle w:val="Hyperlink"/>
          </w:rPr>
          <w:t>Earned Safe and Sick Time Act</w:t>
        </w:r>
      </w:hyperlink>
      <w:r w:rsidR="008414C5" w:rsidRPr="008414C5">
        <w:t xml:space="preserve"> w</w:t>
      </w:r>
      <w:r>
        <w:t>ent into effect</w:t>
      </w:r>
      <w:r w:rsidR="008414C5" w:rsidRPr="008414C5">
        <w:t xml:space="preserve">, adding new reasons for leave </w:t>
      </w:r>
      <w:r>
        <w:t xml:space="preserve">under the law </w:t>
      </w:r>
      <w:r w:rsidR="008414C5" w:rsidRPr="008414C5">
        <w:t>and requiring employers to provide an additional 32 hours of up-front unpaid time off</w:t>
      </w:r>
      <w:r>
        <w:t xml:space="preserve"> for every employee at the start of employment and the beginning of each calendar year</w:t>
      </w:r>
      <w:r w:rsidR="008414C5" w:rsidRPr="008414C5">
        <w:t xml:space="preserve">. </w:t>
      </w:r>
    </w:p>
    <w:p w14:paraId="7567B9C6" w14:textId="3B5E1CB1" w:rsidR="00CF47DA" w:rsidRDefault="009A1745" w:rsidP="00864C15">
      <w:pPr>
        <w:pStyle w:val="BodyText"/>
      </w:pPr>
      <w:r w:rsidRPr="008414C5">
        <w:t xml:space="preserve">At the same time, </w:t>
      </w:r>
      <w:r w:rsidR="0011502F">
        <w:t>M</w:t>
      </w:r>
      <w:r w:rsidRPr="008414C5">
        <w:t xml:space="preserve">ayor </w:t>
      </w:r>
      <w:r w:rsidR="0011502F">
        <w:t xml:space="preserve">Zohran Mamdani </w:t>
      </w:r>
      <w:r w:rsidRPr="008414C5">
        <w:t>announced an “</w:t>
      </w:r>
      <w:hyperlink r:id="rId25" w:history="1">
        <w:r w:rsidR="00CF47DA" w:rsidRPr="002A43B8">
          <w:rPr>
            <w:rStyle w:val="Hyperlink"/>
          </w:rPr>
          <w:t>enforcement blitz</w:t>
        </w:r>
      </w:hyperlink>
      <w:r w:rsidRPr="008414C5">
        <w:t xml:space="preserve">” for the law, which the administration is now calling the Protected Time Off Law.  </w:t>
      </w:r>
    </w:p>
    <w:p w14:paraId="09058BD2" w14:textId="042EC111" w:rsidR="00150F19" w:rsidRPr="00A252B2" w:rsidRDefault="009A1745" w:rsidP="00A252B2">
      <w:pPr>
        <w:pStyle w:val="BodyText"/>
      </w:pPr>
      <w:r>
        <w:t>The amen</w:t>
      </w:r>
      <w:r w:rsidR="00AE6ED2">
        <w:t>ded law</w:t>
      </w:r>
      <w:r>
        <w:t xml:space="preserve"> </w:t>
      </w:r>
      <w:r w:rsidR="00AE6ED2">
        <w:t xml:space="preserve">effectively replaces the city’s </w:t>
      </w:r>
      <w:r w:rsidR="001E2525">
        <w:t xml:space="preserve">Temporary Schedule Change Act, which </w:t>
      </w:r>
      <w:r w:rsidR="000F51F5">
        <w:t>required</w:t>
      </w:r>
      <w:r w:rsidR="001E2525">
        <w:t xml:space="preserve"> </w:t>
      </w:r>
      <w:r w:rsidR="000F51F5">
        <w:t xml:space="preserve">employers to accommodate two schedule changes per year for employees for </w:t>
      </w:r>
      <w:r w:rsidR="00A252B2">
        <w:t>any</w:t>
      </w:r>
      <w:r w:rsidR="000F51F5">
        <w:t xml:space="preserve"> of a number of specified “personal events,” which are now included </w:t>
      </w:r>
      <w:r w:rsidR="00A252B2">
        <w:t xml:space="preserve">as </w:t>
      </w:r>
      <w:r w:rsidR="0011502F">
        <w:t>permitted reasons for</w:t>
      </w:r>
      <w:r w:rsidR="00A252B2">
        <w:t xml:space="preserve"> leave under </w:t>
      </w:r>
      <w:r w:rsidR="000F51F5">
        <w:t xml:space="preserve">the Protected Time Off Law.  </w:t>
      </w:r>
    </w:p>
    <w:p w14:paraId="6384661D" w14:textId="0002EAD4" w:rsidR="00150F19" w:rsidRPr="008C1FDC" w:rsidRDefault="009A1745" w:rsidP="00DB4183">
      <w:pPr>
        <w:pStyle w:val="Head3"/>
        <w:rPr>
          <w:i w:val="0"/>
          <w:iCs/>
        </w:rPr>
      </w:pPr>
      <w:r w:rsidRPr="008C1FDC">
        <w:rPr>
          <w:i w:val="0"/>
          <w:iCs/>
        </w:rPr>
        <w:t>Oregon</w:t>
      </w:r>
      <w:r w:rsidR="00F8211A">
        <w:rPr>
          <w:i w:val="0"/>
          <w:iCs/>
        </w:rPr>
        <w:t xml:space="preserve"> </w:t>
      </w:r>
      <w:r w:rsidR="00F8211A">
        <w:rPr>
          <w:i w:val="0"/>
          <w:iCs/>
        </w:rPr>
        <w:t xml:space="preserve"> </w:t>
      </w:r>
      <w:r w:rsidR="00F8211A" w:rsidRPr="00590A45">
        <w:rPr>
          <w:color w:val="323E4F" w:themeColor="text2" w:themeShade="BF"/>
        </w:rPr>
        <w:t>(Dec 2025 State Handbook Addendum Release</w:t>
      </w:r>
      <w:r w:rsidR="00F8211A">
        <w:rPr>
          <w:color w:val="323E4F" w:themeColor="text2" w:themeShade="BF"/>
        </w:rPr>
        <w:t>d</w:t>
      </w:r>
      <w:r w:rsidR="00F8211A" w:rsidRPr="00590A45">
        <w:rPr>
          <w:color w:val="323E4F" w:themeColor="text2" w:themeShade="BF"/>
        </w:rPr>
        <w:t xml:space="preserve"> by ETC</w:t>
      </w:r>
      <w:r w:rsidR="00F8211A">
        <w:rPr>
          <w:color w:val="323E4F" w:themeColor="text2" w:themeShade="BF"/>
        </w:rPr>
        <w:t>)</w:t>
      </w:r>
    </w:p>
    <w:p w14:paraId="694E5341" w14:textId="35D2185D" w:rsidR="00150F19" w:rsidRDefault="009A1745" w:rsidP="0015259B">
      <w:pPr>
        <w:pStyle w:val="BodyText"/>
      </w:pPr>
      <w:r>
        <w:t xml:space="preserve">On </w:t>
      </w:r>
      <w:r w:rsidR="00977954" w:rsidRPr="00977954">
        <w:t>Jan. 1, 2026</w:t>
      </w:r>
      <w:r w:rsidR="00977954">
        <w:t xml:space="preserve">, </w:t>
      </w:r>
      <w:r>
        <w:t xml:space="preserve">Oregon </w:t>
      </w:r>
      <w:r w:rsidR="00FA4136">
        <w:t xml:space="preserve">employees were allowed to begin using their </w:t>
      </w:r>
      <w:hyperlink r:id="rId26" w:history="1">
        <w:r w:rsidR="00FA4136" w:rsidRPr="00C940B5">
          <w:rPr>
            <w:rStyle w:val="Hyperlink"/>
          </w:rPr>
          <w:t xml:space="preserve">accrued </w:t>
        </w:r>
        <w:r w:rsidRPr="00C940B5">
          <w:rPr>
            <w:rStyle w:val="Hyperlink"/>
          </w:rPr>
          <w:t>sick time</w:t>
        </w:r>
      </w:hyperlink>
      <w:r>
        <w:t xml:space="preserve"> </w:t>
      </w:r>
      <w:r w:rsidR="00FA4136">
        <w:t xml:space="preserve">under state law </w:t>
      </w:r>
      <w:r w:rsidR="00977954" w:rsidRPr="00977954">
        <w:t xml:space="preserve">for blood donation. </w:t>
      </w:r>
      <w:r w:rsidR="00045770">
        <w:t xml:space="preserve">This </w:t>
      </w:r>
      <w:r w:rsidR="000B2D52">
        <w:t>expansion</w:t>
      </w:r>
      <w:r w:rsidR="00045770">
        <w:t xml:space="preserve"> is in line with a trend in leave laws nationwide to allow time off for blood, organ and bone marrow donors.</w:t>
      </w:r>
    </w:p>
    <w:p w14:paraId="7FF4AE8F" w14:textId="660C46BF" w:rsidR="00CC46F1" w:rsidRPr="008C1FDC" w:rsidRDefault="009A1745" w:rsidP="00CC46F1">
      <w:pPr>
        <w:pStyle w:val="Head3"/>
        <w:rPr>
          <w:i w:val="0"/>
          <w:iCs/>
        </w:rPr>
      </w:pPr>
      <w:r w:rsidRPr="008C1FDC">
        <w:rPr>
          <w:i w:val="0"/>
          <w:iCs/>
        </w:rPr>
        <w:t>Rhode Island</w:t>
      </w:r>
      <w:r w:rsidR="00F8211A">
        <w:rPr>
          <w:i w:val="0"/>
          <w:iCs/>
        </w:rPr>
        <w:t xml:space="preserve"> </w:t>
      </w:r>
      <w:r w:rsidR="00F8211A">
        <w:rPr>
          <w:i w:val="0"/>
          <w:iCs/>
        </w:rPr>
        <w:t xml:space="preserve"> </w:t>
      </w:r>
      <w:r w:rsidR="00F8211A" w:rsidRPr="00590A45">
        <w:rPr>
          <w:color w:val="323E4F" w:themeColor="text2" w:themeShade="BF"/>
        </w:rPr>
        <w:t>(</w:t>
      </w:r>
      <w:r w:rsidR="00F8211A">
        <w:rPr>
          <w:color w:val="323E4F" w:themeColor="text2" w:themeShade="BF"/>
        </w:rPr>
        <w:t>Nov</w:t>
      </w:r>
      <w:r w:rsidR="00F8211A" w:rsidRPr="00590A45">
        <w:rPr>
          <w:color w:val="323E4F" w:themeColor="text2" w:themeShade="BF"/>
        </w:rPr>
        <w:t xml:space="preserve"> 2025 State Handbook Addendum Release</w:t>
      </w:r>
      <w:r w:rsidR="00F8211A">
        <w:rPr>
          <w:color w:val="323E4F" w:themeColor="text2" w:themeShade="BF"/>
        </w:rPr>
        <w:t>d</w:t>
      </w:r>
      <w:r w:rsidR="00F8211A" w:rsidRPr="00590A45">
        <w:rPr>
          <w:color w:val="323E4F" w:themeColor="text2" w:themeShade="BF"/>
        </w:rPr>
        <w:t xml:space="preserve"> by ETC</w:t>
      </w:r>
      <w:r w:rsidR="00F8211A">
        <w:rPr>
          <w:color w:val="323E4F" w:themeColor="text2" w:themeShade="BF"/>
        </w:rPr>
        <w:t>)</w:t>
      </w:r>
    </w:p>
    <w:p w14:paraId="35A821E4" w14:textId="7021C039" w:rsidR="000C2E03" w:rsidRDefault="009A1745" w:rsidP="00926A5B">
      <w:pPr>
        <w:pStyle w:val="BodyText"/>
        <w:rPr>
          <w:rFonts w:eastAsia="Calibri"/>
          <w:szCs w:val="18"/>
        </w:rPr>
      </w:pPr>
      <w:r>
        <w:t>On</w:t>
      </w:r>
      <w:r w:rsidRPr="000C2E03">
        <w:rPr>
          <w:rFonts w:eastAsia="Calibri"/>
          <w:szCs w:val="18"/>
        </w:rPr>
        <w:t xml:space="preserve"> Jan. 1, 2026</w:t>
      </w:r>
      <w:r>
        <w:t>,</w:t>
      </w:r>
      <w:r w:rsidRPr="000C2E03">
        <w:rPr>
          <w:rFonts w:eastAsia="Calibri"/>
          <w:szCs w:val="18"/>
        </w:rPr>
        <w:t xml:space="preserve"> </w:t>
      </w:r>
      <w:r w:rsidR="00A8588B">
        <w:rPr>
          <w:rFonts w:eastAsia="Calibri"/>
          <w:szCs w:val="18"/>
        </w:rPr>
        <w:t xml:space="preserve">the permitted annual </w:t>
      </w:r>
      <w:r w:rsidR="00926A5B">
        <w:t xml:space="preserve">leave </w:t>
      </w:r>
      <w:r w:rsidR="00A8588B">
        <w:t xml:space="preserve">amount </w:t>
      </w:r>
      <w:r>
        <w:t xml:space="preserve">under the state’s </w:t>
      </w:r>
      <w:hyperlink r:id="rId27" w:history="1">
        <w:r w:rsidR="000C2E03" w:rsidRPr="00082F1E">
          <w:rPr>
            <w:rStyle w:val="Hyperlink"/>
            <w:rFonts w:eastAsia="Calibri"/>
            <w:szCs w:val="18"/>
          </w:rPr>
          <w:t xml:space="preserve">temporary caregiving insurance </w:t>
        </w:r>
        <w:r w:rsidR="000C2E03" w:rsidRPr="00082F1E">
          <w:rPr>
            <w:rStyle w:val="Hyperlink"/>
          </w:rPr>
          <w:t>program</w:t>
        </w:r>
      </w:hyperlink>
      <w:r>
        <w:t xml:space="preserve"> </w:t>
      </w:r>
      <w:r w:rsidRPr="000C2E03">
        <w:rPr>
          <w:rFonts w:eastAsia="Calibri"/>
          <w:szCs w:val="18"/>
        </w:rPr>
        <w:t>(</w:t>
      </w:r>
      <w:r>
        <w:t>effectively paid family leave</w:t>
      </w:r>
      <w:r w:rsidRPr="000C2E03">
        <w:rPr>
          <w:rFonts w:eastAsia="Calibri"/>
          <w:szCs w:val="18"/>
        </w:rPr>
        <w:t xml:space="preserve">) </w:t>
      </w:r>
      <w:r w:rsidR="00C34688">
        <w:rPr>
          <w:rFonts w:eastAsia="Calibri"/>
          <w:szCs w:val="18"/>
        </w:rPr>
        <w:t xml:space="preserve">was expanded </w:t>
      </w:r>
      <w:r w:rsidR="00926A5B">
        <w:t>to</w:t>
      </w:r>
      <w:r w:rsidRPr="000C2E03">
        <w:rPr>
          <w:rFonts w:eastAsia="Calibri"/>
          <w:szCs w:val="18"/>
        </w:rPr>
        <w:t xml:space="preserve"> eight weeks</w:t>
      </w:r>
      <w:r w:rsidR="00926A5B">
        <w:t xml:space="preserve"> </w:t>
      </w:r>
      <w:r w:rsidRPr="000C2E03">
        <w:rPr>
          <w:rFonts w:eastAsia="Calibri"/>
          <w:szCs w:val="18"/>
        </w:rPr>
        <w:t xml:space="preserve">from seven. </w:t>
      </w:r>
      <w:r w:rsidR="00926A5B">
        <w:t xml:space="preserve">This change is in line with the expansion of other </w:t>
      </w:r>
      <w:r w:rsidRPr="000C2E03">
        <w:rPr>
          <w:rFonts w:eastAsia="Calibri"/>
          <w:szCs w:val="18"/>
        </w:rPr>
        <w:t xml:space="preserve">older leave laws to match </w:t>
      </w:r>
      <w:r w:rsidR="00926A5B">
        <w:t xml:space="preserve">the </w:t>
      </w:r>
      <w:r w:rsidRPr="000C2E03">
        <w:rPr>
          <w:rFonts w:eastAsia="Calibri"/>
          <w:szCs w:val="18"/>
        </w:rPr>
        <w:t xml:space="preserve">benefits </w:t>
      </w:r>
      <w:r w:rsidR="00926A5B">
        <w:t xml:space="preserve">of </w:t>
      </w:r>
      <w:r w:rsidRPr="000C2E03">
        <w:rPr>
          <w:rFonts w:eastAsia="Calibri"/>
          <w:szCs w:val="18"/>
        </w:rPr>
        <w:t>newer</w:t>
      </w:r>
      <w:r w:rsidR="00926A5B">
        <w:rPr>
          <w:rFonts w:eastAsia="Calibri"/>
          <w:szCs w:val="18"/>
        </w:rPr>
        <w:t>, more generous</w:t>
      </w:r>
      <w:r w:rsidRPr="000C2E03">
        <w:rPr>
          <w:rFonts w:eastAsia="Calibri"/>
          <w:szCs w:val="18"/>
        </w:rPr>
        <w:t xml:space="preserve"> leave laws in other states.</w:t>
      </w:r>
    </w:p>
    <w:p w14:paraId="58651A5E" w14:textId="600C06A3" w:rsidR="00C34688" w:rsidRPr="008C1FDC" w:rsidRDefault="009A1745" w:rsidP="00C34688">
      <w:pPr>
        <w:pStyle w:val="Head3"/>
        <w:rPr>
          <w:rFonts w:eastAsia="Calibri"/>
          <w:i w:val="0"/>
          <w:iCs/>
        </w:rPr>
      </w:pPr>
      <w:r w:rsidRPr="008C1FDC">
        <w:rPr>
          <w:rFonts w:eastAsia="Calibri"/>
          <w:i w:val="0"/>
          <w:iCs/>
        </w:rPr>
        <w:t>Washington</w:t>
      </w:r>
      <w:r w:rsidR="00F8211A">
        <w:rPr>
          <w:rFonts w:eastAsia="Calibri"/>
          <w:i w:val="0"/>
          <w:iCs/>
        </w:rPr>
        <w:t xml:space="preserve"> </w:t>
      </w:r>
      <w:r w:rsidR="00F8211A" w:rsidRPr="00590A45">
        <w:rPr>
          <w:color w:val="323E4F" w:themeColor="text2" w:themeShade="BF"/>
        </w:rPr>
        <w:t>(Dec 2025 State Handbook Addendum</w:t>
      </w:r>
      <w:r w:rsidR="00F8211A">
        <w:rPr>
          <w:color w:val="323E4F" w:themeColor="text2" w:themeShade="BF"/>
        </w:rPr>
        <w:t xml:space="preserve">; </w:t>
      </w:r>
      <w:r w:rsidR="00066BB2">
        <w:rPr>
          <w:color w:val="323E4F" w:themeColor="text2" w:themeShade="BF"/>
        </w:rPr>
        <w:t>Additional Addendum forthcoming April 2026</w:t>
      </w:r>
      <w:r w:rsidR="00F8211A">
        <w:rPr>
          <w:color w:val="323E4F" w:themeColor="text2" w:themeShade="BF"/>
        </w:rPr>
        <w:t>)</w:t>
      </w:r>
    </w:p>
    <w:p w14:paraId="405C6209" w14:textId="79C8337F" w:rsidR="00EB7A79" w:rsidRDefault="009A1745" w:rsidP="00C34688">
      <w:pPr>
        <w:pStyle w:val="BodyText"/>
        <w:rPr>
          <w:rFonts w:eastAsia="Calibri"/>
        </w:rPr>
      </w:pPr>
      <w:r w:rsidRPr="00FD571E">
        <w:rPr>
          <w:rFonts w:eastAsia="Calibri"/>
        </w:rPr>
        <w:t xml:space="preserve">On Jan. 1, 2026, </w:t>
      </w:r>
      <w:r w:rsidR="00331842">
        <w:rPr>
          <w:rFonts w:eastAsia="Calibri"/>
        </w:rPr>
        <w:t>sign</w:t>
      </w:r>
      <w:r>
        <w:rPr>
          <w:rFonts w:eastAsia="Calibri"/>
        </w:rPr>
        <w:t xml:space="preserve">ificant </w:t>
      </w:r>
      <w:r w:rsidRPr="00FD571E">
        <w:rPr>
          <w:rFonts w:eastAsia="Calibri"/>
        </w:rPr>
        <w:t xml:space="preserve">amendments to </w:t>
      </w:r>
      <w:r>
        <w:rPr>
          <w:rFonts w:eastAsia="Calibri"/>
        </w:rPr>
        <w:t>Washington’s</w:t>
      </w:r>
      <w:r w:rsidRPr="00FD571E">
        <w:rPr>
          <w:rFonts w:eastAsia="Calibri"/>
        </w:rPr>
        <w:t xml:space="preserve"> paid family and medical leave law took effect</w:t>
      </w:r>
      <w:r>
        <w:rPr>
          <w:rFonts w:eastAsia="Calibri"/>
        </w:rPr>
        <w:t>.</w:t>
      </w:r>
      <w:r w:rsidRPr="00FD571E">
        <w:rPr>
          <w:rFonts w:eastAsia="Calibri"/>
        </w:rPr>
        <w:t xml:space="preserve"> </w:t>
      </w:r>
      <w:hyperlink r:id="rId28" w:history="1">
        <w:r w:rsidR="00EB7A79" w:rsidRPr="007A0A86">
          <w:rPr>
            <w:rStyle w:val="Hyperlink"/>
            <w:rFonts w:eastAsia="Calibri"/>
          </w:rPr>
          <w:t>Notable changes</w:t>
        </w:r>
      </w:hyperlink>
      <w:r>
        <w:rPr>
          <w:rFonts w:eastAsia="Calibri"/>
        </w:rPr>
        <w:t xml:space="preserve"> included: </w:t>
      </w:r>
    </w:p>
    <w:p w14:paraId="52C5C6B5" w14:textId="054DB8AE" w:rsidR="00EB7A79" w:rsidRDefault="009A1745" w:rsidP="00EB7A79">
      <w:pPr>
        <w:pStyle w:val="BulletList"/>
        <w:rPr>
          <w:rFonts w:eastAsia="Calibri"/>
        </w:rPr>
      </w:pPr>
      <w:r>
        <w:rPr>
          <w:rFonts w:eastAsia="Calibri"/>
        </w:rPr>
        <w:t>E</w:t>
      </w:r>
      <w:r w:rsidR="00FD571E" w:rsidRPr="00FD571E">
        <w:rPr>
          <w:rFonts w:eastAsia="Calibri"/>
        </w:rPr>
        <w:t>xpan</w:t>
      </w:r>
      <w:r>
        <w:rPr>
          <w:rFonts w:eastAsia="Calibri"/>
        </w:rPr>
        <w:t xml:space="preserve">ding </w:t>
      </w:r>
      <w:r w:rsidR="00FD571E" w:rsidRPr="00FD571E">
        <w:rPr>
          <w:rFonts w:eastAsia="Calibri"/>
        </w:rPr>
        <w:t>job restoration</w:t>
      </w:r>
      <w:r w:rsidR="00331842">
        <w:rPr>
          <w:rFonts w:eastAsia="Calibri"/>
        </w:rPr>
        <w:t xml:space="preserve"> rights </w:t>
      </w:r>
      <w:r w:rsidR="00C56ED2">
        <w:rPr>
          <w:rFonts w:eastAsia="Calibri"/>
        </w:rPr>
        <w:t>to</w:t>
      </w:r>
      <w:r w:rsidR="00331842">
        <w:rPr>
          <w:rFonts w:eastAsia="Calibri"/>
        </w:rPr>
        <w:t xml:space="preserve"> employees </w:t>
      </w:r>
      <w:r w:rsidR="00C56ED2">
        <w:rPr>
          <w:rFonts w:eastAsia="Calibri"/>
        </w:rPr>
        <w:t>who have worked for their employer for 180 days (</w:t>
      </w:r>
      <w:r w:rsidR="00A8588B">
        <w:rPr>
          <w:rFonts w:eastAsia="Calibri"/>
        </w:rPr>
        <w:t>replacing</w:t>
      </w:r>
      <w:r w:rsidR="00C56ED2">
        <w:rPr>
          <w:rFonts w:eastAsia="Calibri"/>
        </w:rPr>
        <w:t xml:space="preserve"> </w:t>
      </w:r>
      <w:r w:rsidR="0050399E">
        <w:rPr>
          <w:rFonts w:eastAsia="Calibri"/>
        </w:rPr>
        <w:t xml:space="preserve">work tenure </w:t>
      </w:r>
      <w:r w:rsidR="00A8588B">
        <w:rPr>
          <w:rFonts w:eastAsia="Calibri"/>
        </w:rPr>
        <w:t xml:space="preserve">requirements </w:t>
      </w:r>
      <w:r w:rsidR="0050399E">
        <w:rPr>
          <w:rFonts w:eastAsia="Calibri"/>
        </w:rPr>
        <w:t xml:space="preserve">of </w:t>
      </w:r>
      <w:r w:rsidR="0036002B" w:rsidRPr="0036002B">
        <w:rPr>
          <w:rFonts w:eastAsia="Calibri"/>
        </w:rPr>
        <w:t>12 month</w:t>
      </w:r>
      <w:r w:rsidR="0050399E">
        <w:rPr>
          <w:rFonts w:eastAsia="Calibri"/>
        </w:rPr>
        <w:t xml:space="preserve">s and </w:t>
      </w:r>
      <w:r w:rsidR="0036002B" w:rsidRPr="0036002B">
        <w:rPr>
          <w:rFonts w:eastAsia="Calibri"/>
        </w:rPr>
        <w:t>1,250 hours</w:t>
      </w:r>
      <w:r w:rsidR="00295C5C">
        <w:rPr>
          <w:rFonts w:eastAsia="Calibri"/>
        </w:rPr>
        <w:t>)</w:t>
      </w:r>
      <w:r>
        <w:rPr>
          <w:rFonts w:eastAsia="Calibri"/>
        </w:rPr>
        <w:t>;</w:t>
      </w:r>
    </w:p>
    <w:p w14:paraId="5F1F45CE" w14:textId="3503D02D" w:rsidR="000823B0" w:rsidRDefault="009A1745" w:rsidP="00EB7A79">
      <w:pPr>
        <w:pStyle w:val="BulletList"/>
        <w:rPr>
          <w:rFonts w:eastAsia="Calibri"/>
        </w:rPr>
      </w:pPr>
      <w:r>
        <w:rPr>
          <w:rFonts w:eastAsia="Calibri"/>
        </w:rPr>
        <w:t xml:space="preserve">Expanding </w:t>
      </w:r>
      <w:r w:rsidRPr="000823B0">
        <w:rPr>
          <w:rFonts w:eastAsia="Calibri"/>
        </w:rPr>
        <w:t xml:space="preserve">job restoration </w:t>
      </w:r>
      <w:r w:rsidR="00FF0545">
        <w:rPr>
          <w:rFonts w:eastAsia="Calibri"/>
        </w:rPr>
        <w:t xml:space="preserve">rights </w:t>
      </w:r>
      <w:r w:rsidRPr="000823B0">
        <w:rPr>
          <w:rFonts w:eastAsia="Calibri"/>
        </w:rPr>
        <w:t>to employees of employers</w:t>
      </w:r>
      <w:r>
        <w:rPr>
          <w:rFonts w:eastAsia="Calibri"/>
        </w:rPr>
        <w:t xml:space="preserve"> with </w:t>
      </w:r>
      <w:r w:rsidR="00C53BBD">
        <w:rPr>
          <w:rFonts w:eastAsia="Calibri"/>
        </w:rPr>
        <w:t xml:space="preserve">25 </w:t>
      </w:r>
      <w:r w:rsidR="00FF0545">
        <w:rPr>
          <w:rFonts w:eastAsia="Calibri"/>
        </w:rPr>
        <w:t>(</w:t>
      </w:r>
      <w:r w:rsidR="0050399E">
        <w:rPr>
          <w:rFonts w:eastAsia="Calibri"/>
        </w:rPr>
        <w:t>instead of</w:t>
      </w:r>
      <w:r w:rsidR="00FF0545">
        <w:rPr>
          <w:rFonts w:eastAsia="Calibri"/>
        </w:rPr>
        <w:t xml:space="preserve"> 50) </w:t>
      </w:r>
      <w:r w:rsidR="00C53BBD" w:rsidRPr="00C53BBD">
        <w:rPr>
          <w:rFonts w:eastAsia="Calibri"/>
        </w:rPr>
        <w:t>employees</w:t>
      </w:r>
      <w:r w:rsidR="00C53BBD">
        <w:rPr>
          <w:rFonts w:eastAsia="Calibri"/>
        </w:rPr>
        <w:t xml:space="preserve"> or more</w:t>
      </w:r>
      <w:r w:rsidR="00FF0545">
        <w:rPr>
          <w:rFonts w:eastAsia="Calibri"/>
        </w:rPr>
        <w:t>;</w:t>
      </w:r>
    </w:p>
    <w:p w14:paraId="0F06740E" w14:textId="2E901FD2" w:rsidR="00EB7A79" w:rsidRDefault="009A1745" w:rsidP="00EB7A79">
      <w:pPr>
        <w:pStyle w:val="BulletList"/>
        <w:rPr>
          <w:rFonts w:eastAsia="Calibri"/>
        </w:rPr>
      </w:pPr>
      <w:r>
        <w:rPr>
          <w:rFonts w:eastAsia="Calibri"/>
        </w:rPr>
        <w:t>Discouraging leave stacking by a</w:t>
      </w:r>
      <w:r w:rsidR="00FD571E" w:rsidRPr="00FD571E">
        <w:rPr>
          <w:rFonts w:eastAsia="Calibri"/>
        </w:rPr>
        <w:t xml:space="preserve">llowing employers to count </w:t>
      </w:r>
      <w:r w:rsidR="00331842">
        <w:rPr>
          <w:rFonts w:eastAsia="Calibri"/>
        </w:rPr>
        <w:t xml:space="preserve">an employee’s </w:t>
      </w:r>
      <w:r w:rsidR="00FD571E">
        <w:rPr>
          <w:rFonts w:eastAsia="Calibri"/>
        </w:rPr>
        <w:t xml:space="preserve">leave under the federal </w:t>
      </w:r>
      <w:r w:rsidR="00FD571E" w:rsidRPr="00FD571E">
        <w:rPr>
          <w:rFonts w:eastAsia="Calibri"/>
        </w:rPr>
        <w:t>F</w:t>
      </w:r>
      <w:r w:rsidR="00FD571E">
        <w:rPr>
          <w:rFonts w:eastAsia="Calibri"/>
        </w:rPr>
        <w:t xml:space="preserve">amily and </w:t>
      </w:r>
      <w:r w:rsidR="00FD571E" w:rsidRPr="00FD571E">
        <w:rPr>
          <w:rFonts w:eastAsia="Calibri"/>
        </w:rPr>
        <w:t>M</w:t>
      </w:r>
      <w:r w:rsidR="00FD571E">
        <w:rPr>
          <w:rFonts w:eastAsia="Calibri"/>
        </w:rPr>
        <w:t xml:space="preserve">edical </w:t>
      </w:r>
      <w:r w:rsidR="00FD571E" w:rsidRPr="00FD571E">
        <w:rPr>
          <w:rFonts w:eastAsia="Calibri"/>
        </w:rPr>
        <w:t>L</w:t>
      </w:r>
      <w:r w:rsidR="00FD571E">
        <w:rPr>
          <w:rFonts w:eastAsia="Calibri"/>
        </w:rPr>
        <w:t xml:space="preserve">eave </w:t>
      </w:r>
      <w:r w:rsidR="00FD571E" w:rsidRPr="00FD571E">
        <w:rPr>
          <w:rFonts w:eastAsia="Calibri"/>
        </w:rPr>
        <w:t>A</w:t>
      </w:r>
      <w:r w:rsidR="00FD571E">
        <w:rPr>
          <w:rFonts w:eastAsia="Calibri"/>
        </w:rPr>
        <w:t>ct</w:t>
      </w:r>
      <w:r w:rsidR="00FD571E" w:rsidRPr="00FD571E">
        <w:rPr>
          <w:rFonts w:eastAsia="Calibri"/>
        </w:rPr>
        <w:t xml:space="preserve"> against </w:t>
      </w:r>
      <w:r>
        <w:rPr>
          <w:rFonts w:eastAsia="Calibri"/>
        </w:rPr>
        <w:t>the</w:t>
      </w:r>
      <w:r w:rsidR="008C32C6">
        <w:rPr>
          <w:rFonts w:eastAsia="Calibri"/>
        </w:rPr>
        <w:t xml:space="preserve"> employee’s</w:t>
      </w:r>
      <w:r w:rsidR="00FD571E" w:rsidRPr="00FD571E">
        <w:rPr>
          <w:rFonts w:eastAsia="Calibri"/>
        </w:rPr>
        <w:t xml:space="preserve"> </w:t>
      </w:r>
      <w:r>
        <w:rPr>
          <w:rFonts w:eastAsia="Calibri"/>
        </w:rPr>
        <w:t xml:space="preserve">state </w:t>
      </w:r>
      <w:r w:rsidR="00FD571E" w:rsidRPr="00FD571E">
        <w:rPr>
          <w:rFonts w:eastAsia="Calibri"/>
        </w:rPr>
        <w:t>paid family and medical leave job protection</w:t>
      </w:r>
      <w:r>
        <w:rPr>
          <w:rFonts w:eastAsia="Calibri"/>
        </w:rPr>
        <w:t>;</w:t>
      </w:r>
      <w:r w:rsidR="00FD571E" w:rsidRPr="00FD571E">
        <w:rPr>
          <w:rFonts w:eastAsia="Calibri"/>
        </w:rPr>
        <w:t xml:space="preserve">  </w:t>
      </w:r>
    </w:p>
    <w:p w14:paraId="0EA0BDD5" w14:textId="5288CBE3" w:rsidR="00EB7A79" w:rsidRDefault="009A1745" w:rsidP="00EB7A79">
      <w:pPr>
        <w:pStyle w:val="BulletList"/>
        <w:rPr>
          <w:rFonts w:eastAsia="Calibri"/>
        </w:rPr>
      </w:pPr>
      <w:r>
        <w:rPr>
          <w:rFonts w:eastAsia="Calibri"/>
        </w:rPr>
        <w:t xml:space="preserve">Requiring employers to maintain health insurance </w:t>
      </w:r>
      <w:r w:rsidR="0050399E" w:rsidRPr="0050399E">
        <w:rPr>
          <w:rFonts w:eastAsia="Calibri"/>
        </w:rPr>
        <w:t>during any paid family and medical leave for which the employee is entitled to job protection</w:t>
      </w:r>
      <w:r>
        <w:rPr>
          <w:rFonts w:eastAsia="Calibri"/>
        </w:rPr>
        <w:t>;</w:t>
      </w:r>
      <w:r w:rsidR="00FD571E" w:rsidRPr="00FD571E">
        <w:rPr>
          <w:rFonts w:eastAsia="Calibri"/>
        </w:rPr>
        <w:t xml:space="preserve"> </w:t>
      </w:r>
      <w:r>
        <w:rPr>
          <w:rFonts w:eastAsia="Calibri"/>
        </w:rPr>
        <w:t xml:space="preserve">and </w:t>
      </w:r>
    </w:p>
    <w:p w14:paraId="0B45CAED" w14:textId="2BC5C618" w:rsidR="00C34688" w:rsidRPr="000C2E03" w:rsidRDefault="009A1745" w:rsidP="00EB7A79">
      <w:pPr>
        <w:pStyle w:val="BulletList"/>
        <w:rPr>
          <w:rFonts w:eastAsia="Calibri"/>
        </w:rPr>
      </w:pPr>
      <w:r>
        <w:rPr>
          <w:rFonts w:eastAsia="Calibri"/>
        </w:rPr>
        <w:t xml:space="preserve">Adding </w:t>
      </w:r>
      <w:r w:rsidR="00331842">
        <w:rPr>
          <w:rFonts w:eastAsia="Calibri"/>
        </w:rPr>
        <w:t xml:space="preserve">new </w:t>
      </w:r>
      <w:r w:rsidR="00295C5C">
        <w:rPr>
          <w:rFonts w:eastAsia="Calibri"/>
        </w:rPr>
        <w:t xml:space="preserve">employer </w:t>
      </w:r>
      <w:r w:rsidR="00331842">
        <w:rPr>
          <w:rFonts w:eastAsia="Calibri"/>
        </w:rPr>
        <w:t xml:space="preserve">notice obligations </w:t>
      </w:r>
      <w:r w:rsidR="00C56ED2">
        <w:rPr>
          <w:rFonts w:eastAsia="Calibri"/>
        </w:rPr>
        <w:t>related to job restoration</w:t>
      </w:r>
      <w:r w:rsidR="00331842">
        <w:rPr>
          <w:rFonts w:eastAsia="Calibri"/>
        </w:rPr>
        <w:t>.</w:t>
      </w:r>
    </w:p>
    <w:p w14:paraId="55DB0BD7" w14:textId="52198696" w:rsidR="00CC46F1" w:rsidRPr="00150F19" w:rsidRDefault="009A1745" w:rsidP="00C918B0">
      <w:pPr>
        <w:pStyle w:val="BodyText"/>
      </w:pPr>
      <w:r>
        <w:t xml:space="preserve">In addition, also effective Jan. 1, 2026, the Washington </w:t>
      </w:r>
      <w:r w:rsidRPr="00C918B0">
        <w:t>Domestic Violence Leave Act</w:t>
      </w:r>
      <w:r>
        <w:t xml:space="preserve"> added </w:t>
      </w:r>
      <w:r w:rsidRPr="00C918B0">
        <w:t>reasonable leave for victims of hate crimes</w:t>
      </w:r>
      <w:r w:rsidR="009839CF">
        <w:t>, following a trend seen in domestic violence leave laws in other states.</w:t>
      </w:r>
    </w:p>
    <w:p w14:paraId="02C99227" w14:textId="6956B8F5" w:rsidR="00C84C66" w:rsidRDefault="009A1745" w:rsidP="005F6216">
      <w:pPr>
        <w:pStyle w:val="Head2"/>
      </w:pPr>
      <w:r>
        <w:t xml:space="preserve">Upcoming </w:t>
      </w:r>
      <w:r w:rsidR="00BD76B0">
        <w:t xml:space="preserve">State Leave Law </w:t>
      </w:r>
      <w:r>
        <w:t>Changes</w:t>
      </w:r>
      <w:r w:rsidR="00BD76B0">
        <w:t xml:space="preserve"> </w:t>
      </w:r>
    </w:p>
    <w:p w14:paraId="1749730E" w14:textId="591CF2ED" w:rsidR="004037D7" w:rsidRPr="008C1FDC" w:rsidRDefault="009A1745" w:rsidP="004037D7">
      <w:pPr>
        <w:pStyle w:val="Head3"/>
        <w:rPr>
          <w:i w:val="0"/>
          <w:iCs/>
        </w:rPr>
      </w:pPr>
      <w:r w:rsidRPr="008C1FDC">
        <w:rPr>
          <w:i w:val="0"/>
          <w:iCs/>
        </w:rPr>
        <w:t>Illinois</w:t>
      </w:r>
    </w:p>
    <w:p w14:paraId="68D5F46E" w14:textId="538FCD99" w:rsidR="00E11344" w:rsidRDefault="009A1745" w:rsidP="00292E96">
      <w:pPr>
        <w:pStyle w:val="BodyText"/>
      </w:pPr>
      <w:r>
        <w:rPr>
          <w:rStyle w:val="BodyTextChar"/>
        </w:rPr>
        <w:t xml:space="preserve">Effective </w:t>
      </w:r>
      <w:r w:rsidR="0030250F" w:rsidRPr="0030250F">
        <w:rPr>
          <w:rStyle w:val="BodyTextChar"/>
        </w:rPr>
        <w:t xml:space="preserve">June </w:t>
      </w:r>
      <w:r>
        <w:rPr>
          <w:rStyle w:val="BodyTextChar"/>
        </w:rPr>
        <w:t xml:space="preserve">1, </w:t>
      </w:r>
      <w:r w:rsidR="0030250F" w:rsidRPr="0030250F">
        <w:rPr>
          <w:rStyle w:val="BodyTextChar"/>
        </w:rPr>
        <w:t>2026</w:t>
      </w:r>
      <w:r>
        <w:rPr>
          <w:rStyle w:val="BodyTextChar"/>
        </w:rPr>
        <w:t xml:space="preserve">, </w:t>
      </w:r>
      <w:r w:rsidR="00292E96">
        <w:t xml:space="preserve">all employers with at least 16 employees must provide </w:t>
      </w:r>
      <w:hyperlink r:id="rId29" w:history="1">
        <w:r w:rsidR="00292E96" w:rsidRPr="00CD605A">
          <w:rPr>
            <w:rStyle w:val="Hyperlink"/>
          </w:rPr>
          <w:t>unpaid leave</w:t>
        </w:r>
      </w:hyperlink>
      <w:r w:rsidR="00292E96">
        <w:t xml:space="preserve"> to parents whose child </w:t>
      </w:r>
      <w:r w:rsidR="00687559">
        <w:t>is a</w:t>
      </w:r>
      <w:r w:rsidR="00292E96">
        <w:t xml:space="preserve"> patient in a </w:t>
      </w:r>
      <w:r w:rsidR="00BD3A22">
        <w:t>NICU</w:t>
      </w:r>
      <w:r w:rsidR="00292E96">
        <w:t>. The amount of leave required differs depending on the size of the employer, as follows:</w:t>
      </w:r>
    </w:p>
    <w:p w14:paraId="6D756473" w14:textId="39436066" w:rsidR="00292E96" w:rsidRPr="00292E96" w:rsidRDefault="009A1745" w:rsidP="00687559">
      <w:pPr>
        <w:pStyle w:val="BulletList"/>
      </w:pPr>
      <w:r w:rsidRPr="00292E96">
        <w:t>Employers with 16-50 employees: Up to 10 days of leave; and</w:t>
      </w:r>
    </w:p>
    <w:p w14:paraId="4B9B72AF" w14:textId="77777777" w:rsidR="00292E96" w:rsidRPr="00292E96" w:rsidRDefault="009A1745" w:rsidP="00687559">
      <w:pPr>
        <w:pStyle w:val="BulletList"/>
      </w:pPr>
      <w:r w:rsidRPr="00292E96">
        <w:t>Employers with 51 employees or more: Up to 20 days of leave.</w:t>
      </w:r>
    </w:p>
    <w:p w14:paraId="155FA02B" w14:textId="5D535843" w:rsidR="00BD3A22" w:rsidRDefault="009A1745" w:rsidP="00292E96">
      <w:pPr>
        <w:pStyle w:val="BodyText"/>
        <w:spacing w:before="240"/>
      </w:pPr>
      <w:r>
        <w:lastRenderedPageBreak/>
        <w:t xml:space="preserve">Leave may be intermittent or continuous, but the employer may require that it be used in increments of at least two hours. </w:t>
      </w:r>
      <w:r w:rsidR="00AA7ED2">
        <w:t>E</w:t>
      </w:r>
      <w:r w:rsidR="00AA7ED2" w:rsidRPr="00AA7ED2">
        <w:t>mployees must exhaust any available FMLA leave</w:t>
      </w:r>
      <w:r w:rsidR="00AA7ED2">
        <w:t xml:space="preserve"> before using the new leave</w:t>
      </w:r>
      <w:r w:rsidR="00DC24AE">
        <w:t>.</w:t>
      </w:r>
      <w:r w:rsidR="00465D26">
        <w:t xml:space="preserve"> </w:t>
      </w:r>
      <w:r w:rsidR="00DC24AE">
        <w:t>T</w:t>
      </w:r>
      <w:r w:rsidR="00AA7ED2">
        <w:t xml:space="preserve">hey may </w:t>
      </w:r>
      <w:r w:rsidR="00AC6640" w:rsidRPr="00AC6640">
        <w:t>substitute any paid or unpaid leave to which they are entitled</w:t>
      </w:r>
      <w:r w:rsidR="00AC6640">
        <w:t>.</w:t>
      </w:r>
      <w:r w:rsidR="00465D26">
        <w:t xml:space="preserve"> </w:t>
      </w:r>
      <w:r>
        <w:t xml:space="preserve">Employers may require reasonable verification of </w:t>
      </w:r>
      <w:r w:rsidR="008C32C6">
        <w:t>the</w:t>
      </w:r>
      <w:r>
        <w:t xml:space="preserve"> child’s NICU stay.</w:t>
      </w:r>
    </w:p>
    <w:p w14:paraId="4709698E" w14:textId="5967D139" w:rsidR="0030250F" w:rsidRPr="008C1FDC" w:rsidRDefault="009A1745" w:rsidP="0030250F">
      <w:pPr>
        <w:pStyle w:val="Head3"/>
        <w:rPr>
          <w:i w:val="0"/>
          <w:iCs/>
        </w:rPr>
      </w:pPr>
      <w:r w:rsidRPr="008C1FDC">
        <w:rPr>
          <w:i w:val="0"/>
          <w:iCs/>
        </w:rPr>
        <w:t>Maine</w:t>
      </w:r>
    </w:p>
    <w:p w14:paraId="3268D4B3" w14:textId="4ECF3EC6" w:rsidR="007E62B3" w:rsidRDefault="009A1745" w:rsidP="009B6B51">
      <w:pPr>
        <w:pStyle w:val="BodyText"/>
      </w:pPr>
      <w:r>
        <w:t xml:space="preserve">On May 1, 2026, </w:t>
      </w:r>
      <w:r w:rsidR="006A1F6F" w:rsidRPr="006A1F6F">
        <w:t>benefits begin</w:t>
      </w:r>
      <w:r>
        <w:t xml:space="preserve"> under the state’s new </w:t>
      </w:r>
      <w:hyperlink r:id="rId30" w:history="1">
        <w:r w:rsidR="007E62B3" w:rsidRPr="00B812F1">
          <w:rPr>
            <w:rStyle w:val="Hyperlink"/>
          </w:rPr>
          <w:t>paid family and medical leave program</w:t>
        </w:r>
      </w:hyperlink>
      <w:r w:rsidR="006A1F6F" w:rsidRPr="006A1F6F">
        <w:t xml:space="preserve">, providing employees with up to 12 weeks of partially compensated leave per year. </w:t>
      </w:r>
      <w:r w:rsidR="009B6B51" w:rsidRPr="009B6B51">
        <w:t>Employees who have earned at least six times the state average weekly wage during a base period</w:t>
      </w:r>
      <w:r>
        <w:t xml:space="preserve"> are eligible for coverage</w:t>
      </w:r>
      <w:r w:rsidR="009B6B51" w:rsidRPr="009B6B51">
        <w:t>. Individuals who are self-employed may opt into the program.</w:t>
      </w:r>
      <w:r w:rsidR="009B6B51">
        <w:t xml:space="preserve"> </w:t>
      </w:r>
    </w:p>
    <w:p w14:paraId="17DE9D9D" w14:textId="28A3E3D9" w:rsidR="000A731E" w:rsidRDefault="009A1745" w:rsidP="009B6B51">
      <w:pPr>
        <w:pStyle w:val="BodyText"/>
      </w:pPr>
      <w:r w:rsidRPr="006A1F6F">
        <w:t>Leave is job-protected for employees who have worked for at least 120 days.</w:t>
      </w:r>
      <w:r w:rsidR="004B77F7">
        <w:t xml:space="preserve"> </w:t>
      </w:r>
      <w:r w:rsidR="004B77F7" w:rsidRPr="00D15F4E">
        <w:rPr>
          <w:bCs/>
        </w:rPr>
        <w:t>E</w:t>
      </w:r>
      <w:r w:rsidR="004B77F7">
        <w:t xml:space="preserve">mployees and employers with at least 15 employees </w:t>
      </w:r>
      <w:r w:rsidR="004B77F7" w:rsidRPr="00600230">
        <w:t xml:space="preserve">contribute equally to the program, </w:t>
      </w:r>
      <w:r w:rsidR="002833E6">
        <w:t xml:space="preserve">through payroll taxes that began </w:t>
      </w:r>
      <w:r w:rsidR="004B77F7" w:rsidRPr="00600230">
        <w:t>Jan. 1, 2025</w:t>
      </w:r>
      <w:r w:rsidR="002833E6">
        <w:t xml:space="preserve">. </w:t>
      </w:r>
      <w:r w:rsidR="005D2841">
        <w:t xml:space="preserve">The Maine Department of Labor began accepting applications </w:t>
      </w:r>
      <w:r w:rsidR="00465D26">
        <w:t xml:space="preserve">on March 30, 2026, </w:t>
      </w:r>
      <w:r w:rsidR="005D2841">
        <w:t xml:space="preserve">for leave </w:t>
      </w:r>
      <w:r w:rsidR="00465D26">
        <w:t xml:space="preserve">beginning </w:t>
      </w:r>
      <w:r w:rsidR="005D2841">
        <w:t>on or after May 1</w:t>
      </w:r>
      <w:r w:rsidR="00465D26">
        <w:t>, 2026.</w:t>
      </w:r>
      <w:r w:rsidR="00FD53A1">
        <w:t xml:space="preserve"> </w:t>
      </w:r>
    </w:p>
    <w:p w14:paraId="327900E4" w14:textId="4341F7D8" w:rsidR="00091FA2" w:rsidRPr="008C1FDC" w:rsidRDefault="009A1745" w:rsidP="00091FA2">
      <w:pPr>
        <w:pStyle w:val="Head3"/>
        <w:rPr>
          <w:i w:val="0"/>
          <w:iCs/>
        </w:rPr>
      </w:pPr>
      <w:r w:rsidRPr="008C1FDC">
        <w:rPr>
          <w:i w:val="0"/>
          <w:iCs/>
        </w:rPr>
        <w:t>New Jersey</w:t>
      </w:r>
    </w:p>
    <w:p w14:paraId="5C817C60" w14:textId="6BA4C413" w:rsidR="000B66BA" w:rsidRDefault="009A1745" w:rsidP="00091FA2">
      <w:pPr>
        <w:pStyle w:val="BodyText"/>
      </w:pPr>
      <w:r>
        <w:t xml:space="preserve">Effective </w:t>
      </w:r>
      <w:r w:rsidR="00091FA2" w:rsidRPr="00091FA2">
        <w:t>July 17, 2026</w:t>
      </w:r>
      <w:r w:rsidR="00757EA9">
        <w:t xml:space="preserve">, </w:t>
      </w:r>
      <w:r>
        <w:t xml:space="preserve">unpaid, job-protected </w:t>
      </w:r>
      <w:r w:rsidR="007233F1">
        <w:t xml:space="preserve">leave </w:t>
      </w:r>
      <w:r>
        <w:t xml:space="preserve">under the </w:t>
      </w:r>
      <w:hyperlink r:id="rId31" w:history="1">
        <w:r w:rsidR="00757EA9" w:rsidRPr="00D6324D">
          <w:rPr>
            <w:rStyle w:val="Hyperlink"/>
          </w:rPr>
          <w:t xml:space="preserve">New Jersey </w:t>
        </w:r>
        <w:r w:rsidRPr="00D6324D">
          <w:rPr>
            <w:rStyle w:val="Hyperlink"/>
          </w:rPr>
          <w:t>F</w:t>
        </w:r>
        <w:r w:rsidR="00757EA9" w:rsidRPr="00D6324D">
          <w:rPr>
            <w:rStyle w:val="Hyperlink"/>
          </w:rPr>
          <w:t xml:space="preserve">amily </w:t>
        </w:r>
        <w:r w:rsidRPr="00D6324D">
          <w:rPr>
            <w:rStyle w:val="Hyperlink"/>
          </w:rPr>
          <w:t>L</w:t>
        </w:r>
        <w:r w:rsidR="00757EA9" w:rsidRPr="00D6324D">
          <w:rPr>
            <w:rStyle w:val="Hyperlink"/>
          </w:rPr>
          <w:t xml:space="preserve">eave </w:t>
        </w:r>
        <w:r w:rsidRPr="00D6324D">
          <w:rPr>
            <w:rStyle w:val="Hyperlink"/>
          </w:rPr>
          <w:t>Act</w:t>
        </w:r>
      </w:hyperlink>
      <w:r>
        <w:t xml:space="preserve"> </w:t>
      </w:r>
      <w:r w:rsidR="00757EA9">
        <w:t xml:space="preserve">will expand to cover </w:t>
      </w:r>
      <w:r w:rsidR="00215E0B">
        <w:t xml:space="preserve">private </w:t>
      </w:r>
      <w:r w:rsidR="00757EA9">
        <w:t xml:space="preserve">employers with 15 employees (previously </w:t>
      </w:r>
      <w:r w:rsidR="00AF6F12">
        <w:t xml:space="preserve">30). </w:t>
      </w:r>
      <w:r w:rsidR="00715489">
        <w:t>Additionally, eligibili</w:t>
      </w:r>
      <w:r>
        <w:t xml:space="preserve">ty requirements for employees </w:t>
      </w:r>
      <w:r w:rsidR="007233F1">
        <w:t xml:space="preserve">under the </w:t>
      </w:r>
      <w:r w:rsidR="006323C6">
        <w:t>A</w:t>
      </w:r>
      <w:r w:rsidR="007233F1">
        <w:t xml:space="preserve">ct </w:t>
      </w:r>
      <w:r>
        <w:t xml:space="preserve">will be reduced: </w:t>
      </w:r>
      <w:r w:rsidR="00FA75CB">
        <w:t>L</w:t>
      </w:r>
      <w:r w:rsidR="00520276">
        <w:t xml:space="preserve">eave will be available to employees </w:t>
      </w:r>
      <w:r>
        <w:t xml:space="preserve">who have worked for their employer for only </w:t>
      </w:r>
      <w:r w:rsidRPr="003F7777">
        <w:t>three months</w:t>
      </w:r>
      <w:r w:rsidR="007233F1">
        <w:rPr>
          <w:b/>
          <w:bCs/>
        </w:rPr>
        <w:t xml:space="preserve"> </w:t>
      </w:r>
      <w:r w:rsidR="007233F1">
        <w:t xml:space="preserve">(instead of </w:t>
      </w:r>
      <w:r w:rsidR="003F7777">
        <w:t>12)</w:t>
      </w:r>
      <w:r>
        <w:t xml:space="preserve">, and for </w:t>
      </w:r>
      <w:r w:rsidRPr="004344BC">
        <w:t xml:space="preserve">250 hours </w:t>
      </w:r>
      <w:r w:rsidR="003C04E9">
        <w:t xml:space="preserve">(instead of 1,000) </w:t>
      </w:r>
      <w:r>
        <w:t>during the 12 months before leave.</w:t>
      </w:r>
      <w:r w:rsidR="00387D9A">
        <w:t xml:space="preserve"> The </w:t>
      </w:r>
      <w:r w:rsidR="00FA75CB">
        <w:t>a</w:t>
      </w:r>
      <w:r w:rsidR="00387D9A">
        <w:t xml:space="preserve">ct provides employees with </w:t>
      </w:r>
      <w:r w:rsidR="008E1523">
        <w:t xml:space="preserve">family leave of </w:t>
      </w:r>
      <w:r w:rsidR="00387D9A">
        <w:t xml:space="preserve">up to 12 weeks </w:t>
      </w:r>
      <w:r w:rsidR="00D62115">
        <w:t>eve</w:t>
      </w:r>
      <w:r w:rsidR="008E1523">
        <w:t xml:space="preserve">ry two years, </w:t>
      </w:r>
      <w:r w:rsidR="00D62115">
        <w:t xml:space="preserve">for reasons such as baby bonding and caring for </w:t>
      </w:r>
      <w:r w:rsidR="008E1523">
        <w:t>a family member with a serious health condition.</w:t>
      </w:r>
    </w:p>
    <w:p w14:paraId="1EC121AE" w14:textId="6C394737" w:rsidR="008621D8" w:rsidRDefault="009A1745" w:rsidP="00D6324D">
      <w:pPr>
        <w:pStyle w:val="BodyText"/>
      </w:pPr>
      <w:r w:rsidRPr="00091FA2">
        <w:t xml:space="preserve">Also on </w:t>
      </w:r>
      <w:r w:rsidR="00DB7C23">
        <w:t>July 17</w:t>
      </w:r>
      <w:r w:rsidRPr="00091FA2">
        <w:t xml:space="preserve">, </w:t>
      </w:r>
      <w:r w:rsidR="00CB2E59">
        <w:t xml:space="preserve">amendments </w:t>
      </w:r>
      <w:r w:rsidR="009F6C2B">
        <w:t xml:space="preserve">to the state’s </w:t>
      </w:r>
      <w:r w:rsidR="009F6C2B" w:rsidRPr="00091FA2">
        <w:t xml:space="preserve">temporary disability insurance (TDI) and family leave insurance (FLI) </w:t>
      </w:r>
      <w:hyperlink r:id="rId32" w:history="1">
        <w:r w:rsidR="009F6C2B" w:rsidRPr="008621D8">
          <w:rPr>
            <w:rStyle w:val="Hyperlink"/>
          </w:rPr>
          <w:t>programs</w:t>
        </w:r>
      </w:hyperlink>
      <w:r w:rsidR="009F6C2B">
        <w:t xml:space="preserve"> take effect that appear to require </w:t>
      </w:r>
      <w:r w:rsidRPr="00091FA2">
        <w:t>job protection</w:t>
      </w:r>
      <w:r w:rsidR="008E1523">
        <w:t xml:space="preserve"> </w:t>
      </w:r>
      <w:r w:rsidRPr="00091FA2">
        <w:t xml:space="preserve">for employees receiving </w:t>
      </w:r>
      <w:r w:rsidR="00CB3964">
        <w:t xml:space="preserve">TDI or FLI </w:t>
      </w:r>
      <w:r w:rsidRPr="00091FA2">
        <w:t>benefits</w:t>
      </w:r>
      <w:r w:rsidR="008E1523">
        <w:t>.</w:t>
      </w:r>
      <w:r w:rsidR="00D6324D">
        <w:t xml:space="preserve"> Most New Jersey workers are covered</w:t>
      </w:r>
      <w:r w:rsidR="002032DC">
        <w:t xml:space="preserve"> by TDI/</w:t>
      </w:r>
      <w:r w:rsidR="00D41D8A">
        <w:t>FL</w:t>
      </w:r>
      <w:r w:rsidR="002032DC">
        <w:t>I</w:t>
      </w:r>
      <w:r w:rsidR="00D6324D">
        <w:t xml:space="preserve"> </w:t>
      </w:r>
      <w:r>
        <w:t xml:space="preserve">if they </w:t>
      </w:r>
      <w:r w:rsidR="00D6324D">
        <w:t xml:space="preserve">meet earnings and work tenure </w:t>
      </w:r>
      <w:r>
        <w:t>requirements</w:t>
      </w:r>
      <w:r w:rsidR="00D6324D">
        <w:t xml:space="preserve">. </w:t>
      </w:r>
      <w:r w:rsidR="00CB3964">
        <w:t>The programs have historically been cash benefit-only programs that did not provide a job-protected right to leave.</w:t>
      </w:r>
    </w:p>
    <w:p w14:paraId="345B372C" w14:textId="42DC2DED" w:rsidR="002032DC" w:rsidRDefault="009A1745" w:rsidP="002032DC">
      <w:pPr>
        <w:pStyle w:val="BodyText"/>
      </w:pPr>
      <w:r>
        <w:t xml:space="preserve">Employees may receive up to 26 weeks per year of TDI for nonwork-related illnesses or injuries, including pregnancy, that prevent them from working. FLI benefits are capped at 12 weeks per year and are available for leave for reasons similar to those under the FLA, plus for specific purposes related to domestic violence and sexual assault. </w:t>
      </w:r>
    </w:p>
    <w:p w14:paraId="63FCF535" w14:textId="4512DFF2" w:rsidR="005427CB" w:rsidRDefault="009A1745" w:rsidP="005427CB">
      <w:pPr>
        <w:pStyle w:val="Head2"/>
      </w:pPr>
      <w:r>
        <w:t>Employer Takeaways</w:t>
      </w:r>
    </w:p>
    <w:p w14:paraId="66B28006" w14:textId="2B02F953" w:rsidR="00DB7C23" w:rsidRDefault="009A1745" w:rsidP="005427CB">
      <w:pPr>
        <w:pStyle w:val="BodyText"/>
      </w:pPr>
      <w:r>
        <w:t xml:space="preserve">Employers </w:t>
      </w:r>
      <w:r w:rsidR="00106D8B">
        <w:t xml:space="preserve">operating </w:t>
      </w:r>
      <w:r>
        <w:t xml:space="preserve">in </w:t>
      </w:r>
      <w:r w:rsidR="00FA75CB">
        <w:t xml:space="preserve">the </w:t>
      </w:r>
      <w:r>
        <w:t xml:space="preserve">states mentioned </w:t>
      </w:r>
      <w:r w:rsidR="00106D8B">
        <w:t xml:space="preserve">above should become familiar with any </w:t>
      </w:r>
      <w:r w:rsidR="00094777">
        <w:t>employee leave changes</w:t>
      </w:r>
      <w:r w:rsidR="00106D8B">
        <w:t xml:space="preserve"> or new leave rights that apply</w:t>
      </w:r>
      <w:r>
        <w:t xml:space="preserve"> to them or their employees</w:t>
      </w:r>
      <w:r w:rsidR="00106D8B">
        <w:t xml:space="preserve">. </w:t>
      </w:r>
      <w:r w:rsidR="00094777">
        <w:t xml:space="preserve">Employers should ensure that any </w:t>
      </w:r>
      <w:r w:rsidR="00A50D40">
        <w:t>necessary</w:t>
      </w:r>
      <w:r w:rsidR="005B74C1">
        <w:t xml:space="preserve"> updates to their policies or</w:t>
      </w:r>
      <w:r w:rsidR="00A50D40">
        <w:t xml:space="preserve"> procedures related to these changes</w:t>
      </w:r>
      <w:r w:rsidR="005B74C1">
        <w:t xml:space="preserve"> are made in a timely </w:t>
      </w:r>
      <w:r w:rsidR="00FA75CB">
        <w:t>manner</w:t>
      </w:r>
      <w:r w:rsidR="00A50D40">
        <w:t>.</w:t>
      </w:r>
      <w:r w:rsidR="005B74C1">
        <w:t xml:space="preserve"> </w:t>
      </w:r>
      <w:r w:rsidR="00A50D40">
        <w:t>S</w:t>
      </w:r>
      <w:r w:rsidR="005B74C1">
        <w:t xml:space="preserve">upervisors and managers </w:t>
      </w:r>
      <w:r w:rsidR="00A50D40">
        <w:t>should also be</w:t>
      </w:r>
      <w:r w:rsidR="005B74C1">
        <w:t xml:space="preserve"> made aware of </w:t>
      </w:r>
      <w:r w:rsidR="00C941CC">
        <w:t xml:space="preserve">changes to ensure compliance. </w:t>
      </w:r>
    </w:p>
    <w:p w14:paraId="50958B5D" w14:textId="224AF38E" w:rsidR="005427CB" w:rsidRDefault="009A1745" w:rsidP="005427CB">
      <w:pPr>
        <w:pStyle w:val="BodyText"/>
      </w:pPr>
      <w:r>
        <w:t>In addition, e</w:t>
      </w:r>
      <w:r w:rsidR="00C941CC">
        <w:t xml:space="preserve">mployers in states with new programs, like </w:t>
      </w:r>
      <w:r w:rsidR="00A50D40">
        <w:t>Delaware, Minnesota and Maine</w:t>
      </w:r>
      <w:r w:rsidR="004269DE">
        <w:t>, should watch for new guidance and regulations</w:t>
      </w:r>
      <w:r w:rsidR="004D61BA">
        <w:t xml:space="preserve"> issued by the state to help implement the programs</w:t>
      </w:r>
      <w:r w:rsidR="00497456">
        <w:t xml:space="preserve">. </w:t>
      </w:r>
      <w:r w:rsidR="005C00C9">
        <w:t>New Jersey employers</w:t>
      </w:r>
      <w:r w:rsidR="00497456">
        <w:t xml:space="preserve"> should similarly </w:t>
      </w:r>
      <w:r w:rsidR="0036595A">
        <w:t xml:space="preserve">stay alert for official state guidance on new job protection </w:t>
      </w:r>
      <w:r w:rsidR="004D61BA">
        <w:t xml:space="preserve">rights </w:t>
      </w:r>
      <w:r w:rsidR="0036595A">
        <w:t>for employee recipients of TDI and FLI benefits</w:t>
      </w:r>
      <w:r w:rsidR="005C00C9">
        <w:t xml:space="preserve">. </w:t>
      </w:r>
    </w:p>
    <w:p w14:paraId="7B245911" w14:textId="2A606F13" w:rsidR="00091FA2" w:rsidRPr="008A7E71" w:rsidRDefault="00091FA2" w:rsidP="00D6324D">
      <w:pPr>
        <w:pStyle w:val="BodyText"/>
      </w:pPr>
    </w:p>
    <w:sectPr w:rsidR="00091FA2" w:rsidRPr="008A7E71" w:rsidSect="008D7735">
      <w:headerReference w:type="default" r:id="rId33"/>
      <w:footerReference w:type="default" r:id="rId34"/>
      <w:headerReference w:type="first" r:id="rId35"/>
      <w:footerReference w:type="first" r:id="rId36"/>
      <w:pgSz w:w="12240" w:h="15840"/>
      <w:pgMar w:top="1440" w:right="720" w:bottom="936" w:left="720"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EC92" w14:textId="77777777" w:rsidR="0058075E" w:rsidRDefault="0058075E">
      <w:pPr>
        <w:spacing w:after="0" w:line="240" w:lineRule="auto"/>
      </w:pPr>
      <w:r>
        <w:separator/>
      </w:r>
    </w:p>
  </w:endnote>
  <w:endnote w:type="continuationSeparator" w:id="0">
    <w:p w14:paraId="1C7CD66B" w14:textId="77777777" w:rsidR="0058075E" w:rsidRDefault="00580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3802"/>
      <w:docPartObj>
        <w:docPartGallery w:val="Page Numbers (Bottom of Page)"/>
        <w:docPartUnique/>
      </w:docPartObj>
    </w:sdtPr>
    <w:sdtEndPr>
      <w:rPr>
        <w:rStyle w:val="PageNumberChar"/>
        <w:b/>
        <w:bCs/>
        <w:sz w:val="18"/>
        <w:szCs w:val="18"/>
      </w:rPr>
    </w:sdtEndPr>
    <w:sdtContent>
      <w:p w14:paraId="0A008A61" w14:textId="703823FC" w:rsidR="008D7735" w:rsidRPr="008D7735" w:rsidRDefault="009A1745">
        <w:pPr>
          <w:pStyle w:val="Footer"/>
          <w:jc w:val="right"/>
          <w:rPr>
            <w:rStyle w:val="PageNumberChar"/>
          </w:rPr>
        </w:pPr>
        <w:r w:rsidRPr="008D7735">
          <w:rPr>
            <w:rStyle w:val="PageNumberChar"/>
          </w:rPr>
          <w:fldChar w:fldCharType="begin"/>
        </w:r>
        <w:r w:rsidRPr="008D7735">
          <w:rPr>
            <w:rStyle w:val="PageNumberChar"/>
          </w:rPr>
          <w:instrText xml:space="preserve"> PAGE   \* MERGEFORMAT </w:instrText>
        </w:r>
        <w:r w:rsidRPr="008D7735">
          <w:rPr>
            <w:rStyle w:val="PageNumberChar"/>
          </w:rPr>
          <w:fldChar w:fldCharType="separate"/>
        </w:r>
        <w:r w:rsidRPr="008D7735">
          <w:rPr>
            <w:rStyle w:val="PageNumberChar"/>
          </w:rPr>
          <w:t>4</w:t>
        </w:r>
        <w:r w:rsidRPr="008D7735">
          <w:rPr>
            <w:rStyle w:val="PageNumberChar"/>
          </w:rPr>
          <w:fldChar w:fldCharType="end"/>
        </w:r>
      </w:p>
    </w:sdtContent>
  </w:sdt>
  <w:p w14:paraId="0EC576A9" w14:textId="77777777" w:rsidR="008D7735" w:rsidRDefault="008D7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FB46" w14:textId="7DC8B6E2" w:rsidR="00007F45" w:rsidRDefault="009A1745">
    <w:pPr>
      <w:pStyle w:val="Footer"/>
    </w:pPr>
    <w:r>
      <w:rPr>
        <w:noProof/>
      </w:rPr>
      <mc:AlternateContent>
        <mc:Choice Requires="wps">
          <w:drawing>
            <wp:anchor distT="0" distB="0" distL="114300" distR="114300" simplePos="0" relativeHeight="251659776" behindDoc="0" locked="0" layoutInCell="1" allowOverlap="1" wp14:anchorId="03AA5EB7" wp14:editId="181CFE2E">
              <wp:simplePos x="0" y="0"/>
              <wp:positionH relativeFrom="column">
                <wp:posOffset>2521527</wp:posOffset>
              </wp:positionH>
              <wp:positionV relativeFrom="paragraph">
                <wp:posOffset>-2317404</wp:posOffset>
              </wp:positionV>
              <wp:extent cx="4946073" cy="2374323"/>
              <wp:effectExtent l="0" t="0" r="6985" b="6985"/>
              <wp:wrapNone/>
              <wp:docPr id="1205318453" name="Rectangle 14"/>
              <wp:cNvGraphicFramePr/>
              <a:graphic xmlns:a="http://schemas.openxmlformats.org/drawingml/2006/main">
                <a:graphicData uri="http://schemas.microsoft.com/office/word/2010/wordprocessingShape">
                  <wps:wsp>
                    <wps:cNvSpPr/>
                    <wps:spPr>
                      <a:xfrm>
                        <a:off x="0" y="0"/>
                        <a:ext cx="4946073" cy="2374323"/>
                      </a:xfrm>
                      <a:prstGeom prst="rect">
                        <a:avLst/>
                      </a:prstGeom>
                      <a:solidFill>
                        <a:srgbClr val="124082">
                          <a:alpha val="1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xmlns="">
          <w:pict>
            <v:rect w14:anchorId="19C415CF" id="Rectangle 14" o:spid="_x0000_s1026" style="position:absolute;margin-left:198.55pt;margin-top:-182.45pt;width:389.45pt;height:186.9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" fillcolor="#124082" stroked="f" strokeweight="1pt">
              <v:fill opacity="6682f"/>
            </v:rect>
          </w:pict>
        </mc:Fallback>
      </mc:AlternateContent>
    </w:r>
    <w:r>
      <w:rPr>
        <w:noProof/>
      </w:rPr>
      <mc:AlternateContent>
        <mc:Choice Requires="wps">
          <w:drawing>
            <wp:anchor distT="0" distB="0" distL="114300" distR="114300" simplePos="0" relativeHeight="251655680" behindDoc="0" locked="0" layoutInCell="1" allowOverlap="1" wp14:anchorId="3909C859" wp14:editId="4757C896">
              <wp:simplePos x="0" y="0"/>
              <wp:positionH relativeFrom="margin">
                <wp:align>left</wp:align>
              </wp:positionH>
              <wp:positionV relativeFrom="bottomMargin">
                <wp:posOffset>56919</wp:posOffset>
              </wp:positionV>
              <wp:extent cx="6935932" cy="0"/>
              <wp:effectExtent l="19050" t="19050" r="17780" b="19050"/>
              <wp:wrapNone/>
              <wp:docPr id="1644520221" name="Straight Connector 2"/>
              <wp:cNvGraphicFramePr/>
              <a:graphic xmlns:a="http://schemas.openxmlformats.org/drawingml/2006/main">
                <a:graphicData uri="http://schemas.microsoft.com/office/word/2010/wordprocessingShape">
                  <wps:wsp>
                    <wps:cNvCnPr/>
                    <wps:spPr>
                      <a:xfrm flipH="1" flipV="1">
                        <a:off x="0" y="0"/>
                        <a:ext cx="6935932" cy="0"/>
                      </a:xfrm>
                      <a:prstGeom prst="line">
                        <a:avLst/>
                      </a:prstGeom>
                      <a:ln w="44450">
                        <a:solidFill>
                          <a:srgbClr val="124082">
                            <a:alpha val="75000"/>
                          </a:srgb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id="Straight Connector 2" o:spid="_x0000_s2054" style="flip:x y;mso-height-percent:0;mso-height-relative:margin;mso-position-horizontal:left;mso-position-horizontal-relative:margin;mso-position-vertical-relative:bottom-margin-area;mso-width-percent:0;mso-width-relative:margin;mso-wrap-distance-bottom:0;mso-wrap-distance-left:9pt;mso-wrap-distance-right:9pt;mso-wrap-distance-top:0;mso-wrap-style:square;position:absolute;visibility:visible;z-index:251659264" from="0,4.5pt" to="546.15pt,4.5pt" strokecolor="#124082" strokeweight="3.5pt">
              <v:stroke joinstyle="miter" opacity="49087f"/>
              <w10:wrap anchorx="margin"/>
            </v:line>
          </w:pict>
        </mc:Fallback>
      </mc:AlternateContent>
    </w:r>
  </w:p>
  <w:p w14:paraId="08606168" w14:textId="77777777" w:rsidR="00007F45" w:rsidRDefault="00007F45">
    <w:pPr>
      <w:pStyle w:val="Footer"/>
    </w:pPr>
  </w:p>
  <w:p w14:paraId="7485965D" w14:textId="450FA1D3" w:rsidR="00007F45" w:rsidRPr="00F57D97" w:rsidRDefault="009A1745" w:rsidP="00E271FF">
    <w:pPr>
      <w:tabs>
        <w:tab w:val="center" w:pos="4680"/>
        <w:tab w:val="right" w:pos="9360"/>
      </w:tabs>
      <w:spacing w:after="0" w:line="240" w:lineRule="auto"/>
      <w:rPr>
        <w:rFonts w:ascii="Calibri Light" w:eastAsia="Times New Roman" w:hAnsi="Calibri Light" w:cs="Arial"/>
        <w:color w:val="595959"/>
        <w:sz w:val="14"/>
        <w:szCs w:val="14"/>
      </w:rPr>
    </w:pPr>
    <w:r w:rsidRPr="00F57D97">
      <w:rPr>
        <w:rFonts w:ascii="Calibri Light" w:eastAsia="Times New Roman" w:hAnsi="Calibri Light" w:cs="Arial"/>
        <w:color w:val="595959"/>
        <w:sz w:val="14"/>
        <w:szCs w:val="14"/>
      </w:rPr>
      <w:t>This Compliance Bulletin is not intended to be exhaustive nor should any discussion or opinions be construed as legal</w:t>
    </w:r>
    <w:r w:rsidRPr="00F57D97">
      <w:rPr>
        <w:rFonts w:ascii="Calibri Light" w:eastAsia="Times New Roman" w:hAnsi="Calibri Light" w:cs="Arial"/>
        <w:color w:val="595959"/>
        <w:sz w:val="14"/>
        <w:szCs w:val="14"/>
      </w:rPr>
      <w:br/>
      <w:t>advice. Readers should contact legal counsel for legal advice. ©</w:t>
    </w:r>
    <w:r w:rsidRPr="00007F45">
      <w:rPr>
        <w:rFonts w:ascii="Calibri Light" w:eastAsia="Times New Roman" w:hAnsi="Calibri Light" w:cs="Arial"/>
        <w:color w:val="595959"/>
        <w:sz w:val="14"/>
        <w:szCs w:val="14"/>
      </w:rPr>
      <w:t>2005-2007, 2009-2011, 2013-2017, 2019, 2024-202</w:t>
    </w:r>
    <w:r>
      <w:rPr>
        <w:rFonts w:ascii="Calibri Light" w:eastAsia="Times New Roman" w:hAnsi="Calibri Light" w:cs="Arial"/>
        <w:color w:val="595959"/>
        <w:sz w:val="14"/>
        <w:szCs w:val="14"/>
      </w:rPr>
      <w:t xml:space="preserve">6 </w:t>
    </w:r>
    <w:r w:rsidRPr="00F57D97">
      <w:rPr>
        <w:rFonts w:ascii="Calibri Light" w:eastAsia="Times New Roman" w:hAnsi="Calibri Light" w:cs="Arial"/>
        <w:color w:val="595959"/>
        <w:sz w:val="14"/>
        <w:szCs w:val="14"/>
      </w:rPr>
      <w:t>Zywave, Inc. All rights reserved.</w:t>
    </w:r>
  </w:p>
  <w:p w14:paraId="5ED0FD90" w14:textId="77777777" w:rsidR="00007F45" w:rsidRDefault="00007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BC6FD" w14:textId="77777777" w:rsidR="0058075E" w:rsidRDefault="0058075E">
      <w:pPr>
        <w:spacing w:after="0" w:line="240" w:lineRule="auto"/>
      </w:pPr>
      <w:r>
        <w:separator/>
      </w:r>
    </w:p>
  </w:footnote>
  <w:footnote w:type="continuationSeparator" w:id="0">
    <w:p w14:paraId="3144EAB0" w14:textId="77777777" w:rsidR="0058075E" w:rsidRDefault="00580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13D45" w14:textId="74C5D24B" w:rsidR="00007F45" w:rsidRDefault="009A1745">
    <w:pPr>
      <w:pStyle w:val="Header"/>
    </w:pPr>
    <w:r>
      <w:rPr>
        <w:noProof/>
      </w:rPr>
      <w:drawing>
        <wp:anchor distT="0" distB="0" distL="114300" distR="114300" simplePos="0" relativeHeight="251660800" behindDoc="0" locked="0" layoutInCell="1" allowOverlap="1" wp14:anchorId="71B142E1" wp14:editId="385F9817">
          <wp:simplePos x="0" y="0"/>
          <wp:positionH relativeFrom="page">
            <wp:posOffset>0</wp:posOffset>
          </wp:positionH>
          <wp:positionV relativeFrom="paragraph">
            <wp:posOffset>-274320</wp:posOffset>
          </wp:positionV>
          <wp:extent cx="7827979" cy="873759"/>
          <wp:effectExtent l="0" t="0" r="1905" b="3175"/>
          <wp:wrapNone/>
          <wp:docPr id="82692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280"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7827979" cy="8737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B72C" w14:textId="35FAC369" w:rsidR="00007F45" w:rsidRDefault="009A1745">
    <w:pPr>
      <w:pStyle w:val="Header"/>
    </w:pPr>
    <w:r>
      <w:rPr>
        <w:noProof/>
      </w:rPr>
      <mc:AlternateContent>
        <mc:Choice Requires="wps">
          <w:drawing>
            <wp:anchor distT="0" distB="0" distL="114300" distR="114300" simplePos="0" relativeHeight="251654656" behindDoc="0" locked="0" layoutInCell="1" allowOverlap="1" wp14:anchorId="465A88FD" wp14:editId="1A463B90">
              <wp:simplePos x="0" y="0"/>
              <wp:positionH relativeFrom="page">
                <wp:align>left</wp:align>
              </wp:positionH>
              <wp:positionV relativeFrom="paragraph">
                <wp:posOffset>1612900</wp:posOffset>
              </wp:positionV>
              <wp:extent cx="3155950" cy="7342505"/>
              <wp:effectExtent l="0" t="0" r="6350" b="0"/>
              <wp:wrapSquare wrapText="bothSides"/>
              <wp:docPr id="669412048" name="Rectangle 11"/>
              <wp:cNvGraphicFramePr/>
              <a:graphic xmlns:a="http://schemas.openxmlformats.org/drawingml/2006/main">
                <a:graphicData uri="http://schemas.microsoft.com/office/word/2010/wordprocessingShape">
                  <wps:wsp>
                    <wps:cNvSpPr/>
                    <wps:spPr>
                      <a:xfrm>
                        <a:off x="0" y="0"/>
                        <a:ext cx="3155950" cy="734250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
          <w:pict>
            <v:rect id="Rectangle 11" o:spid="_x0000_s2049" style="width:248.5pt;height:578.15pt;margin-top:127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white" stroked="f" strokeweight="1pt">
              <w10:wrap type="square"/>
            </v:rect>
          </w:pict>
        </mc:Fallback>
      </mc:AlternateContent>
    </w:r>
    <w:r>
      <w:rPr>
        <w:noProof/>
      </w:rPr>
      <mc:AlternateContent>
        <mc:Choice Requires="wps">
          <w:drawing>
            <wp:anchor distT="0" distB="0" distL="114300" distR="114300" simplePos="0" relativeHeight="251656704" behindDoc="0" locked="0" layoutInCell="1" allowOverlap="1" wp14:anchorId="1367BB23" wp14:editId="0D82ED8F">
              <wp:simplePos x="0" y="0"/>
              <wp:positionH relativeFrom="margin">
                <wp:posOffset>-215265</wp:posOffset>
              </wp:positionH>
              <wp:positionV relativeFrom="paragraph">
                <wp:posOffset>564552</wp:posOffset>
              </wp:positionV>
              <wp:extent cx="7233920" cy="887095"/>
              <wp:effectExtent l="0" t="0" r="5080" b="8255"/>
              <wp:wrapTopAndBottom/>
              <wp:docPr id="2022672405" name="Rectangle 11"/>
              <wp:cNvGraphicFramePr/>
              <a:graphic xmlns:a="http://schemas.openxmlformats.org/drawingml/2006/main">
                <a:graphicData uri="http://schemas.microsoft.com/office/word/2010/wordprocessingShape">
                  <wps:wsp>
                    <wps:cNvSpPr/>
                    <wps:spPr>
                      <a:xfrm>
                        <a:off x="0" y="0"/>
                        <a:ext cx="7233920" cy="887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
          <w:pict>
            <v:rect id="Rectangle 11" o:spid="_x0000_s2050" style="width:569.6pt;height:69.85pt;margin-top:44.45pt;margin-left:-16.95pt;mso-height-percent:0;mso-height-relative:margin;mso-position-horizontal-relative:margin;mso-width-percent:0;mso-width-relative:margin;mso-wrap-distance-bottom:0;mso-wrap-distance-left:9pt;mso-wrap-distance-right:9pt;mso-wrap-distance-top:0;mso-wrap-style:square;position:absolute;v-text-anchor:middle;visibility:visible;z-index:251661312" fillcolor="white" stroked="f" strokeweight="1pt">
              <w10:wrap type="topAndBottom"/>
            </v:rect>
          </w:pict>
        </mc:Fallback>
      </mc:AlternateContent>
    </w:r>
    <w:r>
      <w:rPr>
        <w:noProof/>
      </w:rPr>
      <mc:AlternateContent>
        <mc:Choice Requires="wps">
          <w:drawing>
            <wp:anchor distT="0" distB="0" distL="114300" distR="114300" simplePos="0" relativeHeight="251658752" behindDoc="0" locked="0" layoutInCell="1" allowOverlap="1" wp14:anchorId="72E03122" wp14:editId="1DC9C94F">
              <wp:simplePos x="0" y="0"/>
              <wp:positionH relativeFrom="column">
                <wp:posOffset>2507226</wp:posOffset>
              </wp:positionH>
              <wp:positionV relativeFrom="paragraph">
                <wp:posOffset>1687215</wp:posOffset>
              </wp:positionV>
              <wp:extent cx="0" cy="6972219"/>
              <wp:effectExtent l="0" t="0" r="38100" b="19685"/>
              <wp:wrapNone/>
              <wp:docPr id="626896810" name="Straight Connector 13"/>
              <wp:cNvGraphicFramePr/>
              <a:graphic xmlns:a="http://schemas.openxmlformats.org/drawingml/2006/main">
                <a:graphicData uri="http://schemas.microsoft.com/office/word/2010/wordprocessingShape">
                  <wps:wsp>
                    <wps:cNvCnPr/>
                    <wps:spPr>
                      <a:xfrm>
                        <a:off x="0" y="0"/>
                        <a:ext cx="0" cy="6972219"/>
                      </a:xfrm>
                      <a:prstGeom prst="line">
                        <a:avLst/>
                      </a:prstGeom>
                      <a:ln w="12700">
                        <a:solidFill>
                          <a:srgbClr val="124082"/>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id="Straight Connector 13" o:spid="_x0000_s2051" style="mso-height-percent:0;mso-height-relative:margin;mso-wrap-distance-bottom:0;mso-wrap-distance-left:9pt;mso-wrap-distance-right:9pt;mso-wrap-distance-top:0;mso-wrap-style:square;position:absolute;visibility:visible;z-index:251663360" from="197.4pt,132.85pt" to="197.4pt,681.85pt" strokecolor="#124082"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063"/>
    <w:multiLevelType w:val="hybridMultilevel"/>
    <w:tmpl w:val="2118F61C"/>
    <w:lvl w:ilvl="0" w:tplc="1504BFE4">
      <w:start w:val="1"/>
      <w:numFmt w:val="bullet"/>
      <w:pStyle w:val="BulletList"/>
      <w:lvlText w:val=""/>
      <w:lvlJc w:val="left"/>
      <w:pPr>
        <w:ind w:left="648" w:hanging="360"/>
      </w:pPr>
      <w:rPr>
        <w:rFonts w:ascii="Symbol" w:hAnsi="Symbol" w:hint="default"/>
        <w:color w:val="124082"/>
      </w:rPr>
    </w:lvl>
    <w:lvl w:ilvl="1" w:tplc="208AC160">
      <w:start w:val="1"/>
      <w:numFmt w:val="bullet"/>
      <w:lvlText w:val="o"/>
      <w:lvlJc w:val="left"/>
      <w:pPr>
        <w:ind w:left="1440" w:hanging="360"/>
      </w:pPr>
      <w:rPr>
        <w:rFonts w:ascii="Courier New" w:hAnsi="Courier New" w:cs="Courier New" w:hint="default"/>
      </w:rPr>
    </w:lvl>
    <w:lvl w:ilvl="2" w:tplc="35A09F68" w:tentative="1">
      <w:start w:val="1"/>
      <w:numFmt w:val="bullet"/>
      <w:lvlText w:val=""/>
      <w:lvlJc w:val="left"/>
      <w:pPr>
        <w:ind w:left="2160" w:hanging="360"/>
      </w:pPr>
      <w:rPr>
        <w:rFonts w:ascii="Wingdings" w:hAnsi="Wingdings" w:hint="default"/>
      </w:rPr>
    </w:lvl>
    <w:lvl w:ilvl="3" w:tplc="C1A0B5CA" w:tentative="1">
      <w:start w:val="1"/>
      <w:numFmt w:val="bullet"/>
      <w:lvlText w:val=""/>
      <w:lvlJc w:val="left"/>
      <w:pPr>
        <w:ind w:left="2880" w:hanging="360"/>
      </w:pPr>
      <w:rPr>
        <w:rFonts w:ascii="Symbol" w:hAnsi="Symbol" w:hint="default"/>
      </w:rPr>
    </w:lvl>
    <w:lvl w:ilvl="4" w:tplc="798E9A66" w:tentative="1">
      <w:start w:val="1"/>
      <w:numFmt w:val="bullet"/>
      <w:lvlText w:val="o"/>
      <w:lvlJc w:val="left"/>
      <w:pPr>
        <w:ind w:left="3600" w:hanging="360"/>
      </w:pPr>
      <w:rPr>
        <w:rFonts w:ascii="Courier New" w:hAnsi="Courier New" w:cs="Courier New" w:hint="default"/>
      </w:rPr>
    </w:lvl>
    <w:lvl w:ilvl="5" w:tplc="D03629B0" w:tentative="1">
      <w:start w:val="1"/>
      <w:numFmt w:val="bullet"/>
      <w:lvlText w:val=""/>
      <w:lvlJc w:val="left"/>
      <w:pPr>
        <w:ind w:left="4320" w:hanging="360"/>
      </w:pPr>
      <w:rPr>
        <w:rFonts w:ascii="Wingdings" w:hAnsi="Wingdings" w:hint="default"/>
      </w:rPr>
    </w:lvl>
    <w:lvl w:ilvl="6" w:tplc="CEF2CE58" w:tentative="1">
      <w:start w:val="1"/>
      <w:numFmt w:val="bullet"/>
      <w:lvlText w:val=""/>
      <w:lvlJc w:val="left"/>
      <w:pPr>
        <w:ind w:left="5040" w:hanging="360"/>
      </w:pPr>
      <w:rPr>
        <w:rFonts w:ascii="Symbol" w:hAnsi="Symbol" w:hint="default"/>
      </w:rPr>
    </w:lvl>
    <w:lvl w:ilvl="7" w:tplc="BEF69238" w:tentative="1">
      <w:start w:val="1"/>
      <w:numFmt w:val="bullet"/>
      <w:lvlText w:val="o"/>
      <w:lvlJc w:val="left"/>
      <w:pPr>
        <w:ind w:left="5760" w:hanging="360"/>
      </w:pPr>
      <w:rPr>
        <w:rFonts w:ascii="Courier New" w:hAnsi="Courier New" w:cs="Courier New" w:hint="default"/>
      </w:rPr>
    </w:lvl>
    <w:lvl w:ilvl="8" w:tplc="13608A3E" w:tentative="1">
      <w:start w:val="1"/>
      <w:numFmt w:val="bullet"/>
      <w:lvlText w:val=""/>
      <w:lvlJc w:val="left"/>
      <w:pPr>
        <w:ind w:left="6480" w:hanging="360"/>
      </w:pPr>
      <w:rPr>
        <w:rFonts w:ascii="Wingdings" w:hAnsi="Wingdings" w:hint="default"/>
      </w:rPr>
    </w:lvl>
  </w:abstractNum>
  <w:abstractNum w:abstractNumId="1" w15:restartNumberingAfterBreak="0">
    <w:nsid w:val="1568599D"/>
    <w:multiLevelType w:val="multilevel"/>
    <w:tmpl w:val="B13CDD56"/>
    <w:numStyleLink w:val="BulletedList"/>
  </w:abstractNum>
  <w:abstractNum w:abstractNumId="2" w15:restartNumberingAfterBreak="0">
    <w:nsid w:val="1A270686"/>
    <w:multiLevelType w:val="hybridMultilevel"/>
    <w:tmpl w:val="368E3A52"/>
    <w:lvl w:ilvl="0" w:tplc="470E5C2C">
      <w:start w:val="1"/>
      <w:numFmt w:val="bullet"/>
      <w:pStyle w:val="Checkbox"/>
      <w:lvlText w:val=""/>
      <w:lvlJc w:val="left"/>
      <w:pPr>
        <w:ind w:left="540" w:hanging="360"/>
      </w:pPr>
      <w:rPr>
        <w:rFonts w:ascii="Wingdings" w:hAnsi="Wingdings" w:hint="default"/>
        <w:color w:val="5083C9"/>
        <w:sz w:val="28"/>
      </w:rPr>
    </w:lvl>
    <w:lvl w:ilvl="1" w:tplc="81C4AB5E">
      <w:start w:val="1"/>
      <w:numFmt w:val="bullet"/>
      <w:lvlText w:val="o"/>
      <w:lvlJc w:val="left"/>
      <w:pPr>
        <w:ind w:left="1440" w:hanging="360"/>
      </w:pPr>
      <w:rPr>
        <w:rFonts w:ascii="Courier New" w:hAnsi="Courier New" w:cs="Courier New" w:hint="default"/>
      </w:rPr>
    </w:lvl>
    <w:lvl w:ilvl="2" w:tplc="DA42CE2C" w:tentative="1">
      <w:start w:val="1"/>
      <w:numFmt w:val="bullet"/>
      <w:lvlText w:val=""/>
      <w:lvlJc w:val="left"/>
      <w:pPr>
        <w:ind w:left="2160" w:hanging="360"/>
      </w:pPr>
      <w:rPr>
        <w:rFonts w:ascii="Wingdings" w:hAnsi="Wingdings" w:hint="default"/>
      </w:rPr>
    </w:lvl>
    <w:lvl w:ilvl="3" w:tplc="E8A6E83C" w:tentative="1">
      <w:start w:val="1"/>
      <w:numFmt w:val="bullet"/>
      <w:lvlText w:val=""/>
      <w:lvlJc w:val="left"/>
      <w:pPr>
        <w:ind w:left="2880" w:hanging="360"/>
      </w:pPr>
      <w:rPr>
        <w:rFonts w:ascii="Symbol" w:hAnsi="Symbol" w:hint="default"/>
      </w:rPr>
    </w:lvl>
    <w:lvl w:ilvl="4" w:tplc="FC922FE0" w:tentative="1">
      <w:start w:val="1"/>
      <w:numFmt w:val="bullet"/>
      <w:lvlText w:val="o"/>
      <w:lvlJc w:val="left"/>
      <w:pPr>
        <w:ind w:left="3600" w:hanging="360"/>
      </w:pPr>
      <w:rPr>
        <w:rFonts w:ascii="Courier New" w:hAnsi="Courier New" w:cs="Courier New" w:hint="default"/>
      </w:rPr>
    </w:lvl>
    <w:lvl w:ilvl="5" w:tplc="F1D2AF1A" w:tentative="1">
      <w:start w:val="1"/>
      <w:numFmt w:val="bullet"/>
      <w:lvlText w:val=""/>
      <w:lvlJc w:val="left"/>
      <w:pPr>
        <w:ind w:left="4320" w:hanging="360"/>
      </w:pPr>
      <w:rPr>
        <w:rFonts w:ascii="Wingdings" w:hAnsi="Wingdings" w:hint="default"/>
      </w:rPr>
    </w:lvl>
    <w:lvl w:ilvl="6" w:tplc="E6FE346C" w:tentative="1">
      <w:start w:val="1"/>
      <w:numFmt w:val="bullet"/>
      <w:lvlText w:val=""/>
      <w:lvlJc w:val="left"/>
      <w:pPr>
        <w:ind w:left="5040" w:hanging="360"/>
      </w:pPr>
      <w:rPr>
        <w:rFonts w:ascii="Symbol" w:hAnsi="Symbol" w:hint="default"/>
      </w:rPr>
    </w:lvl>
    <w:lvl w:ilvl="7" w:tplc="7A20B3F4" w:tentative="1">
      <w:start w:val="1"/>
      <w:numFmt w:val="bullet"/>
      <w:lvlText w:val="o"/>
      <w:lvlJc w:val="left"/>
      <w:pPr>
        <w:ind w:left="5760" w:hanging="360"/>
      </w:pPr>
      <w:rPr>
        <w:rFonts w:ascii="Courier New" w:hAnsi="Courier New" w:cs="Courier New" w:hint="default"/>
      </w:rPr>
    </w:lvl>
    <w:lvl w:ilvl="8" w:tplc="490EF14C" w:tentative="1">
      <w:start w:val="1"/>
      <w:numFmt w:val="bullet"/>
      <w:lvlText w:val=""/>
      <w:lvlJc w:val="left"/>
      <w:pPr>
        <w:ind w:left="6480" w:hanging="360"/>
      </w:pPr>
      <w:rPr>
        <w:rFonts w:ascii="Wingdings" w:hAnsi="Wingdings" w:hint="default"/>
      </w:rPr>
    </w:lvl>
  </w:abstractNum>
  <w:abstractNum w:abstractNumId="3" w15:restartNumberingAfterBreak="0">
    <w:nsid w:val="1B972674"/>
    <w:multiLevelType w:val="hybridMultilevel"/>
    <w:tmpl w:val="E9F02018"/>
    <w:lvl w:ilvl="0" w:tplc="A4E68FD4">
      <w:start w:val="1"/>
      <w:numFmt w:val="bullet"/>
      <w:lvlText w:val=""/>
      <w:lvlJc w:val="left"/>
      <w:pPr>
        <w:ind w:left="720" w:hanging="360"/>
      </w:pPr>
      <w:rPr>
        <w:rFonts w:ascii="Symbol" w:hAnsi="Symbol" w:hint="default"/>
        <w:color w:val="5083C9"/>
      </w:rPr>
    </w:lvl>
    <w:lvl w:ilvl="1" w:tplc="2DFED846" w:tentative="1">
      <w:start w:val="1"/>
      <w:numFmt w:val="bullet"/>
      <w:lvlText w:val="o"/>
      <w:lvlJc w:val="left"/>
      <w:pPr>
        <w:ind w:left="1440" w:hanging="360"/>
      </w:pPr>
      <w:rPr>
        <w:rFonts w:ascii="Courier New" w:hAnsi="Courier New" w:cs="Courier New" w:hint="default"/>
      </w:rPr>
    </w:lvl>
    <w:lvl w:ilvl="2" w:tplc="A5E6F010" w:tentative="1">
      <w:start w:val="1"/>
      <w:numFmt w:val="bullet"/>
      <w:lvlText w:val=""/>
      <w:lvlJc w:val="left"/>
      <w:pPr>
        <w:ind w:left="2160" w:hanging="360"/>
      </w:pPr>
      <w:rPr>
        <w:rFonts w:ascii="Wingdings" w:hAnsi="Wingdings" w:hint="default"/>
      </w:rPr>
    </w:lvl>
    <w:lvl w:ilvl="3" w:tplc="2D209876" w:tentative="1">
      <w:start w:val="1"/>
      <w:numFmt w:val="bullet"/>
      <w:lvlText w:val=""/>
      <w:lvlJc w:val="left"/>
      <w:pPr>
        <w:ind w:left="2880" w:hanging="360"/>
      </w:pPr>
      <w:rPr>
        <w:rFonts w:ascii="Symbol" w:hAnsi="Symbol" w:hint="default"/>
      </w:rPr>
    </w:lvl>
    <w:lvl w:ilvl="4" w:tplc="930E0DC0" w:tentative="1">
      <w:start w:val="1"/>
      <w:numFmt w:val="bullet"/>
      <w:lvlText w:val="o"/>
      <w:lvlJc w:val="left"/>
      <w:pPr>
        <w:ind w:left="3600" w:hanging="360"/>
      </w:pPr>
      <w:rPr>
        <w:rFonts w:ascii="Courier New" w:hAnsi="Courier New" w:cs="Courier New" w:hint="default"/>
      </w:rPr>
    </w:lvl>
    <w:lvl w:ilvl="5" w:tplc="F5F6A97E" w:tentative="1">
      <w:start w:val="1"/>
      <w:numFmt w:val="bullet"/>
      <w:lvlText w:val=""/>
      <w:lvlJc w:val="left"/>
      <w:pPr>
        <w:ind w:left="4320" w:hanging="360"/>
      </w:pPr>
      <w:rPr>
        <w:rFonts w:ascii="Wingdings" w:hAnsi="Wingdings" w:hint="default"/>
      </w:rPr>
    </w:lvl>
    <w:lvl w:ilvl="6" w:tplc="D832AE88" w:tentative="1">
      <w:start w:val="1"/>
      <w:numFmt w:val="bullet"/>
      <w:lvlText w:val=""/>
      <w:lvlJc w:val="left"/>
      <w:pPr>
        <w:ind w:left="5040" w:hanging="360"/>
      </w:pPr>
      <w:rPr>
        <w:rFonts w:ascii="Symbol" w:hAnsi="Symbol" w:hint="default"/>
      </w:rPr>
    </w:lvl>
    <w:lvl w:ilvl="7" w:tplc="425C1570" w:tentative="1">
      <w:start w:val="1"/>
      <w:numFmt w:val="bullet"/>
      <w:lvlText w:val="o"/>
      <w:lvlJc w:val="left"/>
      <w:pPr>
        <w:ind w:left="5760" w:hanging="360"/>
      </w:pPr>
      <w:rPr>
        <w:rFonts w:ascii="Courier New" w:hAnsi="Courier New" w:cs="Courier New" w:hint="default"/>
      </w:rPr>
    </w:lvl>
    <w:lvl w:ilvl="8" w:tplc="DB143184" w:tentative="1">
      <w:start w:val="1"/>
      <w:numFmt w:val="bullet"/>
      <w:lvlText w:val=""/>
      <w:lvlJc w:val="left"/>
      <w:pPr>
        <w:ind w:left="6480" w:hanging="360"/>
      </w:pPr>
      <w:rPr>
        <w:rFonts w:ascii="Wingdings" w:hAnsi="Wingdings" w:hint="default"/>
      </w:rPr>
    </w:lvl>
  </w:abstractNum>
  <w:abstractNum w:abstractNumId="4" w15:restartNumberingAfterBreak="0">
    <w:nsid w:val="1F441FC8"/>
    <w:multiLevelType w:val="hybridMultilevel"/>
    <w:tmpl w:val="BB86A7DE"/>
    <w:lvl w:ilvl="0" w:tplc="CC64D01E">
      <w:start w:val="1"/>
      <w:numFmt w:val="decimal"/>
      <w:pStyle w:val="NumberList"/>
      <w:lvlText w:val="%1."/>
      <w:lvlJc w:val="left"/>
      <w:pPr>
        <w:ind w:left="720" w:hanging="360"/>
      </w:pPr>
      <w:rPr>
        <w:rFonts w:hint="default"/>
        <w:b/>
        <w:i w:val="0"/>
        <w:color w:val="124082"/>
      </w:rPr>
    </w:lvl>
    <w:lvl w:ilvl="1" w:tplc="BD169F40">
      <w:start w:val="1"/>
      <w:numFmt w:val="lowerLetter"/>
      <w:lvlText w:val="%2."/>
      <w:lvlJc w:val="left"/>
      <w:pPr>
        <w:ind w:left="1440" w:hanging="360"/>
      </w:pPr>
    </w:lvl>
    <w:lvl w:ilvl="2" w:tplc="DB3412D6" w:tentative="1">
      <w:start w:val="1"/>
      <w:numFmt w:val="lowerRoman"/>
      <w:lvlText w:val="%3."/>
      <w:lvlJc w:val="right"/>
      <w:pPr>
        <w:ind w:left="2160" w:hanging="180"/>
      </w:pPr>
    </w:lvl>
    <w:lvl w:ilvl="3" w:tplc="1786DB94" w:tentative="1">
      <w:start w:val="1"/>
      <w:numFmt w:val="decimal"/>
      <w:lvlText w:val="%4."/>
      <w:lvlJc w:val="left"/>
      <w:pPr>
        <w:ind w:left="2880" w:hanging="360"/>
      </w:pPr>
    </w:lvl>
    <w:lvl w:ilvl="4" w:tplc="7926044A" w:tentative="1">
      <w:start w:val="1"/>
      <w:numFmt w:val="lowerLetter"/>
      <w:lvlText w:val="%5."/>
      <w:lvlJc w:val="left"/>
      <w:pPr>
        <w:ind w:left="3600" w:hanging="360"/>
      </w:pPr>
    </w:lvl>
    <w:lvl w:ilvl="5" w:tplc="ECAE82EE" w:tentative="1">
      <w:start w:val="1"/>
      <w:numFmt w:val="lowerRoman"/>
      <w:lvlText w:val="%6."/>
      <w:lvlJc w:val="right"/>
      <w:pPr>
        <w:ind w:left="4320" w:hanging="180"/>
      </w:pPr>
    </w:lvl>
    <w:lvl w:ilvl="6" w:tplc="4DFAE0CA" w:tentative="1">
      <w:start w:val="1"/>
      <w:numFmt w:val="decimal"/>
      <w:lvlText w:val="%7."/>
      <w:lvlJc w:val="left"/>
      <w:pPr>
        <w:ind w:left="5040" w:hanging="360"/>
      </w:pPr>
    </w:lvl>
    <w:lvl w:ilvl="7" w:tplc="3C68B914" w:tentative="1">
      <w:start w:val="1"/>
      <w:numFmt w:val="lowerLetter"/>
      <w:lvlText w:val="%8."/>
      <w:lvlJc w:val="left"/>
      <w:pPr>
        <w:ind w:left="5760" w:hanging="360"/>
      </w:pPr>
    </w:lvl>
    <w:lvl w:ilvl="8" w:tplc="EA5C4CAA" w:tentative="1">
      <w:start w:val="1"/>
      <w:numFmt w:val="lowerRoman"/>
      <w:lvlText w:val="%9."/>
      <w:lvlJc w:val="right"/>
      <w:pPr>
        <w:ind w:left="6480" w:hanging="180"/>
      </w:pPr>
    </w:lvl>
  </w:abstractNum>
  <w:abstractNum w:abstractNumId="5" w15:restartNumberingAfterBreak="0">
    <w:nsid w:val="241455C7"/>
    <w:multiLevelType w:val="hybridMultilevel"/>
    <w:tmpl w:val="090C530A"/>
    <w:lvl w:ilvl="0" w:tplc="16FAC2CA">
      <w:start w:val="1"/>
      <w:numFmt w:val="bullet"/>
      <w:lvlText w:val=""/>
      <w:lvlJc w:val="left"/>
      <w:pPr>
        <w:ind w:left="720" w:hanging="360"/>
      </w:pPr>
      <w:rPr>
        <w:rFonts w:ascii="Symbol" w:hAnsi="Symbol" w:hint="default"/>
        <w:color w:val="5083C9"/>
      </w:rPr>
    </w:lvl>
    <w:lvl w:ilvl="1" w:tplc="302C77C4" w:tentative="1">
      <w:start w:val="1"/>
      <w:numFmt w:val="bullet"/>
      <w:lvlText w:val="o"/>
      <w:lvlJc w:val="left"/>
      <w:pPr>
        <w:ind w:left="1440" w:hanging="360"/>
      </w:pPr>
      <w:rPr>
        <w:rFonts w:ascii="Courier New" w:hAnsi="Courier New" w:cs="Courier New" w:hint="default"/>
      </w:rPr>
    </w:lvl>
    <w:lvl w:ilvl="2" w:tplc="27A42E32" w:tentative="1">
      <w:start w:val="1"/>
      <w:numFmt w:val="bullet"/>
      <w:lvlText w:val=""/>
      <w:lvlJc w:val="left"/>
      <w:pPr>
        <w:ind w:left="2160" w:hanging="360"/>
      </w:pPr>
      <w:rPr>
        <w:rFonts w:ascii="Wingdings" w:hAnsi="Wingdings" w:hint="default"/>
      </w:rPr>
    </w:lvl>
    <w:lvl w:ilvl="3" w:tplc="9D7418D4" w:tentative="1">
      <w:start w:val="1"/>
      <w:numFmt w:val="bullet"/>
      <w:lvlText w:val=""/>
      <w:lvlJc w:val="left"/>
      <w:pPr>
        <w:ind w:left="2880" w:hanging="360"/>
      </w:pPr>
      <w:rPr>
        <w:rFonts w:ascii="Symbol" w:hAnsi="Symbol" w:hint="default"/>
      </w:rPr>
    </w:lvl>
    <w:lvl w:ilvl="4" w:tplc="C2909744" w:tentative="1">
      <w:start w:val="1"/>
      <w:numFmt w:val="bullet"/>
      <w:lvlText w:val="o"/>
      <w:lvlJc w:val="left"/>
      <w:pPr>
        <w:ind w:left="3600" w:hanging="360"/>
      </w:pPr>
      <w:rPr>
        <w:rFonts w:ascii="Courier New" w:hAnsi="Courier New" w:cs="Courier New" w:hint="default"/>
      </w:rPr>
    </w:lvl>
    <w:lvl w:ilvl="5" w:tplc="9E5803C0" w:tentative="1">
      <w:start w:val="1"/>
      <w:numFmt w:val="bullet"/>
      <w:lvlText w:val=""/>
      <w:lvlJc w:val="left"/>
      <w:pPr>
        <w:ind w:left="4320" w:hanging="360"/>
      </w:pPr>
      <w:rPr>
        <w:rFonts w:ascii="Wingdings" w:hAnsi="Wingdings" w:hint="default"/>
      </w:rPr>
    </w:lvl>
    <w:lvl w:ilvl="6" w:tplc="350C80D4" w:tentative="1">
      <w:start w:val="1"/>
      <w:numFmt w:val="bullet"/>
      <w:lvlText w:val=""/>
      <w:lvlJc w:val="left"/>
      <w:pPr>
        <w:ind w:left="5040" w:hanging="360"/>
      </w:pPr>
      <w:rPr>
        <w:rFonts w:ascii="Symbol" w:hAnsi="Symbol" w:hint="default"/>
      </w:rPr>
    </w:lvl>
    <w:lvl w:ilvl="7" w:tplc="B88C7C3A" w:tentative="1">
      <w:start w:val="1"/>
      <w:numFmt w:val="bullet"/>
      <w:lvlText w:val="o"/>
      <w:lvlJc w:val="left"/>
      <w:pPr>
        <w:ind w:left="5760" w:hanging="360"/>
      </w:pPr>
      <w:rPr>
        <w:rFonts w:ascii="Courier New" w:hAnsi="Courier New" w:cs="Courier New" w:hint="default"/>
      </w:rPr>
    </w:lvl>
    <w:lvl w:ilvl="8" w:tplc="4AE82D44" w:tentative="1">
      <w:start w:val="1"/>
      <w:numFmt w:val="bullet"/>
      <w:lvlText w:val=""/>
      <w:lvlJc w:val="left"/>
      <w:pPr>
        <w:ind w:left="6480" w:hanging="360"/>
      </w:pPr>
      <w:rPr>
        <w:rFonts w:ascii="Wingdings" w:hAnsi="Wingdings" w:hint="default"/>
      </w:rPr>
    </w:lvl>
  </w:abstractNum>
  <w:abstractNum w:abstractNumId="6" w15:restartNumberingAfterBreak="0">
    <w:nsid w:val="386D7C4C"/>
    <w:multiLevelType w:val="hybridMultilevel"/>
    <w:tmpl w:val="63D8C40E"/>
    <w:lvl w:ilvl="0" w:tplc="4084766C">
      <w:start w:val="1"/>
      <w:numFmt w:val="bullet"/>
      <w:lvlText w:val=""/>
      <w:lvlJc w:val="left"/>
      <w:pPr>
        <w:ind w:left="720" w:hanging="360"/>
      </w:pPr>
      <w:rPr>
        <w:rFonts w:ascii="Symbol" w:hAnsi="Symbol" w:hint="default"/>
        <w:color w:val="5083C9"/>
      </w:rPr>
    </w:lvl>
    <w:lvl w:ilvl="1" w:tplc="B380E13C" w:tentative="1">
      <w:start w:val="1"/>
      <w:numFmt w:val="bullet"/>
      <w:lvlText w:val="o"/>
      <w:lvlJc w:val="left"/>
      <w:pPr>
        <w:ind w:left="1440" w:hanging="360"/>
      </w:pPr>
      <w:rPr>
        <w:rFonts w:ascii="Courier New" w:hAnsi="Courier New" w:cs="Courier New" w:hint="default"/>
      </w:rPr>
    </w:lvl>
    <w:lvl w:ilvl="2" w:tplc="3BD6F93E" w:tentative="1">
      <w:start w:val="1"/>
      <w:numFmt w:val="bullet"/>
      <w:lvlText w:val=""/>
      <w:lvlJc w:val="left"/>
      <w:pPr>
        <w:ind w:left="2160" w:hanging="360"/>
      </w:pPr>
      <w:rPr>
        <w:rFonts w:ascii="Wingdings" w:hAnsi="Wingdings" w:hint="default"/>
      </w:rPr>
    </w:lvl>
    <w:lvl w:ilvl="3" w:tplc="554A8C14" w:tentative="1">
      <w:start w:val="1"/>
      <w:numFmt w:val="bullet"/>
      <w:lvlText w:val=""/>
      <w:lvlJc w:val="left"/>
      <w:pPr>
        <w:ind w:left="2880" w:hanging="360"/>
      </w:pPr>
      <w:rPr>
        <w:rFonts w:ascii="Symbol" w:hAnsi="Symbol" w:hint="default"/>
      </w:rPr>
    </w:lvl>
    <w:lvl w:ilvl="4" w:tplc="75CA469A" w:tentative="1">
      <w:start w:val="1"/>
      <w:numFmt w:val="bullet"/>
      <w:lvlText w:val="o"/>
      <w:lvlJc w:val="left"/>
      <w:pPr>
        <w:ind w:left="3600" w:hanging="360"/>
      </w:pPr>
      <w:rPr>
        <w:rFonts w:ascii="Courier New" w:hAnsi="Courier New" w:cs="Courier New" w:hint="default"/>
      </w:rPr>
    </w:lvl>
    <w:lvl w:ilvl="5" w:tplc="0E7CFFE4" w:tentative="1">
      <w:start w:val="1"/>
      <w:numFmt w:val="bullet"/>
      <w:lvlText w:val=""/>
      <w:lvlJc w:val="left"/>
      <w:pPr>
        <w:ind w:left="4320" w:hanging="360"/>
      </w:pPr>
      <w:rPr>
        <w:rFonts w:ascii="Wingdings" w:hAnsi="Wingdings" w:hint="default"/>
      </w:rPr>
    </w:lvl>
    <w:lvl w:ilvl="6" w:tplc="6E1C7F76" w:tentative="1">
      <w:start w:val="1"/>
      <w:numFmt w:val="bullet"/>
      <w:lvlText w:val=""/>
      <w:lvlJc w:val="left"/>
      <w:pPr>
        <w:ind w:left="5040" w:hanging="360"/>
      </w:pPr>
      <w:rPr>
        <w:rFonts w:ascii="Symbol" w:hAnsi="Symbol" w:hint="default"/>
      </w:rPr>
    </w:lvl>
    <w:lvl w:ilvl="7" w:tplc="7A3CAD58" w:tentative="1">
      <w:start w:val="1"/>
      <w:numFmt w:val="bullet"/>
      <w:lvlText w:val="o"/>
      <w:lvlJc w:val="left"/>
      <w:pPr>
        <w:ind w:left="5760" w:hanging="360"/>
      </w:pPr>
      <w:rPr>
        <w:rFonts w:ascii="Courier New" w:hAnsi="Courier New" w:cs="Courier New" w:hint="default"/>
      </w:rPr>
    </w:lvl>
    <w:lvl w:ilvl="8" w:tplc="ADC4AD62" w:tentative="1">
      <w:start w:val="1"/>
      <w:numFmt w:val="bullet"/>
      <w:lvlText w:val=""/>
      <w:lvlJc w:val="left"/>
      <w:pPr>
        <w:ind w:left="6480" w:hanging="360"/>
      </w:pPr>
      <w:rPr>
        <w:rFonts w:ascii="Wingdings" w:hAnsi="Wingdings" w:hint="default"/>
      </w:rPr>
    </w:lvl>
  </w:abstractNum>
  <w:abstractNum w:abstractNumId="7" w15:restartNumberingAfterBreak="0">
    <w:nsid w:val="43E32AF5"/>
    <w:multiLevelType w:val="multilevel"/>
    <w:tmpl w:val="B13CDD56"/>
    <w:styleLink w:val="BulletedList"/>
    <w:lvl w:ilvl="0">
      <w:start w:val="1"/>
      <w:numFmt w:val="bullet"/>
      <w:lvlText w:val=""/>
      <w:lvlJc w:val="left"/>
      <w:pPr>
        <w:ind w:left="360" w:hanging="360"/>
      </w:pPr>
      <w:rPr>
        <w:rFonts w:ascii="Symbol" w:hAnsi="Symbol" w:hint="default"/>
        <w:color w:val="5083C9"/>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67C3E30"/>
    <w:multiLevelType w:val="hybridMultilevel"/>
    <w:tmpl w:val="DCE623FE"/>
    <w:lvl w:ilvl="0" w:tplc="68BC7CDA">
      <w:start w:val="1"/>
      <w:numFmt w:val="bullet"/>
      <w:lvlText w:val=""/>
      <w:lvlJc w:val="left"/>
      <w:pPr>
        <w:ind w:left="720" w:hanging="360"/>
      </w:pPr>
      <w:rPr>
        <w:rFonts w:ascii="Symbol" w:hAnsi="Symbol" w:hint="default"/>
        <w:color w:val="5083C9"/>
      </w:rPr>
    </w:lvl>
    <w:lvl w:ilvl="1" w:tplc="13AAB156">
      <w:start w:val="1"/>
      <w:numFmt w:val="bullet"/>
      <w:lvlText w:val="o"/>
      <w:lvlJc w:val="left"/>
      <w:pPr>
        <w:ind w:left="1440" w:hanging="360"/>
      </w:pPr>
      <w:rPr>
        <w:rFonts w:ascii="Courier New" w:hAnsi="Courier New" w:cs="Courier New" w:hint="default"/>
      </w:rPr>
    </w:lvl>
    <w:lvl w:ilvl="2" w:tplc="B54CA2B6">
      <w:start w:val="1"/>
      <w:numFmt w:val="bullet"/>
      <w:lvlText w:val=""/>
      <w:lvlJc w:val="left"/>
      <w:pPr>
        <w:ind w:left="2160" w:hanging="360"/>
      </w:pPr>
      <w:rPr>
        <w:rFonts w:ascii="Wingdings" w:hAnsi="Wingdings" w:hint="default"/>
      </w:rPr>
    </w:lvl>
    <w:lvl w:ilvl="3" w:tplc="B3008A08" w:tentative="1">
      <w:start w:val="1"/>
      <w:numFmt w:val="bullet"/>
      <w:lvlText w:val=""/>
      <w:lvlJc w:val="left"/>
      <w:pPr>
        <w:ind w:left="2880" w:hanging="360"/>
      </w:pPr>
      <w:rPr>
        <w:rFonts w:ascii="Symbol" w:hAnsi="Symbol" w:hint="default"/>
      </w:rPr>
    </w:lvl>
    <w:lvl w:ilvl="4" w:tplc="CB34232C" w:tentative="1">
      <w:start w:val="1"/>
      <w:numFmt w:val="bullet"/>
      <w:lvlText w:val="o"/>
      <w:lvlJc w:val="left"/>
      <w:pPr>
        <w:ind w:left="3600" w:hanging="360"/>
      </w:pPr>
      <w:rPr>
        <w:rFonts w:ascii="Courier New" w:hAnsi="Courier New" w:cs="Courier New" w:hint="default"/>
      </w:rPr>
    </w:lvl>
    <w:lvl w:ilvl="5" w:tplc="ABB00086" w:tentative="1">
      <w:start w:val="1"/>
      <w:numFmt w:val="bullet"/>
      <w:lvlText w:val=""/>
      <w:lvlJc w:val="left"/>
      <w:pPr>
        <w:ind w:left="4320" w:hanging="360"/>
      </w:pPr>
      <w:rPr>
        <w:rFonts w:ascii="Wingdings" w:hAnsi="Wingdings" w:hint="default"/>
      </w:rPr>
    </w:lvl>
    <w:lvl w:ilvl="6" w:tplc="560CA39E" w:tentative="1">
      <w:start w:val="1"/>
      <w:numFmt w:val="bullet"/>
      <w:lvlText w:val=""/>
      <w:lvlJc w:val="left"/>
      <w:pPr>
        <w:ind w:left="5040" w:hanging="360"/>
      </w:pPr>
      <w:rPr>
        <w:rFonts w:ascii="Symbol" w:hAnsi="Symbol" w:hint="default"/>
      </w:rPr>
    </w:lvl>
    <w:lvl w:ilvl="7" w:tplc="96EE9AF6" w:tentative="1">
      <w:start w:val="1"/>
      <w:numFmt w:val="bullet"/>
      <w:lvlText w:val="o"/>
      <w:lvlJc w:val="left"/>
      <w:pPr>
        <w:ind w:left="5760" w:hanging="360"/>
      </w:pPr>
      <w:rPr>
        <w:rFonts w:ascii="Courier New" w:hAnsi="Courier New" w:cs="Courier New" w:hint="default"/>
      </w:rPr>
    </w:lvl>
    <w:lvl w:ilvl="8" w:tplc="61A8E2D0" w:tentative="1">
      <w:start w:val="1"/>
      <w:numFmt w:val="bullet"/>
      <w:lvlText w:val=""/>
      <w:lvlJc w:val="left"/>
      <w:pPr>
        <w:ind w:left="6480" w:hanging="360"/>
      </w:pPr>
      <w:rPr>
        <w:rFonts w:ascii="Wingdings" w:hAnsi="Wingdings" w:hint="default"/>
      </w:rPr>
    </w:lvl>
  </w:abstractNum>
  <w:abstractNum w:abstractNumId="9" w15:restartNumberingAfterBreak="0">
    <w:nsid w:val="49D40F3B"/>
    <w:multiLevelType w:val="multilevel"/>
    <w:tmpl w:val="B13CDD56"/>
    <w:numStyleLink w:val="BulletedList"/>
  </w:abstractNum>
  <w:abstractNum w:abstractNumId="10" w15:restartNumberingAfterBreak="0">
    <w:nsid w:val="4C8601A1"/>
    <w:multiLevelType w:val="hybridMultilevel"/>
    <w:tmpl w:val="43CE94D6"/>
    <w:lvl w:ilvl="0" w:tplc="49FA5D0E">
      <w:start w:val="1"/>
      <w:numFmt w:val="bullet"/>
      <w:lvlText w:val=""/>
      <w:lvlJc w:val="left"/>
      <w:pPr>
        <w:ind w:left="720" w:hanging="360"/>
      </w:pPr>
      <w:rPr>
        <w:rFonts w:ascii="Symbol" w:hAnsi="Symbol" w:hint="default"/>
      </w:rPr>
    </w:lvl>
    <w:lvl w:ilvl="1" w:tplc="6586543A">
      <w:start w:val="1"/>
      <w:numFmt w:val="bullet"/>
      <w:lvlText w:val="o"/>
      <w:lvlJc w:val="left"/>
      <w:pPr>
        <w:ind w:left="1440" w:hanging="360"/>
      </w:pPr>
      <w:rPr>
        <w:rFonts w:ascii="Courier New" w:hAnsi="Courier New" w:hint="default"/>
      </w:rPr>
    </w:lvl>
    <w:lvl w:ilvl="2" w:tplc="C122B344" w:tentative="1">
      <w:start w:val="1"/>
      <w:numFmt w:val="bullet"/>
      <w:lvlText w:val=""/>
      <w:lvlJc w:val="left"/>
      <w:pPr>
        <w:ind w:left="2160" w:hanging="360"/>
      </w:pPr>
      <w:rPr>
        <w:rFonts w:ascii="Wingdings" w:hAnsi="Wingdings" w:hint="default"/>
      </w:rPr>
    </w:lvl>
    <w:lvl w:ilvl="3" w:tplc="A7061236" w:tentative="1">
      <w:start w:val="1"/>
      <w:numFmt w:val="bullet"/>
      <w:lvlText w:val=""/>
      <w:lvlJc w:val="left"/>
      <w:pPr>
        <w:ind w:left="2880" w:hanging="360"/>
      </w:pPr>
      <w:rPr>
        <w:rFonts w:ascii="Symbol" w:hAnsi="Symbol" w:hint="default"/>
      </w:rPr>
    </w:lvl>
    <w:lvl w:ilvl="4" w:tplc="F3861572" w:tentative="1">
      <w:start w:val="1"/>
      <w:numFmt w:val="bullet"/>
      <w:lvlText w:val="o"/>
      <w:lvlJc w:val="left"/>
      <w:pPr>
        <w:ind w:left="3600" w:hanging="360"/>
      </w:pPr>
      <w:rPr>
        <w:rFonts w:ascii="Courier New" w:hAnsi="Courier New" w:cs="Courier New" w:hint="default"/>
      </w:rPr>
    </w:lvl>
    <w:lvl w:ilvl="5" w:tplc="FC840148" w:tentative="1">
      <w:start w:val="1"/>
      <w:numFmt w:val="bullet"/>
      <w:lvlText w:val=""/>
      <w:lvlJc w:val="left"/>
      <w:pPr>
        <w:ind w:left="4320" w:hanging="360"/>
      </w:pPr>
      <w:rPr>
        <w:rFonts w:ascii="Wingdings" w:hAnsi="Wingdings" w:hint="default"/>
      </w:rPr>
    </w:lvl>
    <w:lvl w:ilvl="6" w:tplc="6458ED0A" w:tentative="1">
      <w:start w:val="1"/>
      <w:numFmt w:val="bullet"/>
      <w:lvlText w:val=""/>
      <w:lvlJc w:val="left"/>
      <w:pPr>
        <w:ind w:left="5040" w:hanging="360"/>
      </w:pPr>
      <w:rPr>
        <w:rFonts w:ascii="Symbol" w:hAnsi="Symbol" w:hint="default"/>
      </w:rPr>
    </w:lvl>
    <w:lvl w:ilvl="7" w:tplc="40EC12CA" w:tentative="1">
      <w:start w:val="1"/>
      <w:numFmt w:val="bullet"/>
      <w:lvlText w:val="o"/>
      <w:lvlJc w:val="left"/>
      <w:pPr>
        <w:ind w:left="5760" w:hanging="360"/>
      </w:pPr>
      <w:rPr>
        <w:rFonts w:ascii="Courier New" w:hAnsi="Courier New" w:cs="Courier New" w:hint="default"/>
      </w:rPr>
    </w:lvl>
    <w:lvl w:ilvl="8" w:tplc="34701B46" w:tentative="1">
      <w:start w:val="1"/>
      <w:numFmt w:val="bullet"/>
      <w:lvlText w:val=""/>
      <w:lvlJc w:val="left"/>
      <w:pPr>
        <w:ind w:left="6480" w:hanging="360"/>
      </w:pPr>
      <w:rPr>
        <w:rFonts w:ascii="Wingdings" w:hAnsi="Wingdings" w:hint="default"/>
      </w:rPr>
    </w:lvl>
  </w:abstractNum>
  <w:abstractNum w:abstractNumId="11" w15:restartNumberingAfterBreak="0">
    <w:nsid w:val="4E624744"/>
    <w:multiLevelType w:val="hybridMultilevel"/>
    <w:tmpl w:val="EB969358"/>
    <w:lvl w:ilvl="0" w:tplc="01988690">
      <w:start w:val="1"/>
      <w:numFmt w:val="bullet"/>
      <w:pStyle w:val="Xbox"/>
      <w:lvlText w:val=""/>
      <w:lvlJc w:val="left"/>
      <w:pPr>
        <w:ind w:left="540" w:hanging="360"/>
      </w:pPr>
      <w:rPr>
        <w:rFonts w:ascii="Wingdings" w:hAnsi="Wingdings" w:hint="default"/>
        <w:color w:val="BD6363"/>
        <w:sz w:val="28"/>
      </w:rPr>
    </w:lvl>
    <w:lvl w:ilvl="1" w:tplc="CE6A3AB0">
      <w:start w:val="1"/>
      <w:numFmt w:val="bullet"/>
      <w:lvlText w:val="o"/>
      <w:lvlJc w:val="left"/>
      <w:pPr>
        <w:ind w:left="1440" w:hanging="360"/>
      </w:pPr>
      <w:rPr>
        <w:rFonts w:ascii="Courier New" w:hAnsi="Courier New" w:cs="Courier New" w:hint="default"/>
      </w:rPr>
    </w:lvl>
    <w:lvl w:ilvl="2" w:tplc="F020A4B4" w:tentative="1">
      <w:start w:val="1"/>
      <w:numFmt w:val="bullet"/>
      <w:lvlText w:val=""/>
      <w:lvlJc w:val="left"/>
      <w:pPr>
        <w:ind w:left="2160" w:hanging="360"/>
      </w:pPr>
      <w:rPr>
        <w:rFonts w:ascii="Wingdings" w:hAnsi="Wingdings" w:hint="default"/>
      </w:rPr>
    </w:lvl>
    <w:lvl w:ilvl="3" w:tplc="1B26C3CE" w:tentative="1">
      <w:start w:val="1"/>
      <w:numFmt w:val="bullet"/>
      <w:lvlText w:val=""/>
      <w:lvlJc w:val="left"/>
      <w:pPr>
        <w:ind w:left="2880" w:hanging="360"/>
      </w:pPr>
      <w:rPr>
        <w:rFonts w:ascii="Symbol" w:hAnsi="Symbol" w:hint="default"/>
      </w:rPr>
    </w:lvl>
    <w:lvl w:ilvl="4" w:tplc="448E8812" w:tentative="1">
      <w:start w:val="1"/>
      <w:numFmt w:val="bullet"/>
      <w:lvlText w:val="o"/>
      <w:lvlJc w:val="left"/>
      <w:pPr>
        <w:ind w:left="3600" w:hanging="360"/>
      </w:pPr>
      <w:rPr>
        <w:rFonts w:ascii="Courier New" w:hAnsi="Courier New" w:cs="Courier New" w:hint="default"/>
      </w:rPr>
    </w:lvl>
    <w:lvl w:ilvl="5" w:tplc="99E0D052" w:tentative="1">
      <w:start w:val="1"/>
      <w:numFmt w:val="bullet"/>
      <w:lvlText w:val=""/>
      <w:lvlJc w:val="left"/>
      <w:pPr>
        <w:ind w:left="4320" w:hanging="360"/>
      </w:pPr>
      <w:rPr>
        <w:rFonts w:ascii="Wingdings" w:hAnsi="Wingdings" w:hint="default"/>
      </w:rPr>
    </w:lvl>
    <w:lvl w:ilvl="6" w:tplc="85044A54" w:tentative="1">
      <w:start w:val="1"/>
      <w:numFmt w:val="bullet"/>
      <w:lvlText w:val=""/>
      <w:lvlJc w:val="left"/>
      <w:pPr>
        <w:ind w:left="5040" w:hanging="360"/>
      </w:pPr>
      <w:rPr>
        <w:rFonts w:ascii="Symbol" w:hAnsi="Symbol" w:hint="default"/>
      </w:rPr>
    </w:lvl>
    <w:lvl w:ilvl="7" w:tplc="C5BA1F30" w:tentative="1">
      <w:start w:val="1"/>
      <w:numFmt w:val="bullet"/>
      <w:lvlText w:val="o"/>
      <w:lvlJc w:val="left"/>
      <w:pPr>
        <w:ind w:left="5760" w:hanging="360"/>
      </w:pPr>
      <w:rPr>
        <w:rFonts w:ascii="Courier New" w:hAnsi="Courier New" w:cs="Courier New" w:hint="default"/>
      </w:rPr>
    </w:lvl>
    <w:lvl w:ilvl="8" w:tplc="F02AFB9A" w:tentative="1">
      <w:start w:val="1"/>
      <w:numFmt w:val="bullet"/>
      <w:lvlText w:val=""/>
      <w:lvlJc w:val="left"/>
      <w:pPr>
        <w:ind w:left="6480" w:hanging="360"/>
      </w:pPr>
      <w:rPr>
        <w:rFonts w:ascii="Wingdings" w:hAnsi="Wingdings" w:hint="default"/>
      </w:rPr>
    </w:lvl>
  </w:abstractNum>
  <w:abstractNum w:abstractNumId="12" w15:restartNumberingAfterBreak="0">
    <w:nsid w:val="4F0E1D8C"/>
    <w:multiLevelType w:val="hybridMultilevel"/>
    <w:tmpl w:val="A712F31A"/>
    <w:lvl w:ilvl="0" w:tplc="31C47914">
      <w:start w:val="1"/>
      <w:numFmt w:val="bullet"/>
      <w:pStyle w:val="Bullet"/>
      <w:lvlText w:val=""/>
      <w:lvlJc w:val="left"/>
      <w:pPr>
        <w:ind w:left="648" w:hanging="360"/>
      </w:pPr>
      <w:rPr>
        <w:rFonts w:ascii="Symbol" w:hAnsi="Symbol" w:hint="default"/>
        <w:b/>
        <w:i w:val="0"/>
        <w:color w:val="3C728A"/>
      </w:rPr>
    </w:lvl>
    <w:lvl w:ilvl="1" w:tplc="5E904994">
      <w:start w:val="1"/>
      <w:numFmt w:val="bullet"/>
      <w:pStyle w:val="Bullet2"/>
      <w:lvlText w:val="o"/>
      <w:lvlJc w:val="left"/>
      <w:pPr>
        <w:ind w:left="1440" w:hanging="360"/>
      </w:pPr>
      <w:rPr>
        <w:rFonts w:ascii="Courier New" w:hAnsi="Courier New" w:cs="Courier New" w:hint="default"/>
      </w:rPr>
    </w:lvl>
    <w:lvl w:ilvl="2" w:tplc="2AA21340">
      <w:start w:val="1"/>
      <w:numFmt w:val="bullet"/>
      <w:lvlText w:val=""/>
      <w:lvlJc w:val="left"/>
      <w:pPr>
        <w:ind w:left="2160" w:hanging="360"/>
      </w:pPr>
      <w:rPr>
        <w:rFonts w:ascii="Wingdings" w:hAnsi="Wingdings" w:hint="default"/>
      </w:rPr>
    </w:lvl>
    <w:lvl w:ilvl="3" w:tplc="E7345D7C" w:tentative="1">
      <w:start w:val="1"/>
      <w:numFmt w:val="bullet"/>
      <w:lvlText w:val=""/>
      <w:lvlJc w:val="left"/>
      <w:pPr>
        <w:ind w:left="2880" w:hanging="360"/>
      </w:pPr>
      <w:rPr>
        <w:rFonts w:ascii="Symbol" w:hAnsi="Symbol" w:hint="default"/>
      </w:rPr>
    </w:lvl>
    <w:lvl w:ilvl="4" w:tplc="C868CC60" w:tentative="1">
      <w:start w:val="1"/>
      <w:numFmt w:val="bullet"/>
      <w:lvlText w:val="o"/>
      <w:lvlJc w:val="left"/>
      <w:pPr>
        <w:ind w:left="3600" w:hanging="360"/>
      </w:pPr>
      <w:rPr>
        <w:rFonts w:ascii="Courier New" w:hAnsi="Courier New" w:cs="Courier New" w:hint="default"/>
      </w:rPr>
    </w:lvl>
    <w:lvl w:ilvl="5" w:tplc="103AE422" w:tentative="1">
      <w:start w:val="1"/>
      <w:numFmt w:val="bullet"/>
      <w:lvlText w:val=""/>
      <w:lvlJc w:val="left"/>
      <w:pPr>
        <w:ind w:left="4320" w:hanging="360"/>
      </w:pPr>
      <w:rPr>
        <w:rFonts w:ascii="Wingdings" w:hAnsi="Wingdings" w:hint="default"/>
      </w:rPr>
    </w:lvl>
    <w:lvl w:ilvl="6" w:tplc="93B05078" w:tentative="1">
      <w:start w:val="1"/>
      <w:numFmt w:val="bullet"/>
      <w:lvlText w:val=""/>
      <w:lvlJc w:val="left"/>
      <w:pPr>
        <w:ind w:left="5040" w:hanging="360"/>
      </w:pPr>
      <w:rPr>
        <w:rFonts w:ascii="Symbol" w:hAnsi="Symbol" w:hint="default"/>
      </w:rPr>
    </w:lvl>
    <w:lvl w:ilvl="7" w:tplc="612AF7F6" w:tentative="1">
      <w:start w:val="1"/>
      <w:numFmt w:val="bullet"/>
      <w:lvlText w:val="o"/>
      <w:lvlJc w:val="left"/>
      <w:pPr>
        <w:ind w:left="5760" w:hanging="360"/>
      </w:pPr>
      <w:rPr>
        <w:rFonts w:ascii="Courier New" w:hAnsi="Courier New" w:cs="Courier New" w:hint="default"/>
      </w:rPr>
    </w:lvl>
    <w:lvl w:ilvl="8" w:tplc="388E1F8E" w:tentative="1">
      <w:start w:val="1"/>
      <w:numFmt w:val="bullet"/>
      <w:lvlText w:val=""/>
      <w:lvlJc w:val="left"/>
      <w:pPr>
        <w:ind w:left="6480" w:hanging="360"/>
      </w:pPr>
      <w:rPr>
        <w:rFonts w:ascii="Wingdings" w:hAnsi="Wingdings" w:hint="default"/>
      </w:rPr>
    </w:lvl>
  </w:abstractNum>
  <w:abstractNum w:abstractNumId="13" w15:restartNumberingAfterBreak="0">
    <w:nsid w:val="532E5207"/>
    <w:multiLevelType w:val="multilevel"/>
    <w:tmpl w:val="B13CDD56"/>
    <w:numStyleLink w:val="BulletedList"/>
  </w:abstractNum>
  <w:abstractNum w:abstractNumId="14" w15:restartNumberingAfterBreak="0">
    <w:nsid w:val="54DE0B4A"/>
    <w:multiLevelType w:val="hybridMultilevel"/>
    <w:tmpl w:val="7F987ECC"/>
    <w:lvl w:ilvl="0" w:tplc="758AC86A">
      <w:start w:val="1"/>
      <w:numFmt w:val="bullet"/>
      <w:lvlText w:val=""/>
      <w:lvlJc w:val="left"/>
      <w:pPr>
        <w:ind w:left="720" w:hanging="360"/>
      </w:pPr>
      <w:rPr>
        <w:rFonts w:ascii="Symbol" w:hAnsi="Symbol" w:hint="default"/>
        <w:color w:val="5083C9"/>
      </w:rPr>
    </w:lvl>
    <w:lvl w:ilvl="1" w:tplc="08E0F0CE" w:tentative="1">
      <w:start w:val="1"/>
      <w:numFmt w:val="bullet"/>
      <w:lvlText w:val="o"/>
      <w:lvlJc w:val="left"/>
      <w:pPr>
        <w:ind w:left="1440" w:hanging="360"/>
      </w:pPr>
      <w:rPr>
        <w:rFonts w:ascii="Courier New" w:hAnsi="Courier New" w:cs="Courier New" w:hint="default"/>
      </w:rPr>
    </w:lvl>
    <w:lvl w:ilvl="2" w:tplc="9FF61CD8" w:tentative="1">
      <w:start w:val="1"/>
      <w:numFmt w:val="bullet"/>
      <w:lvlText w:val=""/>
      <w:lvlJc w:val="left"/>
      <w:pPr>
        <w:ind w:left="2160" w:hanging="360"/>
      </w:pPr>
      <w:rPr>
        <w:rFonts w:ascii="Wingdings" w:hAnsi="Wingdings" w:hint="default"/>
      </w:rPr>
    </w:lvl>
    <w:lvl w:ilvl="3" w:tplc="F6EC5B44" w:tentative="1">
      <w:start w:val="1"/>
      <w:numFmt w:val="bullet"/>
      <w:lvlText w:val=""/>
      <w:lvlJc w:val="left"/>
      <w:pPr>
        <w:ind w:left="2880" w:hanging="360"/>
      </w:pPr>
      <w:rPr>
        <w:rFonts w:ascii="Symbol" w:hAnsi="Symbol" w:hint="default"/>
      </w:rPr>
    </w:lvl>
    <w:lvl w:ilvl="4" w:tplc="B84A8988" w:tentative="1">
      <w:start w:val="1"/>
      <w:numFmt w:val="bullet"/>
      <w:lvlText w:val="o"/>
      <w:lvlJc w:val="left"/>
      <w:pPr>
        <w:ind w:left="3600" w:hanging="360"/>
      </w:pPr>
      <w:rPr>
        <w:rFonts w:ascii="Courier New" w:hAnsi="Courier New" w:cs="Courier New" w:hint="default"/>
      </w:rPr>
    </w:lvl>
    <w:lvl w:ilvl="5" w:tplc="B34258D2" w:tentative="1">
      <w:start w:val="1"/>
      <w:numFmt w:val="bullet"/>
      <w:lvlText w:val=""/>
      <w:lvlJc w:val="left"/>
      <w:pPr>
        <w:ind w:left="4320" w:hanging="360"/>
      </w:pPr>
      <w:rPr>
        <w:rFonts w:ascii="Wingdings" w:hAnsi="Wingdings" w:hint="default"/>
      </w:rPr>
    </w:lvl>
    <w:lvl w:ilvl="6" w:tplc="D8C8EA16" w:tentative="1">
      <w:start w:val="1"/>
      <w:numFmt w:val="bullet"/>
      <w:lvlText w:val=""/>
      <w:lvlJc w:val="left"/>
      <w:pPr>
        <w:ind w:left="5040" w:hanging="360"/>
      </w:pPr>
      <w:rPr>
        <w:rFonts w:ascii="Symbol" w:hAnsi="Symbol" w:hint="default"/>
      </w:rPr>
    </w:lvl>
    <w:lvl w:ilvl="7" w:tplc="CB5065E6" w:tentative="1">
      <w:start w:val="1"/>
      <w:numFmt w:val="bullet"/>
      <w:lvlText w:val="o"/>
      <w:lvlJc w:val="left"/>
      <w:pPr>
        <w:ind w:left="5760" w:hanging="360"/>
      </w:pPr>
      <w:rPr>
        <w:rFonts w:ascii="Courier New" w:hAnsi="Courier New" w:cs="Courier New" w:hint="default"/>
      </w:rPr>
    </w:lvl>
    <w:lvl w:ilvl="8" w:tplc="9ED0031E" w:tentative="1">
      <w:start w:val="1"/>
      <w:numFmt w:val="bullet"/>
      <w:lvlText w:val=""/>
      <w:lvlJc w:val="left"/>
      <w:pPr>
        <w:ind w:left="6480" w:hanging="360"/>
      </w:pPr>
      <w:rPr>
        <w:rFonts w:ascii="Wingdings" w:hAnsi="Wingdings" w:hint="default"/>
      </w:rPr>
    </w:lvl>
  </w:abstractNum>
  <w:abstractNum w:abstractNumId="15" w15:restartNumberingAfterBreak="0">
    <w:nsid w:val="730B4ECD"/>
    <w:multiLevelType w:val="hybridMultilevel"/>
    <w:tmpl w:val="6C406044"/>
    <w:lvl w:ilvl="0" w:tplc="233C0EFA">
      <w:start w:val="1"/>
      <w:numFmt w:val="bullet"/>
      <w:pStyle w:val="BulletlistHighlight"/>
      <w:lvlText w:val=""/>
      <w:lvlJc w:val="left"/>
      <w:pPr>
        <w:ind w:left="288" w:hanging="288"/>
      </w:pPr>
      <w:rPr>
        <w:rFonts w:ascii="Symbol" w:hAnsi="Symbol" w:hint="default"/>
      </w:rPr>
    </w:lvl>
    <w:lvl w:ilvl="1" w:tplc="F81E3800">
      <w:start w:val="1"/>
      <w:numFmt w:val="bullet"/>
      <w:lvlText w:val="o"/>
      <w:lvlJc w:val="left"/>
      <w:pPr>
        <w:ind w:left="576" w:hanging="216"/>
      </w:pPr>
      <w:rPr>
        <w:rFonts w:ascii="Courier New" w:hAnsi="Courier New" w:hint="default"/>
      </w:rPr>
    </w:lvl>
    <w:lvl w:ilvl="2" w:tplc="C03EBD84">
      <w:start w:val="1"/>
      <w:numFmt w:val="bullet"/>
      <w:lvlText w:val=""/>
      <w:lvlJc w:val="left"/>
      <w:pPr>
        <w:ind w:left="864" w:hanging="216"/>
      </w:pPr>
      <w:rPr>
        <w:rFonts w:ascii="Wingdings" w:hAnsi="Wingdings" w:hint="default"/>
      </w:rPr>
    </w:lvl>
    <w:lvl w:ilvl="3" w:tplc="E9701596" w:tentative="1">
      <w:start w:val="1"/>
      <w:numFmt w:val="bullet"/>
      <w:lvlText w:val=""/>
      <w:lvlJc w:val="left"/>
      <w:pPr>
        <w:ind w:left="2880" w:hanging="360"/>
      </w:pPr>
      <w:rPr>
        <w:rFonts w:ascii="Symbol" w:hAnsi="Symbol" w:hint="default"/>
      </w:rPr>
    </w:lvl>
    <w:lvl w:ilvl="4" w:tplc="798A121E" w:tentative="1">
      <w:start w:val="1"/>
      <w:numFmt w:val="bullet"/>
      <w:lvlText w:val="o"/>
      <w:lvlJc w:val="left"/>
      <w:pPr>
        <w:ind w:left="3600" w:hanging="360"/>
      </w:pPr>
      <w:rPr>
        <w:rFonts w:ascii="Courier New" w:hAnsi="Courier New" w:cs="Courier New" w:hint="default"/>
      </w:rPr>
    </w:lvl>
    <w:lvl w:ilvl="5" w:tplc="577C9D02" w:tentative="1">
      <w:start w:val="1"/>
      <w:numFmt w:val="bullet"/>
      <w:lvlText w:val=""/>
      <w:lvlJc w:val="left"/>
      <w:pPr>
        <w:ind w:left="4320" w:hanging="360"/>
      </w:pPr>
      <w:rPr>
        <w:rFonts w:ascii="Wingdings" w:hAnsi="Wingdings" w:hint="default"/>
      </w:rPr>
    </w:lvl>
    <w:lvl w:ilvl="6" w:tplc="CDC0ECF6" w:tentative="1">
      <w:start w:val="1"/>
      <w:numFmt w:val="bullet"/>
      <w:lvlText w:val=""/>
      <w:lvlJc w:val="left"/>
      <w:pPr>
        <w:ind w:left="5040" w:hanging="360"/>
      </w:pPr>
      <w:rPr>
        <w:rFonts w:ascii="Symbol" w:hAnsi="Symbol" w:hint="default"/>
      </w:rPr>
    </w:lvl>
    <w:lvl w:ilvl="7" w:tplc="3FA88098" w:tentative="1">
      <w:start w:val="1"/>
      <w:numFmt w:val="bullet"/>
      <w:lvlText w:val="o"/>
      <w:lvlJc w:val="left"/>
      <w:pPr>
        <w:ind w:left="5760" w:hanging="360"/>
      </w:pPr>
      <w:rPr>
        <w:rFonts w:ascii="Courier New" w:hAnsi="Courier New" w:cs="Courier New" w:hint="default"/>
      </w:rPr>
    </w:lvl>
    <w:lvl w:ilvl="8" w:tplc="DD9C5882" w:tentative="1">
      <w:start w:val="1"/>
      <w:numFmt w:val="bullet"/>
      <w:lvlText w:val=""/>
      <w:lvlJc w:val="left"/>
      <w:pPr>
        <w:ind w:left="6480" w:hanging="360"/>
      </w:pPr>
      <w:rPr>
        <w:rFonts w:ascii="Wingdings" w:hAnsi="Wingdings" w:hint="default"/>
      </w:rPr>
    </w:lvl>
  </w:abstractNum>
  <w:abstractNum w:abstractNumId="16" w15:restartNumberingAfterBreak="0">
    <w:nsid w:val="7A2B0356"/>
    <w:multiLevelType w:val="hybridMultilevel"/>
    <w:tmpl w:val="AD1802B8"/>
    <w:lvl w:ilvl="0" w:tplc="DCBC91D0">
      <w:start w:val="1"/>
      <w:numFmt w:val="bullet"/>
      <w:lvlText w:val=""/>
      <w:lvlJc w:val="left"/>
      <w:pPr>
        <w:ind w:left="720" w:hanging="360"/>
      </w:pPr>
      <w:rPr>
        <w:rFonts w:ascii="Symbol" w:hAnsi="Symbol" w:hint="default"/>
        <w:color w:val="5083C9"/>
      </w:rPr>
    </w:lvl>
    <w:lvl w:ilvl="1" w:tplc="6B1EE42A">
      <w:start w:val="1"/>
      <w:numFmt w:val="bullet"/>
      <w:pStyle w:val="BulletList2"/>
      <w:lvlText w:val="o"/>
      <w:lvlJc w:val="left"/>
      <w:pPr>
        <w:ind w:left="1440" w:hanging="360"/>
      </w:pPr>
      <w:rPr>
        <w:rFonts w:ascii="Courier New" w:hAnsi="Courier New" w:cs="Courier New" w:hint="default"/>
      </w:rPr>
    </w:lvl>
    <w:lvl w:ilvl="2" w:tplc="BF4A1CB0" w:tentative="1">
      <w:start w:val="1"/>
      <w:numFmt w:val="bullet"/>
      <w:lvlText w:val=""/>
      <w:lvlJc w:val="left"/>
      <w:pPr>
        <w:ind w:left="2160" w:hanging="360"/>
      </w:pPr>
      <w:rPr>
        <w:rFonts w:ascii="Wingdings" w:hAnsi="Wingdings" w:hint="default"/>
      </w:rPr>
    </w:lvl>
    <w:lvl w:ilvl="3" w:tplc="CD56E77A" w:tentative="1">
      <w:start w:val="1"/>
      <w:numFmt w:val="bullet"/>
      <w:lvlText w:val=""/>
      <w:lvlJc w:val="left"/>
      <w:pPr>
        <w:ind w:left="2880" w:hanging="360"/>
      </w:pPr>
      <w:rPr>
        <w:rFonts w:ascii="Symbol" w:hAnsi="Symbol" w:hint="default"/>
      </w:rPr>
    </w:lvl>
    <w:lvl w:ilvl="4" w:tplc="F23C868C" w:tentative="1">
      <w:start w:val="1"/>
      <w:numFmt w:val="bullet"/>
      <w:lvlText w:val="o"/>
      <w:lvlJc w:val="left"/>
      <w:pPr>
        <w:ind w:left="3600" w:hanging="360"/>
      </w:pPr>
      <w:rPr>
        <w:rFonts w:ascii="Courier New" w:hAnsi="Courier New" w:cs="Courier New" w:hint="default"/>
      </w:rPr>
    </w:lvl>
    <w:lvl w:ilvl="5" w:tplc="3F2E5D0A" w:tentative="1">
      <w:start w:val="1"/>
      <w:numFmt w:val="bullet"/>
      <w:lvlText w:val=""/>
      <w:lvlJc w:val="left"/>
      <w:pPr>
        <w:ind w:left="4320" w:hanging="360"/>
      </w:pPr>
      <w:rPr>
        <w:rFonts w:ascii="Wingdings" w:hAnsi="Wingdings" w:hint="default"/>
      </w:rPr>
    </w:lvl>
    <w:lvl w:ilvl="6" w:tplc="D410F902" w:tentative="1">
      <w:start w:val="1"/>
      <w:numFmt w:val="bullet"/>
      <w:lvlText w:val=""/>
      <w:lvlJc w:val="left"/>
      <w:pPr>
        <w:ind w:left="5040" w:hanging="360"/>
      </w:pPr>
      <w:rPr>
        <w:rFonts w:ascii="Symbol" w:hAnsi="Symbol" w:hint="default"/>
      </w:rPr>
    </w:lvl>
    <w:lvl w:ilvl="7" w:tplc="47701264" w:tentative="1">
      <w:start w:val="1"/>
      <w:numFmt w:val="bullet"/>
      <w:lvlText w:val="o"/>
      <w:lvlJc w:val="left"/>
      <w:pPr>
        <w:ind w:left="5760" w:hanging="360"/>
      </w:pPr>
      <w:rPr>
        <w:rFonts w:ascii="Courier New" w:hAnsi="Courier New" w:cs="Courier New" w:hint="default"/>
      </w:rPr>
    </w:lvl>
    <w:lvl w:ilvl="8" w:tplc="E9829D3C" w:tentative="1">
      <w:start w:val="1"/>
      <w:numFmt w:val="bullet"/>
      <w:lvlText w:val=""/>
      <w:lvlJc w:val="left"/>
      <w:pPr>
        <w:ind w:left="6480" w:hanging="360"/>
      </w:pPr>
      <w:rPr>
        <w:rFonts w:ascii="Wingdings" w:hAnsi="Wingdings" w:hint="default"/>
      </w:rPr>
    </w:lvl>
  </w:abstractNum>
  <w:num w:numId="1" w16cid:durableId="745414878">
    <w:abstractNumId w:val="0"/>
  </w:num>
  <w:num w:numId="2" w16cid:durableId="329335400">
    <w:abstractNumId w:val="10"/>
  </w:num>
  <w:num w:numId="3" w16cid:durableId="801725948">
    <w:abstractNumId w:val="2"/>
  </w:num>
  <w:num w:numId="4" w16cid:durableId="104350585">
    <w:abstractNumId w:val="11"/>
  </w:num>
  <w:num w:numId="5" w16cid:durableId="1242367573">
    <w:abstractNumId w:val="15"/>
  </w:num>
  <w:num w:numId="6" w16cid:durableId="659650645">
    <w:abstractNumId w:val="7"/>
  </w:num>
  <w:num w:numId="7" w16cid:durableId="2031948606">
    <w:abstractNumId w:val="1"/>
  </w:num>
  <w:num w:numId="8" w16cid:durableId="1299610351">
    <w:abstractNumId w:val="9"/>
  </w:num>
  <w:num w:numId="9" w16cid:durableId="483861693">
    <w:abstractNumId w:val="13"/>
  </w:num>
  <w:num w:numId="10" w16cid:durableId="793906655">
    <w:abstractNumId w:val="8"/>
  </w:num>
  <w:num w:numId="11" w16cid:durableId="2037386456">
    <w:abstractNumId w:val="5"/>
  </w:num>
  <w:num w:numId="12" w16cid:durableId="1902061663">
    <w:abstractNumId w:val="16"/>
  </w:num>
  <w:num w:numId="13" w16cid:durableId="264534860">
    <w:abstractNumId w:val="4"/>
  </w:num>
  <w:num w:numId="14" w16cid:durableId="763309508">
    <w:abstractNumId w:val="14"/>
  </w:num>
  <w:num w:numId="15" w16cid:durableId="644165730">
    <w:abstractNumId w:val="3"/>
  </w:num>
  <w:num w:numId="16" w16cid:durableId="711537063">
    <w:abstractNumId w:val="6"/>
  </w:num>
  <w:num w:numId="17" w16cid:durableId="888151229">
    <w:abstractNumId w:val="0"/>
  </w:num>
  <w:num w:numId="18" w16cid:durableId="925311654">
    <w:abstractNumId w:val="2"/>
  </w:num>
  <w:num w:numId="19" w16cid:durableId="289089184">
    <w:abstractNumId w:val="11"/>
  </w:num>
  <w:num w:numId="20" w16cid:durableId="16273510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OztLQ0tzA0MLA0sTRS0lEKTi0uzszPAykwrgUAUC8bDiwAAAA="/>
  </w:docVars>
  <w:rsids>
    <w:rsidRoot w:val="00962C7A"/>
    <w:rsid w:val="00007F45"/>
    <w:rsid w:val="00014367"/>
    <w:rsid w:val="000319CB"/>
    <w:rsid w:val="00036F11"/>
    <w:rsid w:val="00040F01"/>
    <w:rsid w:val="00041D8A"/>
    <w:rsid w:val="00042DA9"/>
    <w:rsid w:val="00045770"/>
    <w:rsid w:val="00047182"/>
    <w:rsid w:val="00055463"/>
    <w:rsid w:val="00063AFF"/>
    <w:rsid w:val="00066BB2"/>
    <w:rsid w:val="0007344F"/>
    <w:rsid w:val="00075AA7"/>
    <w:rsid w:val="00077EC0"/>
    <w:rsid w:val="000823B0"/>
    <w:rsid w:val="00082F1E"/>
    <w:rsid w:val="000847AD"/>
    <w:rsid w:val="00086523"/>
    <w:rsid w:val="00090473"/>
    <w:rsid w:val="00090B4A"/>
    <w:rsid w:val="00091FA2"/>
    <w:rsid w:val="00094777"/>
    <w:rsid w:val="0009716A"/>
    <w:rsid w:val="000A731E"/>
    <w:rsid w:val="000B2D52"/>
    <w:rsid w:val="000B66BA"/>
    <w:rsid w:val="000B7AFD"/>
    <w:rsid w:val="000C2869"/>
    <w:rsid w:val="000C2E03"/>
    <w:rsid w:val="000D34F5"/>
    <w:rsid w:val="000E1E12"/>
    <w:rsid w:val="000F3510"/>
    <w:rsid w:val="000F51F5"/>
    <w:rsid w:val="00106D8B"/>
    <w:rsid w:val="00110963"/>
    <w:rsid w:val="00110C4A"/>
    <w:rsid w:val="0011502F"/>
    <w:rsid w:val="0012162D"/>
    <w:rsid w:val="001237FA"/>
    <w:rsid w:val="001327E9"/>
    <w:rsid w:val="00150F19"/>
    <w:rsid w:val="0015259B"/>
    <w:rsid w:val="00157776"/>
    <w:rsid w:val="001578C9"/>
    <w:rsid w:val="00161134"/>
    <w:rsid w:val="001613DA"/>
    <w:rsid w:val="0016683E"/>
    <w:rsid w:val="0016701F"/>
    <w:rsid w:val="00171781"/>
    <w:rsid w:val="001725D9"/>
    <w:rsid w:val="00181150"/>
    <w:rsid w:val="001840A1"/>
    <w:rsid w:val="0018721B"/>
    <w:rsid w:val="0019038E"/>
    <w:rsid w:val="00195211"/>
    <w:rsid w:val="00197A9E"/>
    <w:rsid w:val="001B1A7E"/>
    <w:rsid w:val="001B2438"/>
    <w:rsid w:val="001B4E7D"/>
    <w:rsid w:val="001B5774"/>
    <w:rsid w:val="001C0034"/>
    <w:rsid w:val="001D4F44"/>
    <w:rsid w:val="001D5A3D"/>
    <w:rsid w:val="001D7425"/>
    <w:rsid w:val="001D7B10"/>
    <w:rsid w:val="001E2525"/>
    <w:rsid w:val="001F6C21"/>
    <w:rsid w:val="00202D17"/>
    <w:rsid w:val="002032DC"/>
    <w:rsid w:val="00203FA5"/>
    <w:rsid w:val="002070FE"/>
    <w:rsid w:val="00215E0B"/>
    <w:rsid w:val="00217042"/>
    <w:rsid w:val="00221882"/>
    <w:rsid w:val="002279B6"/>
    <w:rsid w:val="00235733"/>
    <w:rsid w:val="0024208C"/>
    <w:rsid w:val="0026000D"/>
    <w:rsid w:val="002612EE"/>
    <w:rsid w:val="00266CEA"/>
    <w:rsid w:val="002701D8"/>
    <w:rsid w:val="00270E60"/>
    <w:rsid w:val="00271910"/>
    <w:rsid w:val="00277CEB"/>
    <w:rsid w:val="00282C22"/>
    <w:rsid w:val="002833E6"/>
    <w:rsid w:val="002909ED"/>
    <w:rsid w:val="002912B4"/>
    <w:rsid w:val="002916CA"/>
    <w:rsid w:val="00292E96"/>
    <w:rsid w:val="00295C5C"/>
    <w:rsid w:val="00296467"/>
    <w:rsid w:val="002A143E"/>
    <w:rsid w:val="002A43B8"/>
    <w:rsid w:val="002A4BD1"/>
    <w:rsid w:val="002C0F7A"/>
    <w:rsid w:val="002C12FA"/>
    <w:rsid w:val="002C7574"/>
    <w:rsid w:val="002D3A8B"/>
    <w:rsid w:val="002D788A"/>
    <w:rsid w:val="002E2E3E"/>
    <w:rsid w:val="002F02F6"/>
    <w:rsid w:val="0030250F"/>
    <w:rsid w:val="00302A01"/>
    <w:rsid w:val="003054F6"/>
    <w:rsid w:val="003206B9"/>
    <w:rsid w:val="0032294C"/>
    <w:rsid w:val="003243B0"/>
    <w:rsid w:val="003267EB"/>
    <w:rsid w:val="00326D78"/>
    <w:rsid w:val="003305F6"/>
    <w:rsid w:val="00331842"/>
    <w:rsid w:val="003331D8"/>
    <w:rsid w:val="0034306E"/>
    <w:rsid w:val="00343D40"/>
    <w:rsid w:val="00351460"/>
    <w:rsid w:val="0035530B"/>
    <w:rsid w:val="0036002B"/>
    <w:rsid w:val="003617D5"/>
    <w:rsid w:val="0036595A"/>
    <w:rsid w:val="003667BA"/>
    <w:rsid w:val="0037553A"/>
    <w:rsid w:val="00377AA8"/>
    <w:rsid w:val="00387D9A"/>
    <w:rsid w:val="003A6B72"/>
    <w:rsid w:val="003C04E9"/>
    <w:rsid w:val="003C10A8"/>
    <w:rsid w:val="003C32F3"/>
    <w:rsid w:val="003C3E8E"/>
    <w:rsid w:val="003D3E49"/>
    <w:rsid w:val="003E20C8"/>
    <w:rsid w:val="003F7777"/>
    <w:rsid w:val="004037D7"/>
    <w:rsid w:val="00403B93"/>
    <w:rsid w:val="004049F4"/>
    <w:rsid w:val="00410F83"/>
    <w:rsid w:val="004250F9"/>
    <w:rsid w:val="004269DE"/>
    <w:rsid w:val="004302EA"/>
    <w:rsid w:val="004344BC"/>
    <w:rsid w:val="00441851"/>
    <w:rsid w:val="00447DF1"/>
    <w:rsid w:val="00451160"/>
    <w:rsid w:val="00457C74"/>
    <w:rsid w:val="00461147"/>
    <w:rsid w:val="00465D26"/>
    <w:rsid w:val="00475503"/>
    <w:rsid w:val="00475D1E"/>
    <w:rsid w:val="00477617"/>
    <w:rsid w:val="00484002"/>
    <w:rsid w:val="00485C3A"/>
    <w:rsid w:val="004967FA"/>
    <w:rsid w:val="00497456"/>
    <w:rsid w:val="00497A88"/>
    <w:rsid w:val="004A0B02"/>
    <w:rsid w:val="004A65E6"/>
    <w:rsid w:val="004A737F"/>
    <w:rsid w:val="004B125C"/>
    <w:rsid w:val="004B5A9E"/>
    <w:rsid w:val="004B77F7"/>
    <w:rsid w:val="004C47AA"/>
    <w:rsid w:val="004D61BA"/>
    <w:rsid w:val="004D6DEB"/>
    <w:rsid w:val="004D72E0"/>
    <w:rsid w:val="004E2069"/>
    <w:rsid w:val="004F3C17"/>
    <w:rsid w:val="0050399E"/>
    <w:rsid w:val="00505196"/>
    <w:rsid w:val="005130F2"/>
    <w:rsid w:val="00520276"/>
    <w:rsid w:val="00520677"/>
    <w:rsid w:val="00526C74"/>
    <w:rsid w:val="005338EE"/>
    <w:rsid w:val="00534014"/>
    <w:rsid w:val="00534EA5"/>
    <w:rsid w:val="00542358"/>
    <w:rsid w:val="005427CB"/>
    <w:rsid w:val="005552ED"/>
    <w:rsid w:val="005629FC"/>
    <w:rsid w:val="00574E32"/>
    <w:rsid w:val="005806E6"/>
    <w:rsid w:val="0058075E"/>
    <w:rsid w:val="00584B55"/>
    <w:rsid w:val="00590A45"/>
    <w:rsid w:val="00596C5C"/>
    <w:rsid w:val="005A32D2"/>
    <w:rsid w:val="005A5BCC"/>
    <w:rsid w:val="005B74C1"/>
    <w:rsid w:val="005C00C9"/>
    <w:rsid w:val="005D05D9"/>
    <w:rsid w:val="005D2841"/>
    <w:rsid w:val="005E4D2F"/>
    <w:rsid w:val="005E5147"/>
    <w:rsid w:val="005F535D"/>
    <w:rsid w:val="005F6216"/>
    <w:rsid w:val="00600230"/>
    <w:rsid w:val="00607C2A"/>
    <w:rsid w:val="006129A5"/>
    <w:rsid w:val="006154B5"/>
    <w:rsid w:val="00616720"/>
    <w:rsid w:val="006323C6"/>
    <w:rsid w:val="006338AC"/>
    <w:rsid w:val="00636B99"/>
    <w:rsid w:val="00646950"/>
    <w:rsid w:val="006513E4"/>
    <w:rsid w:val="00655CBD"/>
    <w:rsid w:val="00661733"/>
    <w:rsid w:val="00663A97"/>
    <w:rsid w:val="0066508F"/>
    <w:rsid w:val="00667BD7"/>
    <w:rsid w:val="006778D0"/>
    <w:rsid w:val="00677A7E"/>
    <w:rsid w:val="00677DD4"/>
    <w:rsid w:val="0068000E"/>
    <w:rsid w:val="0068307F"/>
    <w:rsid w:val="00687559"/>
    <w:rsid w:val="00692D29"/>
    <w:rsid w:val="006A13B1"/>
    <w:rsid w:val="006A1F6F"/>
    <w:rsid w:val="006A4CCA"/>
    <w:rsid w:val="006A5882"/>
    <w:rsid w:val="006B2E3A"/>
    <w:rsid w:val="006C533D"/>
    <w:rsid w:val="006D0148"/>
    <w:rsid w:val="006E3B62"/>
    <w:rsid w:val="006F0808"/>
    <w:rsid w:val="006F3EC9"/>
    <w:rsid w:val="00706930"/>
    <w:rsid w:val="00707343"/>
    <w:rsid w:val="007076FB"/>
    <w:rsid w:val="00715489"/>
    <w:rsid w:val="00720BCD"/>
    <w:rsid w:val="007233F1"/>
    <w:rsid w:val="00731A58"/>
    <w:rsid w:val="0075105E"/>
    <w:rsid w:val="0075735A"/>
    <w:rsid w:val="00757EA9"/>
    <w:rsid w:val="007670EC"/>
    <w:rsid w:val="00773A43"/>
    <w:rsid w:val="007800EE"/>
    <w:rsid w:val="007825DE"/>
    <w:rsid w:val="00785924"/>
    <w:rsid w:val="00791173"/>
    <w:rsid w:val="007A0A86"/>
    <w:rsid w:val="007C0E09"/>
    <w:rsid w:val="007C32C7"/>
    <w:rsid w:val="007C663F"/>
    <w:rsid w:val="007E61D8"/>
    <w:rsid w:val="007E62B3"/>
    <w:rsid w:val="007F3263"/>
    <w:rsid w:val="007F4364"/>
    <w:rsid w:val="007F6F9D"/>
    <w:rsid w:val="007F7EBE"/>
    <w:rsid w:val="0080038C"/>
    <w:rsid w:val="0080112D"/>
    <w:rsid w:val="00802FF0"/>
    <w:rsid w:val="00811D75"/>
    <w:rsid w:val="00820E68"/>
    <w:rsid w:val="00824299"/>
    <w:rsid w:val="008254B5"/>
    <w:rsid w:val="00826394"/>
    <w:rsid w:val="00834E39"/>
    <w:rsid w:val="00835DBD"/>
    <w:rsid w:val="008370AA"/>
    <w:rsid w:val="00840473"/>
    <w:rsid w:val="008414C5"/>
    <w:rsid w:val="00844896"/>
    <w:rsid w:val="0084543D"/>
    <w:rsid w:val="00846069"/>
    <w:rsid w:val="00851E84"/>
    <w:rsid w:val="00855838"/>
    <w:rsid w:val="0085596C"/>
    <w:rsid w:val="008621D8"/>
    <w:rsid w:val="00864779"/>
    <w:rsid w:val="00864C15"/>
    <w:rsid w:val="00866D43"/>
    <w:rsid w:val="008719FC"/>
    <w:rsid w:val="008731B0"/>
    <w:rsid w:val="008759E4"/>
    <w:rsid w:val="00886D1C"/>
    <w:rsid w:val="008A26DF"/>
    <w:rsid w:val="008A4B50"/>
    <w:rsid w:val="008A6546"/>
    <w:rsid w:val="008A7E71"/>
    <w:rsid w:val="008B0013"/>
    <w:rsid w:val="008C01A9"/>
    <w:rsid w:val="008C1FDC"/>
    <w:rsid w:val="008C32C6"/>
    <w:rsid w:val="008C3FE0"/>
    <w:rsid w:val="008C4D53"/>
    <w:rsid w:val="008C539C"/>
    <w:rsid w:val="008C71F1"/>
    <w:rsid w:val="008D0FAF"/>
    <w:rsid w:val="008D2CFF"/>
    <w:rsid w:val="008D7735"/>
    <w:rsid w:val="008E1523"/>
    <w:rsid w:val="008E65DE"/>
    <w:rsid w:val="008F109D"/>
    <w:rsid w:val="008F1A9A"/>
    <w:rsid w:val="008F2CF3"/>
    <w:rsid w:val="008F7B15"/>
    <w:rsid w:val="00913517"/>
    <w:rsid w:val="00926535"/>
    <w:rsid w:val="00926A5B"/>
    <w:rsid w:val="00954129"/>
    <w:rsid w:val="00957814"/>
    <w:rsid w:val="0096199E"/>
    <w:rsid w:val="00962C7A"/>
    <w:rsid w:val="00977954"/>
    <w:rsid w:val="00981EB6"/>
    <w:rsid w:val="009839CF"/>
    <w:rsid w:val="0098636D"/>
    <w:rsid w:val="00993033"/>
    <w:rsid w:val="009A1745"/>
    <w:rsid w:val="009A3B54"/>
    <w:rsid w:val="009A663E"/>
    <w:rsid w:val="009B6B51"/>
    <w:rsid w:val="009C435D"/>
    <w:rsid w:val="009D4BB6"/>
    <w:rsid w:val="009E43A5"/>
    <w:rsid w:val="009E4DC9"/>
    <w:rsid w:val="009F0B50"/>
    <w:rsid w:val="009F3CA3"/>
    <w:rsid w:val="009F3EA5"/>
    <w:rsid w:val="009F6C2B"/>
    <w:rsid w:val="00A04C29"/>
    <w:rsid w:val="00A20878"/>
    <w:rsid w:val="00A21AE9"/>
    <w:rsid w:val="00A252B2"/>
    <w:rsid w:val="00A25775"/>
    <w:rsid w:val="00A337BD"/>
    <w:rsid w:val="00A33CCF"/>
    <w:rsid w:val="00A357CD"/>
    <w:rsid w:val="00A37644"/>
    <w:rsid w:val="00A46068"/>
    <w:rsid w:val="00A47C53"/>
    <w:rsid w:val="00A50D40"/>
    <w:rsid w:val="00A55558"/>
    <w:rsid w:val="00A62BE1"/>
    <w:rsid w:val="00A749AC"/>
    <w:rsid w:val="00A83C9F"/>
    <w:rsid w:val="00A8588B"/>
    <w:rsid w:val="00A8755C"/>
    <w:rsid w:val="00A90151"/>
    <w:rsid w:val="00A90D2B"/>
    <w:rsid w:val="00A95ADA"/>
    <w:rsid w:val="00AA4FEE"/>
    <w:rsid w:val="00AA7ED2"/>
    <w:rsid w:val="00AC6640"/>
    <w:rsid w:val="00AD0649"/>
    <w:rsid w:val="00AE39CD"/>
    <w:rsid w:val="00AE524F"/>
    <w:rsid w:val="00AE5EAD"/>
    <w:rsid w:val="00AE6CEE"/>
    <w:rsid w:val="00AE6DAE"/>
    <w:rsid w:val="00AE6ED2"/>
    <w:rsid w:val="00AF684E"/>
    <w:rsid w:val="00AF6F12"/>
    <w:rsid w:val="00B003E0"/>
    <w:rsid w:val="00B16743"/>
    <w:rsid w:val="00B27C5F"/>
    <w:rsid w:val="00B320CA"/>
    <w:rsid w:val="00B34A25"/>
    <w:rsid w:val="00B4080A"/>
    <w:rsid w:val="00B415AB"/>
    <w:rsid w:val="00B60C14"/>
    <w:rsid w:val="00B61E16"/>
    <w:rsid w:val="00B65B66"/>
    <w:rsid w:val="00B727AD"/>
    <w:rsid w:val="00B8016B"/>
    <w:rsid w:val="00B812F1"/>
    <w:rsid w:val="00B87F5C"/>
    <w:rsid w:val="00B9463E"/>
    <w:rsid w:val="00BB590C"/>
    <w:rsid w:val="00BB6A5E"/>
    <w:rsid w:val="00BC184F"/>
    <w:rsid w:val="00BC28EB"/>
    <w:rsid w:val="00BC32B1"/>
    <w:rsid w:val="00BC7693"/>
    <w:rsid w:val="00BD3388"/>
    <w:rsid w:val="00BD3A22"/>
    <w:rsid w:val="00BD74E8"/>
    <w:rsid w:val="00BD76B0"/>
    <w:rsid w:val="00BE5C84"/>
    <w:rsid w:val="00BF3AF2"/>
    <w:rsid w:val="00BF52EE"/>
    <w:rsid w:val="00BF5B11"/>
    <w:rsid w:val="00BF69C3"/>
    <w:rsid w:val="00BF70B9"/>
    <w:rsid w:val="00BF7E81"/>
    <w:rsid w:val="00C142EF"/>
    <w:rsid w:val="00C143C6"/>
    <w:rsid w:val="00C267CD"/>
    <w:rsid w:val="00C3368B"/>
    <w:rsid w:val="00C34688"/>
    <w:rsid w:val="00C53BBD"/>
    <w:rsid w:val="00C56ED2"/>
    <w:rsid w:val="00C61503"/>
    <w:rsid w:val="00C73DB9"/>
    <w:rsid w:val="00C80B83"/>
    <w:rsid w:val="00C84C66"/>
    <w:rsid w:val="00C85EBE"/>
    <w:rsid w:val="00C918B0"/>
    <w:rsid w:val="00C9359B"/>
    <w:rsid w:val="00C940B5"/>
    <w:rsid w:val="00C941CC"/>
    <w:rsid w:val="00CA677A"/>
    <w:rsid w:val="00CB2E59"/>
    <w:rsid w:val="00CB3964"/>
    <w:rsid w:val="00CB5072"/>
    <w:rsid w:val="00CB6777"/>
    <w:rsid w:val="00CC0951"/>
    <w:rsid w:val="00CC0A4A"/>
    <w:rsid w:val="00CC46F1"/>
    <w:rsid w:val="00CC761A"/>
    <w:rsid w:val="00CD3AEC"/>
    <w:rsid w:val="00CD605A"/>
    <w:rsid w:val="00CE48AB"/>
    <w:rsid w:val="00CF26DA"/>
    <w:rsid w:val="00CF3A80"/>
    <w:rsid w:val="00CF47DA"/>
    <w:rsid w:val="00CF5E21"/>
    <w:rsid w:val="00CF6A1B"/>
    <w:rsid w:val="00CF6D02"/>
    <w:rsid w:val="00D04C72"/>
    <w:rsid w:val="00D15F4E"/>
    <w:rsid w:val="00D216A4"/>
    <w:rsid w:val="00D357A5"/>
    <w:rsid w:val="00D379D5"/>
    <w:rsid w:val="00D40079"/>
    <w:rsid w:val="00D41D8A"/>
    <w:rsid w:val="00D45B96"/>
    <w:rsid w:val="00D62115"/>
    <w:rsid w:val="00D6324D"/>
    <w:rsid w:val="00D656F2"/>
    <w:rsid w:val="00D71D9F"/>
    <w:rsid w:val="00D76FCB"/>
    <w:rsid w:val="00D811AE"/>
    <w:rsid w:val="00D8467E"/>
    <w:rsid w:val="00DA5BCD"/>
    <w:rsid w:val="00DB123E"/>
    <w:rsid w:val="00DB4183"/>
    <w:rsid w:val="00DB7C23"/>
    <w:rsid w:val="00DC0E41"/>
    <w:rsid w:val="00DC24AE"/>
    <w:rsid w:val="00DC3880"/>
    <w:rsid w:val="00DC690D"/>
    <w:rsid w:val="00DD5C64"/>
    <w:rsid w:val="00DF1B25"/>
    <w:rsid w:val="00DF5AC1"/>
    <w:rsid w:val="00E11344"/>
    <w:rsid w:val="00E120C9"/>
    <w:rsid w:val="00E14895"/>
    <w:rsid w:val="00E16E6C"/>
    <w:rsid w:val="00E16FF3"/>
    <w:rsid w:val="00E17806"/>
    <w:rsid w:val="00E21D7F"/>
    <w:rsid w:val="00E26C77"/>
    <w:rsid w:val="00E271FF"/>
    <w:rsid w:val="00E42527"/>
    <w:rsid w:val="00E42742"/>
    <w:rsid w:val="00E52AC0"/>
    <w:rsid w:val="00E53934"/>
    <w:rsid w:val="00E6115F"/>
    <w:rsid w:val="00E66D17"/>
    <w:rsid w:val="00E71374"/>
    <w:rsid w:val="00E725BC"/>
    <w:rsid w:val="00E83B97"/>
    <w:rsid w:val="00E84980"/>
    <w:rsid w:val="00EA2BB6"/>
    <w:rsid w:val="00EB73CF"/>
    <w:rsid w:val="00EB7A79"/>
    <w:rsid w:val="00EC1229"/>
    <w:rsid w:val="00EC2053"/>
    <w:rsid w:val="00ED0BA4"/>
    <w:rsid w:val="00EF4A5B"/>
    <w:rsid w:val="00EF5623"/>
    <w:rsid w:val="00EF7BE8"/>
    <w:rsid w:val="00F021E9"/>
    <w:rsid w:val="00F06227"/>
    <w:rsid w:val="00F332E6"/>
    <w:rsid w:val="00F36467"/>
    <w:rsid w:val="00F40919"/>
    <w:rsid w:val="00F4145A"/>
    <w:rsid w:val="00F57D97"/>
    <w:rsid w:val="00F618F6"/>
    <w:rsid w:val="00F66E50"/>
    <w:rsid w:val="00F67061"/>
    <w:rsid w:val="00F743AE"/>
    <w:rsid w:val="00F8211A"/>
    <w:rsid w:val="00F8560C"/>
    <w:rsid w:val="00F858B2"/>
    <w:rsid w:val="00F97238"/>
    <w:rsid w:val="00FA4136"/>
    <w:rsid w:val="00FA6ADF"/>
    <w:rsid w:val="00FA75CB"/>
    <w:rsid w:val="00FB7989"/>
    <w:rsid w:val="00FC1E1B"/>
    <w:rsid w:val="00FD3D4C"/>
    <w:rsid w:val="00FD53A1"/>
    <w:rsid w:val="00FD571E"/>
    <w:rsid w:val="00FD61EC"/>
    <w:rsid w:val="00FD7DAA"/>
    <w:rsid w:val="00FE16F8"/>
    <w:rsid w:val="00FE1815"/>
    <w:rsid w:val="00FF0545"/>
    <w:rsid w:val="00FF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C0459"/>
  <w15:chartTrackingRefBased/>
  <w15:docId w15:val="{169C0AAE-3E0B-487C-96F0-AE87DB29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71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6A"/>
  </w:style>
  <w:style w:type="paragraph" w:styleId="Footer">
    <w:name w:val="footer"/>
    <w:basedOn w:val="Normal"/>
    <w:link w:val="FooterChar"/>
    <w:uiPriority w:val="99"/>
    <w:unhideWhenUsed/>
    <w:rsid w:val="00097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16A"/>
  </w:style>
  <w:style w:type="paragraph" w:customStyle="1" w:styleId="Head1">
    <w:name w:val="Head 1"/>
    <w:basedOn w:val="Normal"/>
    <w:link w:val="Head1Char"/>
    <w:qFormat/>
    <w:rsid w:val="00007F45"/>
    <w:pPr>
      <w:spacing w:after="120" w:line="228" w:lineRule="auto"/>
    </w:pPr>
    <w:rPr>
      <w:b/>
      <w:color w:val="124082"/>
      <w:sz w:val="48"/>
      <w:szCs w:val="48"/>
    </w:rPr>
  </w:style>
  <w:style w:type="paragraph" w:styleId="BodyText">
    <w:name w:val="Body Text"/>
    <w:basedOn w:val="BodyText2"/>
    <w:link w:val="BodyTextChar"/>
    <w:qFormat/>
    <w:rsid w:val="0009716A"/>
    <w:pPr>
      <w:spacing w:after="160" w:line="259" w:lineRule="auto"/>
      <w:jc w:val="both"/>
    </w:pPr>
    <w:rPr>
      <w:rFonts w:ascii="Calibri" w:eastAsia="Times New Roman" w:hAnsi="Calibri" w:cs="Arial"/>
      <w:color w:val="595959"/>
      <w:szCs w:val="20"/>
    </w:rPr>
  </w:style>
  <w:style w:type="character" w:customStyle="1" w:styleId="Head1Char">
    <w:name w:val="Head 1 Char"/>
    <w:basedOn w:val="DefaultParagraphFont"/>
    <w:link w:val="Head1"/>
    <w:rsid w:val="00007F45"/>
    <w:rPr>
      <w:b/>
      <w:color w:val="124082"/>
      <w:sz w:val="48"/>
      <w:szCs w:val="48"/>
    </w:rPr>
  </w:style>
  <w:style w:type="character" w:customStyle="1" w:styleId="BodyTextChar">
    <w:name w:val="Body Text Char"/>
    <w:basedOn w:val="DefaultParagraphFont"/>
    <w:link w:val="BodyText"/>
    <w:rsid w:val="0009716A"/>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09716A"/>
    <w:pPr>
      <w:spacing w:after="120" w:line="480" w:lineRule="auto"/>
    </w:pPr>
  </w:style>
  <w:style w:type="character" w:customStyle="1" w:styleId="BodyText2Char">
    <w:name w:val="Body Text 2 Char"/>
    <w:basedOn w:val="DefaultParagraphFont"/>
    <w:link w:val="BodyText2"/>
    <w:uiPriority w:val="99"/>
    <w:semiHidden/>
    <w:rsid w:val="0009716A"/>
  </w:style>
  <w:style w:type="paragraph" w:customStyle="1" w:styleId="Head2">
    <w:name w:val="Head 2"/>
    <w:basedOn w:val="BodyText"/>
    <w:link w:val="Head2Char"/>
    <w:qFormat/>
    <w:rsid w:val="005F6216"/>
    <w:pPr>
      <w:spacing w:after="120" w:line="216" w:lineRule="auto"/>
      <w:jc w:val="left"/>
    </w:pPr>
    <w:rPr>
      <w:b/>
      <w:color w:val="404040" w:themeColor="text1" w:themeTint="BF"/>
      <w:sz w:val="28"/>
      <w:szCs w:val="28"/>
    </w:rPr>
  </w:style>
  <w:style w:type="paragraph" w:styleId="Title">
    <w:name w:val="Title"/>
    <w:basedOn w:val="Normal"/>
    <w:next w:val="Normal"/>
    <w:link w:val="TitleChar"/>
    <w:uiPriority w:val="10"/>
    <w:rsid w:val="0009716A"/>
    <w:pPr>
      <w:spacing w:after="60" w:line="192" w:lineRule="auto"/>
    </w:pPr>
    <w:rPr>
      <w:rFonts w:ascii="Calibri" w:eastAsia="Calibri" w:hAnsi="Calibri" w:cs="Times New Roman"/>
      <w:b/>
      <w:caps/>
      <w:color w:val="39945E"/>
      <w:sz w:val="40"/>
      <w:szCs w:val="40"/>
    </w:rPr>
  </w:style>
  <w:style w:type="character" w:customStyle="1" w:styleId="Head2Char">
    <w:name w:val="Head 2 Char"/>
    <w:basedOn w:val="BodyTextChar"/>
    <w:link w:val="Head2"/>
    <w:rsid w:val="005F6216"/>
    <w:rPr>
      <w:rFonts w:ascii="Calibri" w:eastAsia="Times New Roman" w:hAnsi="Calibri" w:cs="Arial"/>
      <w:b/>
      <w:color w:val="404040" w:themeColor="text1" w:themeTint="BF"/>
      <w:sz w:val="28"/>
      <w:szCs w:val="28"/>
    </w:rPr>
  </w:style>
  <w:style w:type="character" w:customStyle="1" w:styleId="TitleChar">
    <w:name w:val="Title Char"/>
    <w:basedOn w:val="DefaultParagraphFont"/>
    <w:link w:val="Title"/>
    <w:uiPriority w:val="10"/>
    <w:rsid w:val="0009716A"/>
    <w:rPr>
      <w:rFonts w:ascii="Calibri" w:eastAsia="Calibri" w:hAnsi="Calibri" w:cs="Times New Roman"/>
      <w:b/>
      <w:caps/>
      <w:color w:val="39945E"/>
      <w:sz w:val="40"/>
      <w:szCs w:val="40"/>
    </w:rPr>
  </w:style>
  <w:style w:type="paragraph" w:customStyle="1" w:styleId="Disclaimer">
    <w:name w:val="Disclaimer"/>
    <w:basedOn w:val="Normal"/>
    <w:link w:val="DisclaimerChar"/>
    <w:qFormat/>
    <w:rsid w:val="0009716A"/>
    <w:rPr>
      <w:rFonts w:ascii="Verdana" w:eastAsia="Calibri" w:hAnsi="Verdana" w:cs="Times New Roman"/>
      <w:color w:val="7F7F7F"/>
      <w:sz w:val="16"/>
    </w:rPr>
  </w:style>
  <w:style w:type="character" w:customStyle="1" w:styleId="DisclaimerChar">
    <w:name w:val="Disclaimer Char"/>
    <w:link w:val="Disclaimer"/>
    <w:rsid w:val="0009716A"/>
    <w:rPr>
      <w:rFonts w:ascii="Verdana" w:eastAsia="Calibri" w:hAnsi="Verdana" w:cs="Times New Roman"/>
      <w:color w:val="7F7F7F"/>
      <w:sz w:val="16"/>
    </w:rPr>
  </w:style>
  <w:style w:type="paragraph" w:customStyle="1" w:styleId="BulletList">
    <w:name w:val="Bullet List"/>
    <w:basedOn w:val="BodyText"/>
    <w:link w:val="BulletListChar"/>
    <w:qFormat/>
    <w:rsid w:val="0009716A"/>
    <w:pPr>
      <w:numPr>
        <w:numId w:val="17"/>
      </w:numPr>
      <w:spacing w:after="120"/>
    </w:pPr>
  </w:style>
  <w:style w:type="paragraph" w:customStyle="1" w:styleId="Checkbox">
    <w:name w:val="Checkbox"/>
    <w:basedOn w:val="BulletList"/>
    <w:link w:val="CheckboxChar"/>
    <w:qFormat/>
    <w:rsid w:val="0009716A"/>
    <w:pPr>
      <w:numPr>
        <w:numId w:val="18"/>
      </w:numPr>
      <w:tabs>
        <w:tab w:val="left" w:pos="540"/>
      </w:tabs>
    </w:pPr>
  </w:style>
  <w:style w:type="character" w:customStyle="1" w:styleId="BulletListChar">
    <w:name w:val="Bullet List Char"/>
    <w:basedOn w:val="BodyTextChar"/>
    <w:link w:val="BulletList"/>
    <w:rsid w:val="0009716A"/>
    <w:rPr>
      <w:rFonts w:ascii="Calibri" w:eastAsia="Times New Roman" w:hAnsi="Calibri" w:cs="Arial"/>
      <w:color w:val="595959"/>
      <w:szCs w:val="20"/>
    </w:rPr>
  </w:style>
  <w:style w:type="paragraph" w:customStyle="1" w:styleId="Xbox">
    <w:name w:val="Xbox"/>
    <w:basedOn w:val="Checkbox"/>
    <w:link w:val="XboxChar"/>
    <w:qFormat/>
    <w:rsid w:val="0009716A"/>
    <w:pPr>
      <w:numPr>
        <w:numId w:val="19"/>
      </w:numPr>
    </w:pPr>
  </w:style>
  <w:style w:type="character" w:customStyle="1" w:styleId="CheckboxChar">
    <w:name w:val="Checkbox Char"/>
    <w:basedOn w:val="BulletListChar"/>
    <w:link w:val="Checkbox"/>
    <w:rsid w:val="0009716A"/>
    <w:rPr>
      <w:rFonts w:ascii="Calibri" w:eastAsia="Times New Roman" w:hAnsi="Calibri" w:cs="Arial"/>
      <w:color w:val="595959"/>
      <w:szCs w:val="20"/>
    </w:rPr>
  </w:style>
  <w:style w:type="paragraph" w:customStyle="1" w:styleId="CallOutBox">
    <w:name w:val="Call Out Box"/>
    <w:basedOn w:val="Footer"/>
    <w:link w:val="CallOutBoxChar"/>
    <w:rsid w:val="0009716A"/>
    <w:pPr>
      <w:jc w:val="center"/>
    </w:pPr>
    <w:rPr>
      <w:b/>
      <w:i/>
      <w:color w:val="5083C9"/>
      <w:sz w:val="36"/>
      <w:szCs w:val="36"/>
    </w:rPr>
  </w:style>
  <w:style w:type="character" w:customStyle="1" w:styleId="XboxChar">
    <w:name w:val="Xbox Char"/>
    <w:basedOn w:val="CheckboxChar"/>
    <w:link w:val="Xbox"/>
    <w:rsid w:val="0009716A"/>
    <w:rPr>
      <w:rFonts w:ascii="Calibri" w:eastAsia="Times New Roman" w:hAnsi="Calibri" w:cs="Arial"/>
      <w:color w:val="595959"/>
      <w:szCs w:val="20"/>
    </w:rPr>
  </w:style>
  <w:style w:type="table" w:styleId="TableGrid">
    <w:name w:val="Table Grid"/>
    <w:basedOn w:val="TableNormal"/>
    <w:uiPriority w:val="39"/>
    <w:rsid w:val="00097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llOutBoxChar">
    <w:name w:val="Call Out Box Char"/>
    <w:basedOn w:val="FooterChar"/>
    <w:link w:val="CallOutBox"/>
    <w:rsid w:val="0009716A"/>
    <w:rPr>
      <w:b/>
      <w:i/>
      <w:color w:val="5083C9"/>
      <w:sz w:val="36"/>
      <w:szCs w:val="36"/>
    </w:rPr>
  </w:style>
  <w:style w:type="paragraph" w:customStyle="1" w:styleId="TableHeader">
    <w:name w:val="Table Header"/>
    <w:basedOn w:val="BodyText"/>
    <w:link w:val="TableHeaderChar"/>
    <w:qFormat/>
    <w:rsid w:val="0009716A"/>
    <w:pPr>
      <w:jc w:val="center"/>
    </w:pPr>
    <w:rPr>
      <w:b/>
      <w:color w:val="FFFFFF" w:themeColor="background1"/>
      <w:sz w:val="26"/>
      <w:szCs w:val="26"/>
    </w:rPr>
  </w:style>
  <w:style w:type="character" w:customStyle="1" w:styleId="TableHeaderChar">
    <w:name w:val="Table Header Char"/>
    <w:basedOn w:val="BodyTextChar"/>
    <w:link w:val="TableHeader"/>
    <w:rsid w:val="0009716A"/>
    <w:rPr>
      <w:rFonts w:ascii="Calibri" w:eastAsia="Times New Roman" w:hAnsi="Calibri" w:cs="Arial"/>
      <w:b/>
      <w:color w:val="FFFFFF" w:themeColor="background1"/>
      <w:sz w:val="26"/>
      <w:szCs w:val="26"/>
    </w:rPr>
  </w:style>
  <w:style w:type="character" w:styleId="Hyperlink">
    <w:name w:val="Hyperlink"/>
    <w:basedOn w:val="DefaultParagraphFont"/>
    <w:uiPriority w:val="99"/>
    <w:unhideWhenUsed/>
    <w:rsid w:val="008C01A9"/>
    <w:rPr>
      <w:color w:val="0563C1" w:themeColor="hyperlink"/>
      <w:u w:val="single"/>
    </w:rPr>
  </w:style>
  <w:style w:type="paragraph" w:customStyle="1" w:styleId="BulletlistHighlight">
    <w:name w:val="Bullet list Highlight"/>
    <w:basedOn w:val="BodyText"/>
    <w:rsid w:val="008C01A9"/>
    <w:pPr>
      <w:numPr>
        <w:numId w:val="5"/>
      </w:numPr>
      <w:tabs>
        <w:tab w:val="num" w:pos="360"/>
      </w:tabs>
      <w:spacing w:before="120" w:after="120"/>
    </w:pPr>
    <w:rPr>
      <w:color w:val="FFFFFF"/>
    </w:rPr>
  </w:style>
  <w:style w:type="paragraph" w:customStyle="1" w:styleId="LR-Heading">
    <w:name w:val="LR-Heading"/>
    <w:basedOn w:val="Normal"/>
    <w:link w:val="LR-HeadingChar"/>
    <w:rsid w:val="008C01A9"/>
    <w:pPr>
      <w:spacing w:before="120" w:after="120" w:line="240" w:lineRule="auto"/>
    </w:pPr>
    <w:rPr>
      <w:rFonts w:ascii="Calibri" w:eastAsia="Times New Roman" w:hAnsi="Calibri" w:cs="Times New Roman"/>
      <w:b/>
      <w:caps/>
      <w:color w:val="595959"/>
      <w:sz w:val="28"/>
      <w:szCs w:val="20"/>
    </w:rPr>
  </w:style>
  <w:style w:type="character" w:customStyle="1" w:styleId="LR-HeadingChar">
    <w:name w:val="LR-Heading Char"/>
    <w:link w:val="LR-Heading"/>
    <w:rsid w:val="008C01A9"/>
    <w:rPr>
      <w:rFonts w:ascii="Calibri" w:eastAsia="Times New Roman" w:hAnsi="Calibri" w:cs="Times New Roman"/>
      <w:b/>
      <w:caps/>
      <w:color w:val="595959"/>
      <w:sz w:val="28"/>
      <w:szCs w:val="20"/>
    </w:rPr>
  </w:style>
  <w:style w:type="paragraph" w:customStyle="1" w:styleId="LR-BulletList">
    <w:name w:val="LR-Bullet List"/>
    <w:basedOn w:val="BulletlistHighlight"/>
    <w:link w:val="LR-BulletListChar"/>
    <w:rsid w:val="008C01A9"/>
    <w:rPr>
      <w:color w:val="595959"/>
    </w:rPr>
  </w:style>
  <w:style w:type="character" w:customStyle="1" w:styleId="LR-BulletListChar">
    <w:name w:val="LR-Bullet List Char"/>
    <w:link w:val="LR-BulletList"/>
    <w:rsid w:val="008C01A9"/>
    <w:rPr>
      <w:rFonts w:ascii="Calibri" w:eastAsia="Times New Roman" w:hAnsi="Calibri" w:cs="Arial"/>
      <w:color w:val="595959"/>
      <w:szCs w:val="20"/>
    </w:rPr>
  </w:style>
  <w:style w:type="numbering" w:customStyle="1" w:styleId="BulletedList">
    <w:name w:val="Bulleted List"/>
    <w:uiPriority w:val="99"/>
    <w:rsid w:val="005806E6"/>
    <w:pPr>
      <w:numPr>
        <w:numId w:val="6"/>
      </w:numPr>
    </w:pPr>
  </w:style>
  <w:style w:type="paragraph" w:customStyle="1" w:styleId="BulletListPage1">
    <w:name w:val="Bullet List Page 1"/>
    <w:basedOn w:val="BulletList"/>
    <w:link w:val="BulletListPage1Char"/>
    <w:qFormat/>
    <w:rsid w:val="006129A5"/>
    <w:pPr>
      <w:ind w:left="5040"/>
    </w:pPr>
  </w:style>
  <w:style w:type="character" w:customStyle="1" w:styleId="BulletListPage1Char">
    <w:name w:val="Bullet List Page 1 Char"/>
    <w:basedOn w:val="BodyTextChar"/>
    <w:link w:val="BulletListPage1"/>
    <w:rsid w:val="006129A5"/>
    <w:rPr>
      <w:rFonts w:ascii="Calibri" w:eastAsia="Times New Roman" w:hAnsi="Calibri" w:cs="Arial"/>
      <w:color w:val="595959"/>
      <w:szCs w:val="20"/>
    </w:rPr>
  </w:style>
  <w:style w:type="paragraph" w:styleId="ListParagraph">
    <w:name w:val="List Paragraph"/>
    <w:basedOn w:val="Normal"/>
    <w:link w:val="ListParagraphChar"/>
    <w:uiPriority w:val="34"/>
    <w:rsid w:val="0085596C"/>
    <w:pPr>
      <w:ind w:left="720"/>
      <w:contextualSpacing/>
    </w:pPr>
  </w:style>
  <w:style w:type="character" w:styleId="UnresolvedMention">
    <w:name w:val="Unresolved Mention"/>
    <w:basedOn w:val="DefaultParagraphFont"/>
    <w:uiPriority w:val="99"/>
    <w:semiHidden/>
    <w:unhideWhenUsed/>
    <w:rsid w:val="00055463"/>
    <w:rPr>
      <w:color w:val="605E5C"/>
      <w:shd w:val="clear" w:color="auto" w:fill="E1DFDD"/>
    </w:rPr>
  </w:style>
  <w:style w:type="character" w:styleId="FollowedHyperlink">
    <w:name w:val="FollowedHyperlink"/>
    <w:basedOn w:val="DefaultParagraphFont"/>
    <w:uiPriority w:val="99"/>
    <w:semiHidden/>
    <w:unhideWhenUsed/>
    <w:rsid w:val="008A6546"/>
    <w:rPr>
      <w:color w:val="954F72" w:themeColor="followedHyperlink"/>
      <w:u w:val="single"/>
    </w:rPr>
  </w:style>
  <w:style w:type="paragraph" w:customStyle="1" w:styleId="HeadSectionBox">
    <w:name w:val="Head SectionBox"/>
    <w:basedOn w:val="Normal"/>
    <w:next w:val="Normal"/>
    <w:link w:val="HeadSectionBoxChar"/>
    <w:qFormat/>
    <w:rsid w:val="005F6216"/>
    <w:pPr>
      <w:spacing w:after="0" w:line="240" w:lineRule="auto"/>
      <w:ind w:left="576"/>
      <w:jc w:val="both"/>
    </w:pPr>
    <w:rPr>
      <w:rFonts w:ascii="Calibri" w:eastAsia="Times New Roman" w:hAnsi="Calibri" w:cs="Arial"/>
      <w:b/>
      <w:color w:val="FFFFFF" w:themeColor="background1"/>
      <w:sz w:val="28"/>
      <w:szCs w:val="32"/>
    </w:rPr>
  </w:style>
  <w:style w:type="character" w:customStyle="1" w:styleId="HeadSectionBoxChar">
    <w:name w:val="Head SectionBox Char"/>
    <w:basedOn w:val="DefaultParagraphFont"/>
    <w:link w:val="HeadSectionBox"/>
    <w:rsid w:val="005F6216"/>
    <w:rPr>
      <w:rFonts w:ascii="Calibri" w:eastAsia="Times New Roman" w:hAnsi="Calibri" w:cs="Arial"/>
      <w:b/>
      <w:color w:val="FFFFFF" w:themeColor="background1"/>
      <w:sz w:val="28"/>
      <w:szCs w:val="32"/>
    </w:rPr>
  </w:style>
  <w:style w:type="paragraph" w:customStyle="1" w:styleId="Head3">
    <w:name w:val="Head 3"/>
    <w:basedOn w:val="BodyText"/>
    <w:link w:val="Head3Char"/>
    <w:qFormat/>
    <w:rsid w:val="005F6216"/>
    <w:pPr>
      <w:spacing w:after="0"/>
    </w:pPr>
    <w:rPr>
      <w:b/>
      <w:i/>
      <w:sz w:val="24"/>
    </w:rPr>
  </w:style>
  <w:style w:type="character" w:customStyle="1" w:styleId="Head3Char">
    <w:name w:val="Head 3 Char"/>
    <w:basedOn w:val="BodyTextChar"/>
    <w:link w:val="Head3"/>
    <w:rsid w:val="005F6216"/>
    <w:rPr>
      <w:rFonts w:ascii="Calibri" w:eastAsia="Times New Roman" w:hAnsi="Calibri" w:cs="Arial"/>
      <w:b/>
      <w:i/>
      <w:color w:val="595959"/>
      <w:sz w:val="24"/>
      <w:szCs w:val="20"/>
    </w:rPr>
  </w:style>
  <w:style w:type="paragraph" w:customStyle="1" w:styleId="PageNumber">
    <w:name w:val="PageNumber"/>
    <w:basedOn w:val="Footer"/>
    <w:link w:val="PageNumberChar"/>
    <w:rsid w:val="008D7735"/>
    <w:pPr>
      <w:jc w:val="right"/>
    </w:pPr>
    <w:rPr>
      <w:b/>
      <w:bCs/>
      <w:sz w:val="18"/>
      <w:szCs w:val="18"/>
    </w:rPr>
  </w:style>
  <w:style w:type="character" w:customStyle="1" w:styleId="PageNumberChar">
    <w:name w:val="PageNumber Char"/>
    <w:basedOn w:val="FooterChar"/>
    <w:link w:val="PageNumber"/>
    <w:rsid w:val="008D7735"/>
    <w:rPr>
      <w:b/>
      <w:bCs/>
      <w:sz w:val="18"/>
      <w:szCs w:val="18"/>
    </w:rPr>
  </w:style>
  <w:style w:type="paragraph" w:customStyle="1" w:styleId="BulletList2">
    <w:name w:val="Bullet List 2"/>
    <w:basedOn w:val="ListParagraph"/>
    <w:link w:val="BulletList2Char"/>
    <w:qFormat/>
    <w:rsid w:val="002701D8"/>
    <w:pPr>
      <w:numPr>
        <w:ilvl w:val="1"/>
        <w:numId w:val="12"/>
      </w:numPr>
      <w:contextualSpacing w:val="0"/>
    </w:pPr>
    <w:rPr>
      <w:rFonts w:ascii="Calibri" w:eastAsia="Times New Roman" w:hAnsi="Calibri" w:cs="Arial"/>
      <w:color w:val="595959"/>
      <w:szCs w:val="20"/>
    </w:rPr>
  </w:style>
  <w:style w:type="character" w:customStyle="1" w:styleId="ListParagraphChar">
    <w:name w:val="List Paragraph Char"/>
    <w:basedOn w:val="DefaultParagraphFont"/>
    <w:link w:val="ListParagraph"/>
    <w:uiPriority w:val="34"/>
    <w:rsid w:val="002701D8"/>
  </w:style>
  <w:style w:type="character" w:customStyle="1" w:styleId="BulletList2Char">
    <w:name w:val="Bullet List 2 Char"/>
    <w:basedOn w:val="ListParagraphChar"/>
    <w:link w:val="BulletList2"/>
    <w:rsid w:val="002701D8"/>
    <w:rPr>
      <w:rFonts w:ascii="Calibri" w:eastAsia="Times New Roman" w:hAnsi="Calibri" w:cs="Arial"/>
      <w:color w:val="595959"/>
      <w:szCs w:val="20"/>
    </w:rPr>
  </w:style>
  <w:style w:type="paragraph" w:customStyle="1" w:styleId="NumberList">
    <w:name w:val="Number List"/>
    <w:basedOn w:val="ListParagraph"/>
    <w:link w:val="NumberListChar"/>
    <w:qFormat/>
    <w:rsid w:val="0032294C"/>
    <w:pPr>
      <w:numPr>
        <w:numId w:val="13"/>
      </w:numPr>
      <w:contextualSpacing w:val="0"/>
    </w:pPr>
    <w:rPr>
      <w:rFonts w:ascii="Calibri" w:eastAsia="Times New Roman" w:hAnsi="Calibri" w:cs="Arial"/>
      <w:color w:val="595959"/>
      <w:szCs w:val="20"/>
    </w:rPr>
  </w:style>
  <w:style w:type="character" w:customStyle="1" w:styleId="NumberListChar">
    <w:name w:val="Number List Char"/>
    <w:basedOn w:val="ListParagraphChar"/>
    <w:link w:val="NumberList"/>
    <w:rsid w:val="0032294C"/>
    <w:rPr>
      <w:rFonts w:ascii="Calibri" w:eastAsia="Times New Roman" w:hAnsi="Calibri" w:cs="Arial"/>
      <w:color w:val="595959"/>
      <w:szCs w:val="20"/>
    </w:rPr>
  </w:style>
  <w:style w:type="paragraph" w:customStyle="1" w:styleId="MainTitle">
    <w:name w:val="Main Title"/>
    <w:basedOn w:val="Normal"/>
    <w:link w:val="MainTitleChar"/>
    <w:qFormat/>
    <w:rsid w:val="0009716A"/>
    <w:pPr>
      <w:spacing w:after="120" w:line="228" w:lineRule="auto"/>
    </w:pPr>
    <w:rPr>
      <w:b/>
      <w:color w:val="124082"/>
      <w:sz w:val="48"/>
      <w:szCs w:val="48"/>
    </w:rPr>
  </w:style>
  <w:style w:type="character" w:customStyle="1" w:styleId="MainTitleChar">
    <w:name w:val="Main Title Char"/>
    <w:basedOn w:val="DefaultParagraphFont"/>
    <w:link w:val="MainTitle"/>
    <w:rsid w:val="0009716A"/>
    <w:rPr>
      <w:b/>
      <w:color w:val="124082"/>
      <w:sz w:val="48"/>
      <w:szCs w:val="48"/>
    </w:rPr>
  </w:style>
  <w:style w:type="paragraph" w:customStyle="1" w:styleId="SubHeader">
    <w:name w:val="Sub Header"/>
    <w:basedOn w:val="BodyText"/>
    <w:link w:val="SubHeaderChar"/>
    <w:qFormat/>
    <w:rsid w:val="0009716A"/>
    <w:pPr>
      <w:spacing w:after="0" w:line="216" w:lineRule="auto"/>
      <w:jc w:val="left"/>
    </w:pPr>
    <w:rPr>
      <w:b/>
      <w:color w:val="404040" w:themeColor="text1" w:themeTint="BF"/>
      <w:sz w:val="28"/>
      <w:szCs w:val="28"/>
    </w:rPr>
  </w:style>
  <w:style w:type="character" w:customStyle="1" w:styleId="SubHeaderChar">
    <w:name w:val="Sub Header Char"/>
    <w:basedOn w:val="BodyTextChar"/>
    <w:link w:val="SubHeader"/>
    <w:rsid w:val="0009716A"/>
    <w:rPr>
      <w:rFonts w:ascii="Calibri" w:eastAsia="Times New Roman" w:hAnsi="Calibri" w:cs="Arial"/>
      <w:b/>
      <w:color w:val="404040" w:themeColor="text1" w:themeTint="BF"/>
      <w:sz w:val="28"/>
      <w:szCs w:val="28"/>
    </w:rPr>
  </w:style>
  <w:style w:type="paragraph" w:customStyle="1" w:styleId="SectionBoxBold">
    <w:name w:val="Section Box Bold"/>
    <w:basedOn w:val="Normal"/>
    <w:next w:val="Normal"/>
    <w:link w:val="SectionBoxBoldChar"/>
    <w:qFormat/>
    <w:rsid w:val="0009716A"/>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09716A"/>
    <w:rPr>
      <w:rFonts w:ascii="Calibri" w:eastAsia="Times New Roman" w:hAnsi="Calibri" w:cs="Arial"/>
      <w:b/>
      <w:color w:val="000000" w:themeColor="text1"/>
      <w:sz w:val="24"/>
      <w:szCs w:val="28"/>
    </w:rPr>
  </w:style>
  <w:style w:type="paragraph" w:customStyle="1" w:styleId="Body">
    <w:name w:val="Body"/>
    <w:basedOn w:val="Normal"/>
    <w:link w:val="BodyChar"/>
    <w:qFormat/>
    <w:rsid w:val="003054F6"/>
    <w:pPr>
      <w:spacing w:after="200"/>
    </w:pPr>
    <w:rPr>
      <w:rFonts w:ascii="Calibri" w:eastAsia="Calibri" w:hAnsi="Calibri" w:cs="Arial"/>
      <w:szCs w:val="18"/>
    </w:rPr>
  </w:style>
  <w:style w:type="character" w:customStyle="1" w:styleId="BodyChar">
    <w:name w:val="Body Char"/>
    <w:link w:val="Body"/>
    <w:rsid w:val="003054F6"/>
    <w:rPr>
      <w:rFonts w:ascii="Calibri" w:eastAsia="Calibri" w:hAnsi="Calibri" w:cs="Arial"/>
      <w:szCs w:val="18"/>
    </w:rPr>
  </w:style>
  <w:style w:type="paragraph" w:customStyle="1" w:styleId="Bullet">
    <w:name w:val="Bullet"/>
    <w:basedOn w:val="ListBullet"/>
    <w:next w:val="Bullet2"/>
    <w:link w:val="BulletChar"/>
    <w:qFormat/>
    <w:rsid w:val="00292E96"/>
    <w:pPr>
      <w:numPr>
        <w:numId w:val="20"/>
      </w:numPr>
      <w:spacing w:after="80"/>
      <w:ind w:left="0" w:firstLine="0"/>
      <w:contextualSpacing w:val="0"/>
      <w:jc w:val="both"/>
    </w:pPr>
    <w:rPr>
      <w:rFonts w:ascii="Calibri" w:eastAsia="Times New Roman" w:hAnsi="Calibri" w:cs="Arial"/>
      <w:color w:val="595959"/>
      <w:szCs w:val="20"/>
    </w:rPr>
  </w:style>
  <w:style w:type="character" w:customStyle="1" w:styleId="BulletChar">
    <w:name w:val="Bullet Char"/>
    <w:basedOn w:val="DefaultParagraphFont"/>
    <w:link w:val="Bullet"/>
    <w:rsid w:val="00292E96"/>
    <w:rPr>
      <w:rFonts w:ascii="Calibri" w:eastAsia="Times New Roman" w:hAnsi="Calibri" w:cs="Arial"/>
      <w:color w:val="595959"/>
      <w:szCs w:val="20"/>
    </w:rPr>
  </w:style>
  <w:style w:type="paragraph" w:customStyle="1" w:styleId="Bullet2">
    <w:name w:val="Bullet 2"/>
    <w:basedOn w:val="Bullet"/>
    <w:qFormat/>
    <w:rsid w:val="00292E96"/>
    <w:pPr>
      <w:numPr>
        <w:ilvl w:val="1"/>
      </w:numPr>
      <w:ind w:left="0" w:firstLine="0"/>
    </w:pPr>
  </w:style>
  <w:style w:type="paragraph" w:styleId="ListBullet">
    <w:name w:val="List Bullet"/>
    <w:basedOn w:val="Normal"/>
    <w:uiPriority w:val="99"/>
    <w:semiHidden/>
    <w:unhideWhenUsed/>
    <w:rsid w:val="00292E96"/>
    <w:pPr>
      <w:contextualSpacing/>
    </w:pPr>
  </w:style>
  <w:style w:type="paragraph" w:styleId="Revision">
    <w:name w:val="Revision"/>
    <w:hidden/>
    <w:uiPriority w:val="99"/>
    <w:semiHidden/>
    <w:rsid w:val="00D41D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ir.ca.gov/dlse/paid_sick_leave.htm" TargetMode="External"/><Relationship Id="rId18" Type="http://schemas.openxmlformats.org/officeDocument/2006/relationships/image" Target="media/image1.jpeg"/><Relationship Id="rId26" Type="http://schemas.openxmlformats.org/officeDocument/2006/relationships/hyperlink" Target="https://www.oregon.gov/boli/workers/pages/sick-time.aspx" TargetMode="External"/><Relationship Id="rId3" Type="http://schemas.openxmlformats.org/officeDocument/2006/relationships/customXml" Target="../customXml/item3.xml"/><Relationship Id="rId21" Type="http://schemas.openxmlformats.org/officeDocument/2006/relationships/hyperlink" Target="https://portal.ct.gov/dol/knowledge-base/articles/wage-and-workplace-standards/paid-sick-leave?language=en_US"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maine.gov/paidleave/" TargetMode="External"/><Relationship Id="rId17" Type="http://schemas.openxmlformats.org/officeDocument/2006/relationships/hyperlink" Target="https://www.dir.ca.gov/dlse/paid_sick_leave.htm" TargetMode="External"/><Relationship Id="rId25" Type="http://schemas.openxmlformats.org/officeDocument/2006/relationships/hyperlink" Target="https://www.nyc.gov/mayors-office/news/2026/02/mayor-mamdani-announces-major-expansion-of-protected-time-off-fo"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aine.gov/paidleave/" TargetMode="External"/><Relationship Id="rId20" Type="http://schemas.openxmlformats.org/officeDocument/2006/relationships/hyperlink" Target="https://famli.colorado.gov/individuals-and-families/reasons-to-take-famli-leave/neonatal-care-leave" TargetMode="External"/><Relationship Id="rId29" Type="http://schemas.openxmlformats.org/officeDocument/2006/relationships/hyperlink" Target="https://www.ilga.gov/Legislation/BillStatus?DocTypeID=HB&amp;DocNum=2978&amp;GAID=18&amp;SessionID=114&amp;LegID=16122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idleave.mn.gov/" TargetMode="External"/><Relationship Id="rId24" Type="http://schemas.openxmlformats.org/officeDocument/2006/relationships/hyperlink" Target="https://www.nyc.gov/site/dca/about/paid-sick-leave-law.page" TargetMode="External"/><Relationship Id="rId32" Type="http://schemas.openxmlformats.org/officeDocument/2006/relationships/hyperlink" Target="https://www.nj.gov/labor/myleavebenefits/worker/tdi/"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paidleave.mn.gov/" TargetMode="External"/><Relationship Id="rId23" Type="http://schemas.openxmlformats.org/officeDocument/2006/relationships/hyperlink" Target="https://paidleave.mn.gov/" TargetMode="External"/><Relationship Id="rId28" Type="http://schemas.openxmlformats.org/officeDocument/2006/relationships/hyperlink" Target="https://paidleave.wa.gov/updates/" TargetMode="External"/><Relationship Id="rId36" Type="http://schemas.openxmlformats.org/officeDocument/2006/relationships/footer" Target="footer2.xml"/><Relationship Id="rId10" Type="http://schemas.openxmlformats.org/officeDocument/2006/relationships/hyperlink" Target="https://labor.delaware.gov/delaware-paid-leave/" TargetMode="External"/><Relationship Id="rId19" Type="http://schemas.openxmlformats.org/officeDocument/2006/relationships/hyperlink" Target="https://www.dir.ca.gov/dlse/paid_sick_leave.htm" TargetMode="External"/><Relationship Id="rId31" Type="http://schemas.openxmlformats.org/officeDocument/2006/relationships/hyperlink" Target="https://www.njoag.gov/about/divisions-and-offices/division-on-civil-rights-home/know-the-law/new-jersey-family-leave-a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bor.delaware.gov/delaware-paid-leave/" TargetMode="External"/><Relationship Id="rId22" Type="http://schemas.openxmlformats.org/officeDocument/2006/relationships/hyperlink" Target="https://labor.delaware.gov/delaware-paid-leave/" TargetMode="External"/><Relationship Id="rId27" Type="http://schemas.openxmlformats.org/officeDocument/2006/relationships/hyperlink" Target="https://dlt.ri.gov/individuals/temporary-disability-caregiver-insurance" TargetMode="External"/><Relationship Id="rId30" Type="http://schemas.openxmlformats.org/officeDocument/2006/relationships/hyperlink" Target="https://www.maine.gov/paidleave/" TargetMode="External"/><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olz\OneDrive%20-%20Zywave%20Inc\Desktop\Overview.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f0d438c-546f-418b-8b34-3aeabdd873e7">
      <Terms xmlns="http://schemas.microsoft.com/office/infopath/2007/PartnerControls"/>
    </lcf76f155ced4ddcb4097134ff3c332f>
    <TaxCatchAll xmlns="b8e3cc31-5e35-410f-816b-f92194aa70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DBEEAB1C8494469052C42F3E641444" ma:contentTypeVersion="21" ma:contentTypeDescription="Create a new document." ma:contentTypeScope="" ma:versionID="4f38cee6f027e51bf24a8c944f66d077">
  <xsd:schema xmlns:xsd="http://www.w3.org/2001/XMLSchema" xmlns:xs="http://www.w3.org/2001/XMLSchema" xmlns:p="http://schemas.microsoft.com/office/2006/metadata/properties" xmlns:ns1="http://schemas.microsoft.com/sharepoint/v3" xmlns:ns2="7f0d438c-546f-418b-8b34-3aeabdd873e7" xmlns:ns3="b8e3cc31-5e35-410f-816b-f92194aa7093" targetNamespace="http://schemas.microsoft.com/office/2006/metadata/properties" ma:root="true" ma:fieldsID="7517bf1e0000a2258f4272bd71bf4789" ns1:_="" ns2:_="" ns3:_="">
    <xsd:import namespace="http://schemas.microsoft.com/sharepoint/v3"/>
    <xsd:import namespace="7f0d438c-546f-418b-8b34-3aeabdd873e7"/>
    <xsd:import namespace="b8e3cc31-5e35-410f-816b-f92194aa7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0d438c-546f-418b-8b34-3aeabdd87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5696d3-a483-472b-9efb-84a45ba5b3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e3cc31-5e35-410f-816b-f92194aa709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f3ee35-7626-46c8-a433-74b9dadabf13}" ma:internalName="TaxCatchAll" ma:showField="CatchAllData" ma:web="b8e3cc31-5e35-410f-816b-f92194aa7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809A8E-116B-40F6-981D-F46056D9E78D}">
  <ds:schemaRefs>
    <ds:schemaRef ds:uri="http://schemas.microsoft.com/office/2006/metadata/properties"/>
    <ds:schemaRef ds:uri="http://schemas.microsoft.com/office/infopath/2007/PartnerControls"/>
    <ds:schemaRef ds:uri="http://schemas.microsoft.com/sharepoint/v3"/>
    <ds:schemaRef ds:uri="7f0d438c-546f-418b-8b34-3aeabdd873e7"/>
    <ds:schemaRef ds:uri="b8e3cc31-5e35-410f-816b-f92194aa7093"/>
  </ds:schemaRefs>
</ds:datastoreItem>
</file>

<file path=customXml/itemProps2.xml><?xml version="1.0" encoding="utf-8"?>
<ds:datastoreItem xmlns:ds="http://schemas.openxmlformats.org/officeDocument/2006/customXml" ds:itemID="{DC18340E-F06D-465F-947A-0E767158F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0d438c-546f-418b-8b34-3aeabdd873e7"/>
    <ds:schemaRef ds:uri="b8e3cc31-5e35-410f-816b-f92194aa7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D95318-A7FD-4746-8B6B-84850E1FE3D3}">
  <ds:schemaRefs>
    <ds:schemaRef ds:uri="http://schemas.microsoft.com/sharepoint/v3/contenttype/forms"/>
  </ds:schemaRefs>
</ds:datastoreItem>
</file>

<file path=docMetadata/LabelInfo.xml><?xml version="1.0" encoding="utf-8"?>
<clbl:labelList xmlns:clbl="http://schemas.microsoft.com/office/2020/mipLabelMetadata">
  <clbl:label id="{b6e4ed5c-88d9-405d-a9a4-5110fdfd941d}" enabled="1" method="Standard" siteId="{bd0c095f-5d66-4273-a209-64796ae91974}" removed="0"/>
</clbl:labelList>
</file>

<file path=docProps/app.xml><?xml version="1.0" encoding="utf-8"?>
<Properties xmlns="http://schemas.openxmlformats.org/officeDocument/2006/extended-properties" xmlns:vt="http://schemas.openxmlformats.org/officeDocument/2006/docPropsVTypes">
  <Template>Overview.dotm</Template>
  <TotalTime>9</TotalTime>
  <Pages>4</Pages>
  <Words>1976</Words>
  <Characters>10078</Characters>
  <Application>Microsoft Office Word</Application>
  <DocSecurity>0</DocSecurity>
  <Lines>305</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Hanrahan, Nicole</dc:creator>
  <cp:lastModifiedBy>Maricia Meyer</cp:lastModifiedBy>
  <cp:revision>14</cp:revision>
  <dcterms:created xsi:type="dcterms:W3CDTF">2026-04-03T14:47:00Z</dcterms:created>
  <dcterms:modified xsi:type="dcterms:W3CDTF">2026-04-07T14:22:00Z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0x01010008DBEEAB1C8494469052C42F3E641444</vt:lpwstr>
  </property>
  <property fmtid="{D5CDD505-2E9C-101B-9397-08002B2CF9AE}" pid="3" name="MediaServiceImageTags">
    <vt:lpwstr/>
  </property>
</Properties>
</file>